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1787" w:rsidRPr="00D10D17" w:rsidTr="00781C4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1787" w:rsidRPr="00D10D17" w:rsidRDefault="00111787" w:rsidP="00781C47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1787" w:rsidRPr="00D10D17" w:rsidRDefault="00111787" w:rsidP="00781C47">
            <w:pPr>
              <w:rPr>
                <w:lang w:val="fr-FR"/>
              </w:rPr>
            </w:pPr>
            <w:r w:rsidRPr="00D10D17">
              <w:rPr>
                <w:noProof/>
                <w:lang w:eastAsia="en-US"/>
              </w:rPr>
              <w:drawing>
                <wp:inline distT="0" distB="0" distL="0" distR="0" wp14:anchorId="25EC4266" wp14:editId="73BC101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1787" w:rsidRPr="00D10D17" w:rsidRDefault="00111787" w:rsidP="00781C47">
            <w:pPr>
              <w:jc w:val="right"/>
              <w:rPr>
                <w:lang w:val="fr-FR"/>
              </w:rPr>
            </w:pPr>
            <w:r w:rsidRPr="00D10D1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11787" w:rsidRPr="00D10D17" w:rsidTr="00781C4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1787" w:rsidRPr="00D10D17" w:rsidRDefault="00111787" w:rsidP="00781C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10D17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2" w:name="Code"/>
            <w:bookmarkEnd w:id="2"/>
            <w:r w:rsidRPr="00D10D17">
              <w:rPr>
                <w:rFonts w:ascii="Arial Black" w:hAnsi="Arial Black"/>
                <w:caps/>
                <w:sz w:val="15"/>
                <w:lang w:val="fr-FR"/>
              </w:rPr>
              <w:t>12</w:t>
            </w:r>
          </w:p>
        </w:tc>
      </w:tr>
      <w:tr w:rsidR="00111787" w:rsidRPr="00D10D17" w:rsidTr="00781C4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1787" w:rsidRPr="00D10D17" w:rsidRDefault="00111787" w:rsidP="00781C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10D1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D10D1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11787" w:rsidRPr="00D10D17" w:rsidTr="00781C4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1787" w:rsidRPr="00D10D17" w:rsidRDefault="00111787" w:rsidP="00781C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10D1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Pr="00D10D17">
              <w:rPr>
                <w:rFonts w:ascii="Arial Black" w:hAnsi="Arial Black"/>
                <w:caps/>
                <w:sz w:val="15"/>
                <w:lang w:val="fr-FR"/>
              </w:rPr>
              <w:t>16 mars 2017</w:t>
            </w:r>
          </w:p>
        </w:tc>
      </w:tr>
    </w:tbl>
    <w:p w:rsidR="00111787" w:rsidRPr="00D10D17" w:rsidRDefault="00111787" w:rsidP="00111787">
      <w:pPr>
        <w:rPr>
          <w:lang w:val="fr-FR"/>
        </w:rPr>
      </w:pPr>
    </w:p>
    <w:p w:rsidR="00111787" w:rsidRPr="00D10D17" w:rsidRDefault="00111787" w:rsidP="00111787">
      <w:pPr>
        <w:rPr>
          <w:lang w:val="fr-FR"/>
        </w:rPr>
      </w:pPr>
    </w:p>
    <w:p w:rsidR="00111787" w:rsidRPr="00D10D17" w:rsidRDefault="00111787" w:rsidP="00111787">
      <w:pPr>
        <w:rPr>
          <w:lang w:val="fr-FR"/>
        </w:rPr>
      </w:pPr>
    </w:p>
    <w:p w:rsidR="00111787" w:rsidRPr="00D10D17" w:rsidRDefault="00111787" w:rsidP="00111787">
      <w:pPr>
        <w:rPr>
          <w:lang w:val="fr-FR"/>
        </w:rPr>
      </w:pPr>
    </w:p>
    <w:p w:rsidR="00111787" w:rsidRPr="00D10D17" w:rsidRDefault="00111787" w:rsidP="00111787">
      <w:pPr>
        <w:rPr>
          <w:lang w:val="fr-FR"/>
        </w:rPr>
      </w:pPr>
    </w:p>
    <w:p w:rsidR="00111787" w:rsidRPr="00D10D17" w:rsidRDefault="00111787" w:rsidP="00DD6E7D">
      <w:pPr>
        <w:rPr>
          <w:b/>
          <w:sz w:val="28"/>
          <w:szCs w:val="28"/>
          <w:lang w:val="fr-FR"/>
        </w:rPr>
      </w:pPr>
      <w:r w:rsidRPr="00D10D17">
        <w:rPr>
          <w:b/>
          <w:sz w:val="28"/>
          <w:szCs w:val="28"/>
          <w:lang w:val="fr-FR"/>
        </w:rPr>
        <w:t>Traité de coopération en matière de brevets (PCT)</w:t>
      </w:r>
    </w:p>
    <w:p w:rsidR="00111787" w:rsidRPr="00D10D17" w:rsidRDefault="00111787" w:rsidP="00DD6E7D">
      <w:pPr>
        <w:rPr>
          <w:b/>
          <w:sz w:val="28"/>
          <w:szCs w:val="28"/>
          <w:lang w:val="fr-FR"/>
        </w:rPr>
      </w:pPr>
      <w:r w:rsidRPr="00D10D17">
        <w:rPr>
          <w:b/>
          <w:sz w:val="28"/>
          <w:szCs w:val="28"/>
          <w:lang w:val="fr-FR"/>
        </w:rPr>
        <w:t>Comité de coopération technique</w:t>
      </w:r>
    </w:p>
    <w:p w:rsidR="00111787" w:rsidRPr="00D10D17" w:rsidRDefault="00111787" w:rsidP="00DD6E7D">
      <w:pPr>
        <w:rPr>
          <w:lang w:val="fr-FR"/>
        </w:rPr>
      </w:pPr>
    </w:p>
    <w:p w:rsidR="00111787" w:rsidRPr="00D10D17" w:rsidRDefault="00111787" w:rsidP="00DD6E7D">
      <w:pPr>
        <w:rPr>
          <w:lang w:val="fr-FR"/>
        </w:rPr>
      </w:pPr>
    </w:p>
    <w:p w:rsidR="00111787" w:rsidRPr="00D10D17" w:rsidRDefault="00111787" w:rsidP="00DD6E7D">
      <w:pPr>
        <w:rPr>
          <w:b/>
          <w:sz w:val="24"/>
          <w:szCs w:val="24"/>
          <w:lang w:val="fr-FR"/>
        </w:rPr>
      </w:pPr>
      <w:r w:rsidRPr="00D10D17">
        <w:rPr>
          <w:b/>
          <w:sz w:val="24"/>
          <w:szCs w:val="24"/>
          <w:lang w:val="fr-FR"/>
        </w:rPr>
        <w:t>Trentième session</w:t>
      </w:r>
    </w:p>
    <w:p w:rsidR="00111787" w:rsidRPr="00D10D17" w:rsidRDefault="00111787" w:rsidP="00DD6E7D">
      <w:pPr>
        <w:rPr>
          <w:b/>
          <w:sz w:val="24"/>
          <w:szCs w:val="24"/>
          <w:lang w:val="fr-FR"/>
        </w:rPr>
      </w:pPr>
      <w:r w:rsidRPr="00D10D17">
        <w:rPr>
          <w:b/>
          <w:sz w:val="24"/>
          <w:szCs w:val="24"/>
          <w:lang w:val="fr-FR"/>
        </w:rPr>
        <w:t>Genève, 8 – 12 mai 2017</w:t>
      </w:r>
    </w:p>
    <w:p w:rsidR="00111787" w:rsidRPr="00D10D17" w:rsidRDefault="00111787" w:rsidP="00DD6E7D">
      <w:pPr>
        <w:rPr>
          <w:lang w:val="fr-FR"/>
        </w:rPr>
      </w:pPr>
    </w:p>
    <w:p w:rsidR="00111787" w:rsidRPr="00D10D17" w:rsidRDefault="00111787" w:rsidP="00DD6E7D">
      <w:pPr>
        <w:rPr>
          <w:lang w:val="fr-FR"/>
        </w:rPr>
      </w:pPr>
    </w:p>
    <w:p w:rsidR="00111787" w:rsidRPr="00D10D17" w:rsidRDefault="00111787" w:rsidP="00DD6E7D">
      <w:pPr>
        <w:rPr>
          <w:lang w:val="fr-FR"/>
        </w:rPr>
      </w:pPr>
    </w:p>
    <w:p w:rsidR="00974C5A" w:rsidRPr="00D10D17" w:rsidRDefault="004249FE" w:rsidP="00DD6E7D">
      <w:pPr>
        <w:rPr>
          <w:caps/>
          <w:sz w:val="24"/>
          <w:lang w:val="fr-FR"/>
        </w:rPr>
      </w:pPr>
      <w:r w:rsidRPr="00D10D17">
        <w:rPr>
          <w:caps/>
          <w:sz w:val="24"/>
          <w:lang w:val="fr-FR"/>
        </w:rPr>
        <w:t>Prolongation de la nomination de l</w:t>
      </w:r>
      <w:r w:rsidR="00111787" w:rsidRPr="00D10D17">
        <w:rPr>
          <w:caps/>
          <w:sz w:val="24"/>
          <w:lang w:val="fr-FR"/>
        </w:rPr>
        <w:t>’</w:t>
      </w:r>
      <w:r w:rsidRPr="00D10D17">
        <w:rPr>
          <w:caps/>
          <w:sz w:val="24"/>
          <w:lang w:val="fr-FR"/>
        </w:rPr>
        <w:t>Office finlandais des brevets et de l</w:t>
      </w:r>
      <w:r w:rsidR="00111787" w:rsidRPr="00D10D17">
        <w:rPr>
          <w:caps/>
          <w:sz w:val="24"/>
          <w:lang w:val="fr-FR"/>
        </w:rPr>
        <w:t>’</w:t>
      </w:r>
      <w:r w:rsidRPr="00D10D17">
        <w:rPr>
          <w:caps/>
          <w:sz w:val="24"/>
          <w:lang w:val="fr-FR"/>
        </w:rPr>
        <w:t>enregistrement en qualité d</w:t>
      </w:r>
      <w:r w:rsidR="00111787" w:rsidRPr="00D10D17">
        <w:rPr>
          <w:caps/>
          <w:sz w:val="24"/>
          <w:lang w:val="fr-FR"/>
        </w:rPr>
        <w:t>’</w:t>
      </w:r>
      <w:r w:rsidRPr="00D10D17">
        <w:rPr>
          <w:caps/>
          <w:sz w:val="24"/>
          <w:lang w:val="fr-FR"/>
        </w:rPr>
        <w:t>administration chargée de la recherche internationale et de l</w:t>
      </w:r>
      <w:r w:rsidR="00111787" w:rsidRPr="00D10D17">
        <w:rPr>
          <w:caps/>
          <w:sz w:val="24"/>
          <w:lang w:val="fr-FR"/>
        </w:rPr>
        <w:t>’</w:t>
      </w:r>
      <w:r w:rsidRPr="00D10D17">
        <w:rPr>
          <w:caps/>
          <w:sz w:val="24"/>
          <w:lang w:val="fr-FR"/>
        </w:rPr>
        <w:t>examen préliminaire international selon</w:t>
      </w:r>
      <w:r w:rsidR="00111787" w:rsidRPr="00D10D17">
        <w:rPr>
          <w:caps/>
          <w:sz w:val="24"/>
          <w:lang w:val="fr-FR"/>
        </w:rPr>
        <w:t xml:space="preserve"> le PCT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4249FE" w:rsidP="00DD6E7D">
      <w:pPr>
        <w:rPr>
          <w:i/>
          <w:lang w:val="fr-FR"/>
        </w:rPr>
      </w:pPr>
      <w:bookmarkStart w:id="5" w:name="Prepared"/>
      <w:bookmarkEnd w:id="5"/>
      <w:r w:rsidRPr="00D10D17">
        <w:rPr>
          <w:i/>
          <w:lang w:val="fr-FR"/>
        </w:rPr>
        <w:t>Document établi par le Bureau international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4249FE" w:rsidP="00DD6E7D">
      <w:pPr>
        <w:pStyle w:val="ONUMFS"/>
        <w:rPr>
          <w:lang w:val="fr-FR"/>
        </w:rPr>
      </w:pPr>
      <w:bookmarkStart w:id="6" w:name="_Ref447032909"/>
      <w:r w:rsidRPr="00D10D17">
        <w:rPr>
          <w:lang w:val="fr-FR"/>
        </w:rPr>
        <w:t>Toutes les administrations internationales existantes ont été nommées par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Assemblée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Union</w:t>
      </w:r>
      <w:r w:rsidR="00111787" w:rsidRPr="00D10D17">
        <w:rPr>
          <w:lang w:val="fr-FR"/>
        </w:rPr>
        <w:t xml:space="preserve"> du PCT</w:t>
      </w:r>
      <w:r w:rsidRPr="00D10D17">
        <w:rPr>
          <w:lang w:val="fr-FR"/>
        </w:rPr>
        <w:t xml:space="preserve"> pour une période s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achevant le 3</w:t>
      </w:r>
      <w:r w:rsidR="00111787" w:rsidRPr="00D10D17">
        <w:rPr>
          <w:lang w:val="fr-FR"/>
        </w:rPr>
        <w:t>1 décembre 20</w:t>
      </w:r>
      <w:r w:rsidRPr="00D10D17">
        <w:rPr>
          <w:lang w:val="fr-FR"/>
        </w:rPr>
        <w:t>17.</w:t>
      </w:r>
      <w:r w:rsidR="005C40A3" w:rsidRPr="00D10D17">
        <w:rPr>
          <w:lang w:val="fr-FR"/>
        </w:rPr>
        <w:t xml:space="preserve">  </w:t>
      </w:r>
      <w:bookmarkEnd w:id="6"/>
      <w:r w:rsidR="00111787" w:rsidRPr="00D10D17">
        <w:rPr>
          <w:lang w:val="fr-FR"/>
        </w:rPr>
        <w:t>En 2017</w:t>
      </w:r>
      <w:r w:rsidRPr="00D10D17">
        <w:rPr>
          <w:lang w:val="fr-FR"/>
        </w:rPr>
        <w:t>,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assemblée devra donc prendre une décision en ce qui concerne la prolongation de la nomination de chaque administration internationale existante qui souhaite demander une telle prolongation, après avoir sollicité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avis du présent comité (voir les </w:t>
      </w:r>
      <w:r w:rsidR="00111787" w:rsidRPr="00D10D17">
        <w:rPr>
          <w:lang w:val="fr-FR"/>
        </w:rPr>
        <w:t>articles 1</w:t>
      </w:r>
      <w:r w:rsidR="00781C47">
        <w:rPr>
          <w:lang w:val="fr-FR"/>
        </w:rPr>
        <w:t>6.3)e) et </w:t>
      </w:r>
      <w:r w:rsidRPr="00D10D17">
        <w:rPr>
          <w:lang w:val="fr-FR"/>
        </w:rPr>
        <w:t>32.3)</w:t>
      </w:r>
      <w:r w:rsidR="00111787" w:rsidRPr="00D10D17">
        <w:rPr>
          <w:lang w:val="fr-FR"/>
        </w:rPr>
        <w:t xml:space="preserve"> du PCT</w:t>
      </w:r>
      <w:r w:rsidRPr="00D10D17">
        <w:rPr>
          <w:lang w:val="fr-FR"/>
        </w:rPr>
        <w:t>).</w:t>
      </w:r>
      <w:r w:rsidR="0035027E" w:rsidRPr="00D10D17">
        <w:rPr>
          <w:lang w:val="fr-FR"/>
        </w:rPr>
        <w:t xml:space="preserve">  </w:t>
      </w:r>
      <w:r w:rsidR="00BC5128" w:rsidRPr="00D10D17">
        <w:rPr>
          <w:lang w:val="fr-FR"/>
        </w:rPr>
        <w:t>Les informations relatives à cette procédure et au rôle du comité figurent dans le document PCT/CTC/30/INF/1.</w:t>
      </w:r>
    </w:p>
    <w:p w:rsidR="00974C5A" w:rsidRPr="00D10D17" w:rsidRDefault="00BC5128" w:rsidP="00DD6E7D">
      <w:pPr>
        <w:pStyle w:val="ONUMFS"/>
        <w:rPr>
          <w:lang w:val="fr-FR"/>
        </w:rPr>
      </w:pPr>
      <w:r w:rsidRPr="00D10D17">
        <w:rPr>
          <w:lang w:val="fr-FR"/>
        </w:rPr>
        <w:t xml:space="preserve">Le </w:t>
      </w:r>
      <w:r w:rsidR="00111787" w:rsidRPr="00D10D17">
        <w:rPr>
          <w:lang w:val="fr-FR"/>
        </w:rPr>
        <w:t>7 mars 20</w:t>
      </w:r>
      <w:r w:rsidRPr="00D10D17">
        <w:rPr>
          <w:lang w:val="fr-FR"/>
        </w:rPr>
        <w:t>17,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enregistrement a </w:t>
      </w:r>
      <w:r w:rsidR="00B13261" w:rsidRPr="00D10D17">
        <w:rPr>
          <w:lang w:val="fr-FR"/>
        </w:rPr>
        <w:t>présenté une</w:t>
      </w:r>
      <w:r w:rsidRPr="00D10D17">
        <w:rPr>
          <w:lang w:val="fr-FR"/>
        </w:rPr>
        <w:t xml:space="preserve"> demande </w:t>
      </w:r>
      <w:r w:rsidR="00B13261" w:rsidRPr="00D10D17">
        <w:rPr>
          <w:lang w:val="fr-FR"/>
        </w:rPr>
        <w:t>pour</w:t>
      </w:r>
      <w:r w:rsidRPr="00D10D17">
        <w:rPr>
          <w:lang w:val="fr-FR"/>
        </w:rPr>
        <w:t xml:space="preserve"> prolong</w:t>
      </w:r>
      <w:r w:rsidR="00B13261" w:rsidRPr="00D10D17">
        <w:rPr>
          <w:lang w:val="fr-FR"/>
        </w:rPr>
        <w:t>er</w:t>
      </w:r>
      <w:r w:rsidRPr="00D10D17">
        <w:rPr>
          <w:lang w:val="fr-FR"/>
        </w:rPr>
        <w:t xml:space="preserve"> sa nomination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international selon le </w:t>
      </w:r>
      <w:r w:rsidR="00D10D17" w:rsidRPr="00D10D17">
        <w:rPr>
          <w:lang w:val="fr-FR"/>
        </w:rPr>
        <w:t>PCT.  Ce</w:t>
      </w:r>
      <w:r w:rsidRPr="00D10D17">
        <w:rPr>
          <w:lang w:val="fr-FR"/>
        </w:rPr>
        <w:t>tte demande est reproduite dans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annexe du présent document.</w:t>
      </w:r>
    </w:p>
    <w:p w:rsidR="00974C5A" w:rsidRPr="00781C47" w:rsidRDefault="00BC5128" w:rsidP="00DD6E7D">
      <w:pPr>
        <w:pStyle w:val="ONUMFS"/>
        <w:ind w:left="5533"/>
        <w:rPr>
          <w:i/>
          <w:lang w:val="fr-FR"/>
        </w:rPr>
      </w:pPr>
      <w:r w:rsidRPr="00781C47">
        <w:rPr>
          <w:i/>
          <w:lang w:val="fr-FR"/>
        </w:rPr>
        <w:t>Le comité est invité à donner son avis sur cette question.</w:t>
      </w:r>
    </w:p>
    <w:p w:rsidR="00974C5A" w:rsidRPr="00781C47" w:rsidRDefault="00974C5A" w:rsidP="00DD6E7D"/>
    <w:p w:rsidR="00781C47" w:rsidRPr="00781C47" w:rsidRDefault="00781C47" w:rsidP="00DD6E7D"/>
    <w:p w:rsidR="00AA5F79" w:rsidRPr="00D10D17" w:rsidRDefault="00BC5128" w:rsidP="00DD6E7D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D10D17" w:rsidSect="0011178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10D17">
        <w:rPr>
          <w:lang w:val="fr-FR"/>
        </w:rPr>
        <w:t>[L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annexe suit]</w:t>
      </w:r>
    </w:p>
    <w:p w:rsidR="00974C5A" w:rsidRPr="00D10D17" w:rsidRDefault="00101295" w:rsidP="00DD6E7D">
      <w:pPr>
        <w:pStyle w:val="ONUME"/>
        <w:numPr>
          <w:ilvl w:val="0"/>
          <w:numId w:val="0"/>
        </w:numPr>
        <w:jc w:val="center"/>
        <w:rPr>
          <w:caps/>
          <w:lang w:val="fr-FR"/>
        </w:rPr>
      </w:pPr>
      <w:r w:rsidRPr="00D10D17">
        <w:rPr>
          <w:caps/>
          <w:color w:val="000000"/>
          <w:lang w:val="fr-FR"/>
        </w:rPr>
        <w:lastRenderedPageBreak/>
        <w:t xml:space="preserve">Demande </w:t>
      </w:r>
      <w:r w:rsidR="00611CB0">
        <w:rPr>
          <w:caps/>
          <w:color w:val="000000"/>
          <w:lang w:val="fr-FR"/>
        </w:rPr>
        <w:t>de prolongation de la nomination de</w:t>
      </w:r>
      <w:r w:rsidR="00B13261" w:rsidRPr="00D10D17">
        <w:rPr>
          <w:caps/>
          <w:color w:val="000000"/>
          <w:lang w:val="fr-FR"/>
        </w:rPr>
        <w:t xml:space="preserve"> l</w:t>
      </w:r>
      <w:r w:rsidR="00111787" w:rsidRPr="00D10D17">
        <w:rPr>
          <w:caps/>
          <w:color w:val="000000"/>
          <w:lang w:val="fr-FR"/>
        </w:rPr>
        <w:t>’</w:t>
      </w:r>
      <w:r w:rsidR="00B13261" w:rsidRPr="00D10D17">
        <w:rPr>
          <w:caps/>
          <w:color w:val="000000"/>
          <w:lang w:val="fr-FR"/>
        </w:rPr>
        <w:t>Office finlandais des brevets et de l</w:t>
      </w:r>
      <w:r w:rsidR="00111787" w:rsidRPr="00D10D17">
        <w:rPr>
          <w:caps/>
          <w:color w:val="000000"/>
          <w:lang w:val="fr-FR"/>
        </w:rPr>
        <w:t>’</w:t>
      </w:r>
      <w:r w:rsidR="00B13261" w:rsidRPr="00D10D17">
        <w:rPr>
          <w:caps/>
          <w:color w:val="000000"/>
          <w:lang w:val="fr-FR"/>
        </w:rPr>
        <w:t xml:space="preserve">enregistrement </w:t>
      </w:r>
      <w:r w:rsidRPr="00D10D17">
        <w:rPr>
          <w:caps/>
          <w:color w:val="000000"/>
          <w:lang w:val="fr-FR"/>
        </w:rPr>
        <w:t>en qualité d</w:t>
      </w:r>
      <w:r w:rsidR="00111787" w:rsidRPr="00D10D17">
        <w:rPr>
          <w:caps/>
          <w:color w:val="000000"/>
          <w:lang w:val="fr-FR"/>
        </w:rPr>
        <w:t>’</w:t>
      </w:r>
      <w:r w:rsidRPr="00D10D17">
        <w:rPr>
          <w:caps/>
          <w:color w:val="000000"/>
          <w:lang w:val="fr-FR"/>
        </w:rPr>
        <w:t>administration chargée de la recherche internationale et de l</w:t>
      </w:r>
      <w:r w:rsidR="00111787" w:rsidRPr="00D10D17">
        <w:rPr>
          <w:caps/>
          <w:color w:val="000000"/>
          <w:lang w:val="fr-FR"/>
        </w:rPr>
        <w:t>’</w:t>
      </w:r>
      <w:r w:rsidRPr="00D10D17">
        <w:rPr>
          <w:caps/>
          <w:color w:val="000000"/>
          <w:lang w:val="fr-FR"/>
        </w:rPr>
        <w:t>examen préliminaire international selon</w:t>
      </w:r>
      <w:r w:rsidR="00111787" w:rsidRPr="00D10D17">
        <w:rPr>
          <w:caps/>
          <w:color w:val="000000"/>
          <w:lang w:val="fr-FR"/>
        </w:rPr>
        <w:t xml:space="preserve"> le PCT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01295" w:rsidP="00DD6E7D">
      <w:pPr>
        <w:pStyle w:val="SectionHeading"/>
        <w:rPr>
          <w:lang w:val="fr-FR"/>
        </w:rPr>
      </w:pPr>
      <w:r w:rsidRPr="00D10D17">
        <w:rPr>
          <w:lang w:val="fr-FR"/>
        </w:rPr>
        <w:t>1 – Généralités</w:t>
      </w:r>
    </w:p>
    <w:p w:rsidR="00111787" w:rsidRPr="00D10D17" w:rsidRDefault="00101295" w:rsidP="00DD6E7D">
      <w:pPr>
        <w:rPr>
          <w:b/>
          <w:lang w:val="fr-FR"/>
        </w:rPr>
      </w:pPr>
      <w:r w:rsidRPr="00D10D17">
        <w:rPr>
          <w:b/>
          <w:lang w:val="fr-FR"/>
        </w:rPr>
        <w:t>Nom de l</w:t>
      </w:r>
      <w:r w:rsidR="00111787" w:rsidRPr="00D10D17">
        <w:rPr>
          <w:b/>
          <w:lang w:val="fr-FR"/>
        </w:rPr>
        <w:t>’</w:t>
      </w:r>
      <w:r w:rsidRPr="00D10D17">
        <w:rPr>
          <w:b/>
          <w:lang w:val="fr-FR"/>
        </w:rPr>
        <w:t>office national ou de l</w:t>
      </w:r>
      <w:r w:rsidR="00111787" w:rsidRPr="00D10D17">
        <w:rPr>
          <w:b/>
          <w:lang w:val="fr-FR"/>
        </w:rPr>
        <w:t>’</w:t>
      </w:r>
      <w:r w:rsidRPr="00D10D17">
        <w:rPr>
          <w:b/>
          <w:lang w:val="fr-FR"/>
        </w:rPr>
        <w:t>organisation intergouvernementale</w:t>
      </w:r>
      <w:r w:rsidR="00111787" w:rsidRPr="00D10D17">
        <w:rPr>
          <w:b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01295" w:rsidP="00DD6E7D">
      <w:pPr>
        <w:rPr>
          <w:lang w:val="fr-FR"/>
        </w:rPr>
      </w:pP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01295" w:rsidP="00DD6E7D">
      <w:pPr>
        <w:rPr>
          <w:b/>
          <w:lang w:val="fr-FR"/>
        </w:rPr>
      </w:pPr>
      <w:r w:rsidRPr="00D10D17">
        <w:rPr>
          <w:b/>
          <w:lang w:val="fr-FR"/>
        </w:rPr>
        <w:t xml:space="preserve">Date à laquelle </w:t>
      </w:r>
      <w:r w:rsidR="00B13261" w:rsidRPr="00D10D17">
        <w:rPr>
          <w:b/>
          <w:lang w:val="fr-FR"/>
        </w:rPr>
        <w:t xml:space="preserve">le Directeur général a reçu la demande de </w:t>
      </w:r>
      <w:r w:rsidR="00611CB0">
        <w:rPr>
          <w:b/>
          <w:lang w:val="fr-FR"/>
        </w:rPr>
        <w:t>renouvellement</w:t>
      </w:r>
      <w:r w:rsidR="00111787" w:rsidRPr="00D10D17">
        <w:rPr>
          <w:b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11787" w:rsidP="00DD6E7D">
      <w:pPr>
        <w:rPr>
          <w:lang w:val="fr-FR"/>
        </w:rPr>
      </w:pPr>
      <w:r w:rsidRPr="00D10D17">
        <w:rPr>
          <w:lang w:val="fr-FR"/>
        </w:rPr>
        <w:t>7 mars 20</w:t>
      </w:r>
      <w:r w:rsidR="00101295" w:rsidRPr="00D10D17">
        <w:rPr>
          <w:lang w:val="fr-FR"/>
        </w:rPr>
        <w:t>17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101295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Session de l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 xml:space="preserve">assemblée à laquelle </w:t>
      </w:r>
      <w:r w:rsidR="00611CB0">
        <w:rPr>
          <w:b/>
          <w:szCs w:val="22"/>
          <w:lang w:val="fr-FR"/>
        </w:rPr>
        <w:t>le renouvellement</w:t>
      </w:r>
      <w:r w:rsidRPr="00D10D17">
        <w:rPr>
          <w:b/>
          <w:szCs w:val="22"/>
          <w:lang w:val="fr-FR"/>
        </w:rPr>
        <w:t xml:space="preserve"> sera demandé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AE7B44" w:rsidP="00DD6E7D">
      <w:pPr>
        <w:rPr>
          <w:lang w:val="fr-FR"/>
        </w:rPr>
      </w:pPr>
      <w:r w:rsidRPr="00D10D17">
        <w:rPr>
          <w:lang w:val="fr-FR"/>
        </w:rPr>
        <w:t>Qua</w:t>
      </w:r>
      <w:r w:rsidR="00101295" w:rsidRPr="00D10D17">
        <w:rPr>
          <w:lang w:val="fr-FR"/>
        </w:rPr>
        <w:t>rante</w:t>
      </w:r>
      <w:r w:rsidR="00781C47">
        <w:rPr>
          <w:lang w:val="fr-FR"/>
        </w:rPr>
        <w:noBreakHyphen/>
      </w:r>
      <w:r w:rsidR="00101295" w:rsidRPr="00D10D17">
        <w:rPr>
          <w:lang w:val="fr-FR"/>
        </w:rPr>
        <w:t>neuv</w:t>
      </w:r>
      <w:r w:rsidR="00111787" w:rsidRPr="00D10D17">
        <w:rPr>
          <w:lang w:val="fr-FR"/>
        </w:rPr>
        <w:t>ième session</w:t>
      </w:r>
      <w:r w:rsidR="00101295" w:rsidRPr="00D10D17">
        <w:rPr>
          <w:lang w:val="fr-FR"/>
        </w:rPr>
        <w:t xml:space="preserve"> de l</w:t>
      </w:r>
      <w:r w:rsidR="00111787" w:rsidRPr="00D10D17">
        <w:rPr>
          <w:lang w:val="fr-FR"/>
        </w:rPr>
        <w:t>’</w:t>
      </w:r>
      <w:r w:rsidR="00101295" w:rsidRPr="00D10D17">
        <w:rPr>
          <w:lang w:val="fr-FR"/>
        </w:rPr>
        <w:t>Assemblée de l</w:t>
      </w:r>
      <w:r w:rsidR="00111787" w:rsidRPr="00D10D17">
        <w:rPr>
          <w:lang w:val="fr-FR"/>
        </w:rPr>
        <w:t>’</w:t>
      </w:r>
      <w:r w:rsidR="00101295" w:rsidRPr="00D10D17">
        <w:rPr>
          <w:lang w:val="fr-FR"/>
        </w:rPr>
        <w:t>Union</w:t>
      </w:r>
      <w:r w:rsidR="00111787" w:rsidRPr="00D10D17">
        <w:rPr>
          <w:lang w:val="fr-FR"/>
        </w:rPr>
        <w:t xml:space="preserve"> du PCT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101295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Date à laquelle l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 xml:space="preserve">office pourrait commencer </w:t>
      </w:r>
      <w:r w:rsidR="003F6397" w:rsidRPr="00D10D17">
        <w:rPr>
          <w:b/>
          <w:szCs w:val="22"/>
          <w:lang w:val="fr-FR"/>
        </w:rPr>
        <w:t>à agir</w:t>
      </w:r>
      <w:r w:rsidRPr="00D10D17">
        <w:rPr>
          <w:b/>
          <w:szCs w:val="22"/>
          <w:lang w:val="fr-FR"/>
        </w:rPr>
        <w:t xml:space="preserve"> en qualité d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>administration chargée de la recherche internationale et de l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>examen préliminaire international</w:t>
      </w:r>
      <w:r w:rsidR="00611CB0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b/>
          <w:lang w:val="fr-FR"/>
        </w:rPr>
      </w:pPr>
    </w:p>
    <w:p w:rsidR="00111787" w:rsidRPr="00D10D17" w:rsidRDefault="00AE7B44" w:rsidP="00DD6E7D">
      <w:pPr>
        <w:rPr>
          <w:lang w:val="fr-FR"/>
        </w:rPr>
      </w:pPr>
      <w:r w:rsidRPr="00D10D17">
        <w:rPr>
          <w:lang w:val="fr-FR"/>
        </w:rPr>
        <w:t>1</w:t>
      </w:r>
      <w:r w:rsidRPr="00D10D17">
        <w:rPr>
          <w:vertAlign w:val="superscript"/>
          <w:lang w:val="fr-FR"/>
        </w:rPr>
        <w:t>er</w:t>
      </w:r>
      <w:r w:rsidR="00781C47">
        <w:rPr>
          <w:lang w:val="fr-FR"/>
        </w:rPr>
        <w:t> </w:t>
      </w:r>
      <w:r w:rsidRPr="00D10D17">
        <w:rPr>
          <w:lang w:val="fr-FR"/>
        </w:rPr>
        <w:t>janvier 2018, lors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entrée en vigueur de la prolongation de la nomination existante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international.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AE7B44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Administration</w:t>
      </w:r>
      <w:r w:rsidR="00D35066" w:rsidRPr="00D10D17">
        <w:rPr>
          <w:b/>
          <w:bCs/>
          <w:szCs w:val="22"/>
          <w:lang w:val="fr-FR"/>
        </w:rPr>
        <w:t>s</w:t>
      </w:r>
      <w:r w:rsidRPr="00D10D17">
        <w:rPr>
          <w:b/>
          <w:bCs/>
          <w:szCs w:val="22"/>
          <w:lang w:val="fr-FR"/>
        </w:rPr>
        <w:t xml:space="preserve"> </w:t>
      </w:r>
      <w:r w:rsidR="003F6397" w:rsidRPr="00D10D17">
        <w:rPr>
          <w:b/>
          <w:bCs/>
          <w:szCs w:val="22"/>
          <w:lang w:val="fr-FR"/>
        </w:rPr>
        <w:t>actuellement</w:t>
      </w:r>
      <w:r w:rsidRPr="00D10D17">
        <w:rPr>
          <w:b/>
          <w:bCs/>
          <w:szCs w:val="22"/>
          <w:lang w:val="fr-FR"/>
        </w:rPr>
        <w:t xml:space="preserve"> chargée</w:t>
      </w:r>
      <w:r w:rsidR="00D35066" w:rsidRPr="00D10D17">
        <w:rPr>
          <w:b/>
          <w:bCs/>
          <w:szCs w:val="22"/>
          <w:lang w:val="fr-FR"/>
        </w:rPr>
        <w:t>s</w:t>
      </w:r>
      <w:r w:rsidRPr="00D10D17">
        <w:rPr>
          <w:b/>
          <w:bCs/>
          <w:szCs w:val="22"/>
          <w:lang w:val="fr-FR"/>
        </w:rPr>
        <w:t xml:space="preserve"> de la recherche internationale et de l</w:t>
      </w:r>
      <w:r w:rsidR="00111787" w:rsidRPr="00D10D17">
        <w:rPr>
          <w:b/>
          <w:bCs/>
          <w:szCs w:val="22"/>
          <w:lang w:val="fr-FR"/>
        </w:rPr>
        <w:t>’</w:t>
      </w:r>
      <w:r w:rsidRPr="00D10D17">
        <w:rPr>
          <w:b/>
          <w:bCs/>
          <w:szCs w:val="22"/>
          <w:lang w:val="fr-FR"/>
        </w:rPr>
        <w:t>examen préliminaire international qui prête</w:t>
      </w:r>
      <w:r w:rsidR="00D35066" w:rsidRPr="00D10D17">
        <w:rPr>
          <w:b/>
          <w:bCs/>
          <w:szCs w:val="22"/>
          <w:lang w:val="fr-FR"/>
        </w:rPr>
        <w:t>nt</w:t>
      </w:r>
      <w:r w:rsidRPr="00D10D17">
        <w:rPr>
          <w:b/>
          <w:bCs/>
          <w:szCs w:val="22"/>
          <w:lang w:val="fr-FR"/>
        </w:rPr>
        <w:t xml:space="preserve"> </w:t>
      </w:r>
      <w:r w:rsidR="00D35066" w:rsidRPr="00D10D17">
        <w:rPr>
          <w:b/>
          <w:bCs/>
          <w:szCs w:val="22"/>
          <w:lang w:val="fr-FR"/>
        </w:rPr>
        <w:t>leur</w:t>
      </w:r>
      <w:r w:rsidRPr="00D10D17">
        <w:rPr>
          <w:b/>
          <w:bCs/>
          <w:szCs w:val="22"/>
          <w:lang w:val="fr-FR"/>
        </w:rPr>
        <w:t xml:space="preserve"> </w:t>
      </w:r>
      <w:r w:rsidR="00611CB0">
        <w:rPr>
          <w:b/>
          <w:bCs/>
          <w:szCs w:val="22"/>
          <w:lang w:val="fr-FR"/>
        </w:rPr>
        <w:t>concours</w:t>
      </w:r>
      <w:r w:rsidRPr="00D10D17">
        <w:rPr>
          <w:b/>
          <w:bCs/>
          <w:szCs w:val="22"/>
          <w:lang w:val="fr-FR"/>
        </w:rPr>
        <w:t xml:space="preserve"> </w:t>
      </w:r>
      <w:r w:rsidR="00611CB0">
        <w:rPr>
          <w:b/>
          <w:bCs/>
          <w:szCs w:val="22"/>
          <w:lang w:val="fr-FR"/>
        </w:rPr>
        <w:t>à l’évaluation</w:t>
      </w:r>
      <w:r w:rsidRPr="00D10D17">
        <w:rPr>
          <w:b/>
          <w:bCs/>
          <w:szCs w:val="22"/>
          <w:lang w:val="fr-FR"/>
        </w:rPr>
        <w:t xml:space="preserve"> </w:t>
      </w:r>
      <w:r w:rsidR="00611CB0">
        <w:rPr>
          <w:b/>
          <w:bCs/>
          <w:szCs w:val="22"/>
          <w:lang w:val="fr-FR"/>
        </w:rPr>
        <w:t xml:space="preserve">de la mesure </w:t>
      </w:r>
      <w:r w:rsidRPr="00D10D17">
        <w:rPr>
          <w:b/>
          <w:bCs/>
          <w:szCs w:val="22"/>
          <w:lang w:val="fr-FR"/>
        </w:rPr>
        <w:t xml:space="preserve">dans </w:t>
      </w:r>
      <w:r w:rsidR="00611CB0">
        <w:rPr>
          <w:b/>
          <w:bCs/>
          <w:szCs w:val="22"/>
          <w:lang w:val="fr-FR"/>
        </w:rPr>
        <w:t>la</w:t>
      </w:r>
      <w:r w:rsidRPr="00D10D17">
        <w:rPr>
          <w:b/>
          <w:bCs/>
          <w:szCs w:val="22"/>
          <w:lang w:val="fr-FR"/>
        </w:rPr>
        <w:t>quelle les critères sont remplis</w:t>
      </w:r>
      <w:r w:rsidR="00111787" w:rsidRPr="00D10D17">
        <w:rPr>
          <w:b/>
          <w:bCs/>
          <w:szCs w:val="22"/>
          <w:lang w:val="fr-FR"/>
        </w:rPr>
        <w:t> :</w:t>
      </w:r>
    </w:p>
    <w:p w:rsidR="00111787" w:rsidRPr="00D10D17" w:rsidRDefault="00111787" w:rsidP="00DD6E7D">
      <w:pPr>
        <w:rPr>
          <w:lang w:val="fr-FR"/>
        </w:rPr>
      </w:pPr>
    </w:p>
    <w:p w:rsidR="00974C5A" w:rsidRPr="00D10D17" w:rsidRDefault="00611CB0" w:rsidP="00DD6E7D">
      <w:pPr>
        <w:rPr>
          <w:lang w:val="fr-FR"/>
        </w:rPr>
      </w:pPr>
      <w:r>
        <w:rPr>
          <w:lang w:val="fr-FR"/>
        </w:rPr>
        <w:t>Sans objet</w:t>
      </w:r>
      <w:r w:rsidR="00AE7B44" w:rsidRPr="00D10D17">
        <w:rPr>
          <w:lang w:val="fr-FR"/>
        </w:rPr>
        <w:t>.</w:t>
      </w:r>
    </w:p>
    <w:p w:rsidR="00111787" w:rsidRPr="00D10D17" w:rsidRDefault="00240086" w:rsidP="00DD6E7D">
      <w:pPr>
        <w:pStyle w:val="SectionHeading"/>
        <w:rPr>
          <w:lang w:val="fr-FR"/>
        </w:rPr>
      </w:pPr>
      <w:r w:rsidRPr="00D10D17">
        <w:rPr>
          <w:lang w:val="fr-FR"/>
        </w:rPr>
        <w:t xml:space="preserve">2 – </w:t>
      </w:r>
      <w:r w:rsidR="00781C47">
        <w:rPr>
          <w:lang w:val="fr-FR"/>
        </w:rPr>
        <w:t>C</w:t>
      </w:r>
      <w:r w:rsidRPr="00D10D17">
        <w:rPr>
          <w:lang w:val="fr-FR"/>
        </w:rPr>
        <w:t>ritères mat</w:t>
      </w:r>
      <w:r w:rsidR="00781C47">
        <w:rPr>
          <w:lang w:val="fr-FR"/>
        </w:rPr>
        <w:t>é</w:t>
      </w:r>
      <w:r w:rsidRPr="00D10D17">
        <w:rPr>
          <w:lang w:val="fr-FR"/>
        </w:rPr>
        <w:t>riels</w:t>
      </w:r>
      <w:r w:rsidR="00111787" w:rsidRPr="00D10D17">
        <w:rPr>
          <w:lang w:val="fr-FR"/>
        </w:rPr>
        <w:t> :</w:t>
      </w:r>
      <w:r w:rsidRPr="00D10D17">
        <w:rPr>
          <w:lang w:val="fr-FR"/>
        </w:rPr>
        <w:t xml:space="preserve"> </w:t>
      </w:r>
      <w:r w:rsidR="00D35066" w:rsidRPr="00D10D17">
        <w:rPr>
          <w:lang w:val="fr-FR"/>
        </w:rPr>
        <w:t>exigences</w:t>
      </w:r>
      <w:r w:rsidRPr="00D10D17">
        <w:rPr>
          <w:lang w:val="fr-FR"/>
        </w:rPr>
        <w:t xml:space="preserve"> minimales </w:t>
      </w:r>
      <w:r w:rsidR="00D35066" w:rsidRPr="00D10D17">
        <w:rPr>
          <w:lang w:val="fr-FR"/>
        </w:rPr>
        <w:t xml:space="preserve">applicables </w:t>
      </w:r>
      <w:r w:rsidR="00781C47">
        <w:rPr>
          <w:lang w:val="fr-FR"/>
        </w:rPr>
        <w:t>à</w:t>
      </w:r>
      <w:r w:rsidR="00D35066" w:rsidRPr="00D10D17">
        <w:rPr>
          <w:lang w:val="fr-FR"/>
        </w:rPr>
        <w:t xml:space="preserve"> la</w:t>
      </w:r>
      <w:r w:rsidRPr="00D10D17">
        <w:rPr>
          <w:lang w:val="fr-FR"/>
        </w:rPr>
        <w:t xml:space="preserve"> nomination</w:t>
      </w:r>
    </w:p>
    <w:p w:rsidR="00974C5A" w:rsidRPr="00781C47" w:rsidRDefault="00974C5A" w:rsidP="00DD6E7D">
      <w:pPr>
        <w:rPr>
          <w:sz w:val="16"/>
          <w:szCs w:val="16"/>
          <w:lang w:val="fr-FR"/>
        </w:rPr>
      </w:pPr>
    </w:p>
    <w:p w:rsidR="00111787" w:rsidRPr="00D10D17" w:rsidRDefault="00240086" w:rsidP="00DD6E7D">
      <w:pPr>
        <w:pStyle w:val="SectionHeading"/>
        <w:spacing w:before="0"/>
        <w:rPr>
          <w:lang w:val="fr-FR"/>
        </w:rPr>
      </w:pPr>
      <w:r w:rsidRPr="00D10D17">
        <w:rPr>
          <w:lang w:val="fr-FR"/>
        </w:rPr>
        <w:t xml:space="preserve">2.1 – </w:t>
      </w:r>
      <w:r w:rsidR="00781C47">
        <w:rPr>
          <w:lang w:val="fr-FR"/>
        </w:rPr>
        <w:t>C</w:t>
      </w:r>
      <w:r w:rsidRPr="00D10D17">
        <w:rPr>
          <w:lang w:val="fr-FR"/>
        </w:rPr>
        <w:t xml:space="preserve">apacité </w:t>
      </w:r>
      <w:r w:rsidR="00C37448" w:rsidRPr="00D10D17">
        <w:rPr>
          <w:lang w:val="fr-FR"/>
        </w:rPr>
        <w:t>en mati</w:t>
      </w:r>
      <w:r w:rsidR="00781C47">
        <w:rPr>
          <w:lang w:val="fr-FR"/>
        </w:rPr>
        <w:t>è</w:t>
      </w:r>
      <w:r w:rsidR="00C37448" w:rsidRPr="00D10D17">
        <w:rPr>
          <w:lang w:val="fr-FR"/>
        </w:rPr>
        <w:t xml:space="preserve">re </w:t>
      </w:r>
      <w:r w:rsidRPr="00D10D17">
        <w:rPr>
          <w:lang w:val="fr-FR"/>
        </w:rPr>
        <w:t>de recherche et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</w:t>
      </w:r>
    </w:p>
    <w:p w:rsidR="00974C5A" w:rsidRPr="00D10D17" w:rsidRDefault="00111787" w:rsidP="00DD6E7D">
      <w:pPr>
        <w:rPr>
          <w:b/>
          <w:i/>
          <w:lang w:val="fr-FR"/>
        </w:rPr>
      </w:pPr>
      <w:r w:rsidRPr="00D10D17">
        <w:rPr>
          <w:b/>
          <w:i/>
          <w:lang w:val="fr-FR"/>
        </w:rPr>
        <w:t>Règles 3</w:t>
      </w:r>
      <w:r w:rsidR="00781C47">
        <w:rPr>
          <w:b/>
          <w:i/>
          <w:lang w:val="fr-FR"/>
        </w:rPr>
        <w:t>6.1.i) et </w:t>
      </w:r>
      <w:r w:rsidR="00240086" w:rsidRPr="00D10D17">
        <w:rPr>
          <w:b/>
          <w:i/>
          <w:lang w:val="fr-FR"/>
        </w:rPr>
        <w:t>63.1.i)</w:t>
      </w:r>
      <w:r w:rsidRPr="00D10D17">
        <w:rPr>
          <w:b/>
          <w:i/>
          <w:lang w:val="fr-FR"/>
        </w:rPr>
        <w:t> :</w:t>
      </w:r>
      <w:r w:rsidR="00240086" w:rsidRPr="00D10D17">
        <w:rPr>
          <w:b/>
          <w:i/>
          <w:lang w:val="fr-FR"/>
        </w:rPr>
        <w:t xml:space="preserve"> l</w:t>
      </w:r>
      <w:r w:rsidRPr="00D10D17">
        <w:rPr>
          <w:b/>
          <w:i/>
          <w:lang w:val="fr-FR"/>
        </w:rPr>
        <w:t>’</w:t>
      </w:r>
      <w:r w:rsidR="00240086" w:rsidRPr="00D10D17">
        <w:rPr>
          <w:b/>
          <w:i/>
          <w:lang w:val="fr-FR"/>
        </w:rPr>
        <w:t>office national ou l</w:t>
      </w:r>
      <w:r w:rsidRPr="00D10D17">
        <w:rPr>
          <w:b/>
          <w:i/>
          <w:lang w:val="fr-FR"/>
        </w:rPr>
        <w:t>’</w:t>
      </w:r>
      <w:r w:rsidR="00240086" w:rsidRPr="00D10D17">
        <w:rPr>
          <w:b/>
          <w:i/>
          <w:lang w:val="fr-FR"/>
        </w:rPr>
        <w:t>organisation intergouvernementale doit avoir au moins cent employés à plein temps possédant des qualifications techni</w:t>
      </w:r>
      <w:r w:rsidR="00611CB0">
        <w:rPr>
          <w:b/>
          <w:i/>
          <w:lang w:val="fr-FR"/>
        </w:rPr>
        <w:t xml:space="preserve">ques suffisantes pour procéder à la </w:t>
      </w:r>
      <w:r w:rsidR="00240086" w:rsidRPr="00D10D17">
        <w:rPr>
          <w:b/>
          <w:i/>
          <w:lang w:val="fr-FR"/>
        </w:rPr>
        <w:t>recherche</w:t>
      </w:r>
      <w:r w:rsidR="00D35066" w:rsidRPr="00D10D17">
        <w:rPr>
          <w:b/>
          <w:i/>
          <w:lang w:val="fr-FR"/>
        </w:rPr>
        <w:t xml:space="preserve"> et </w:t>
      </w:r>
      <w:r w:rsidR="00611CB0">
        <w:rPr>
          <w:b/>
          <w:i/>
          <w:lang w:val="fr-FR"/>
        </w:rPr>
        <w:t>à l’</w:t>
      </w:r>
      <w:r w:rsidR="00D35066" w:rsidRPr="00D10D17">
        <w:rPr>
          <w:b/>
          <w:i/>
          <w:lang w:val="fr-FR"/>
        </w:rPr>
        <w:t>examen</w:t>
      </w:r>
      <w:r w:rsidR="00240086" w:rsidRPr="00D10D17">
        <w:rPr>
          <w:b/>
          <w:i/>
          <w:lang w:val="fr-FR"/>
        </w:rPr>
        <w:t>.</w:t>
      </w:r>
    </w:p>
    <w:p w:rsidR="00974C5A" w:rsidRPr="00D10D17" w:rsidRDefault="00974C5A" w:rsidP="00DD6E7D">
      <w:pPr>
        <w:keepNext/>
        <w:keepLines/>
        <w:rPr>
          <w:b/>
          <w:bCs/>
          <w:szCs w:val="22"/>
          <w:lang w:val="fr-FR"/>
        </w:rPr>
      </w:pPr>
    </w:p>
    <w:p w:rsidR="00974C5A" w:rsidRPr="00D10D17" w:rsidRDefault="00240086" w:rsidP="00DD6E7D">
      <w:pPr>
        <w:keepNext/>
        <w:keepLines/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 xml:space="preserve">Employés </w:t>
      </w:r>
      <w:r w:rsidR="00D35066" w:rsidRPr="00D10D17">
        <w:rPr>
          <w:b/>
          <w:lang w:val="fr-FR"/>
        </w:rPr>
        <w:t>qualifiés</w:t>
      </w:r>
      <w:r w:rsidR="00883A8C" w:rsidRPr="00D10D17">
        <w:rPr>
          <w:b/>
          <w:i/>
          <w:lang w:val="fr-FR"/>
        </w:rPr>
        <w:t xml:space="preserve"> </w:t>
      </w:r>
      <w:r w:rsidRPr="00D10D17">
        <w:rPr>
          <w:b/>
          <w:bCs/>
          <w:szCs w:val="22"/>
          <w:lang w:val="fr-FR"/>
        </w:rPr>
        <w:t xml:space="preserve">pour procéder </w:t>
      </w:r>
      <w:r w:rsidR="00611CB0">
        <w:rPr>
          <w:b/>
          <w:bCs/>
          <w:szCs w:val="22"/>
          <w:lang w:val="fr-FR"/>
        </w:rPr>
        <w:t>à la</w:t>
      </w:r>
      <w:r w:rsidRPr="00D10D17">
        <w:rPr>
          <w:b/>
          <w:bCs/>
          <w:szCs w:val="22"/>
          <w:lang w:val="fr-FR"/>
        </w:rPr>
        <w:t xml:space="preserve"> recherche et </w:t>
      </w:r>
      <w:r w:rsidR="00611CB0">
        <w:rPr>
          <w:b/>
          <w:bCs/>
          <w:szCs w:val="22"/>
          <w:lang w:val="fr-FR"/>
        </w:rPr>
        <w:t>à l’</w:t>
      </w:r>
      <w:r w:rsidRPr="00D10D17">
        <w:rPr>
          <w:b/>
          <w:bCs/>
          <w:szCs w:val="22"/>
          <w:lang w:val="fr-FR"/>
        </w:rPr>
        <w:t>examen</w:t>
      </w:r>
      <w:r w:rsidR="00111787" w:rsidRPr="00D10D17">
        <w:rPr>
          <w:b/>
          <w:bCs/>
          <w:szCs w:val="22"/>
          <w:lang w:val="fr-FR"/>
        </w:rPr>
        <w:t> :</w:t>
      </w:r>
      <w:r w:rsidRPr="00D10D17">
        <w:rPr>
          <w:bCs/>
          <w:szCs w:val="22"/>
          <w:lang w:val="fr-FR"/>
        </w:rPr>
        <w:t xml:space="preserve"> (état au 3</w:t>
      </w:r>
      <w:r w:rsidR="00111787" w:rsidRPr="00D10D17">
        <w:rPr>
          <w:bCs/>
          <w:szCs w:val="22"/>
          <w:lang w:val="fr-FR"/>
        </w:rPr>
        <w:t>1 décembre</w:t>
      </w:r>
      <w:r w:rsidRPr="00D10D17">
        <w:rPr>
          <w:bCs/>
          <w:szCs w:val="22"/>
          <w:lang w:val="fr-FR"/>
        </w:rPr>
        <w:t> 2016)</w:t>
      </w:r>
    </w:p>
    <w:p w:rsidR="005540D9" w:rsidRPr="00D10D17" w:rsidRDefault="005540D9" w:rsidP="00DD6E7D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3119"/>
        <w:gridCol w:w="2126"/>
      </w:tblGrid>
      <w:tr w:rsidR="00781C47" w:rsidRPr="00781C4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781C47" w:rsidRDefault="00240086" w:rsidP="00DD6E7D">
            <w:pPr>
              <w:rPr>
                <w:b/>
                <w:sz w:val="21"/>
                <w:szCs w:val="21"/>
                <w:lang w:val="fr-FR"/>
              </w:rPr>
            </w:pPr>
            <w:r w:rsidRPr="00781C47">
              <w:rPr>
                <w:b/>
                <w:sz w:val="21"/>
                <w:szCs w:val="21"/>
                <w:lang w:val="fr-FR"/>
              </w:rPr>
              <w:t>Domaine technique</w:t>
            </w:r>
          </w:p>
        </w:tc>
        <w:tc>
          <w:tcPr>
            <w:tcW w:w="1559" w:type="dxa"/>
            <w:shd w:val="clear" w:color="auto" w:fill="auto"/>
          </w:tcPr>
          <w:p w:rsidR="005540D9" w:rsidRPr="00781C47" w:rsidRDefault="00C37448" w:rsidP="00DD6E7D">
            <w:pPr>
              <w:rPr>
                <w:b/>
                <w:sz w:val="21"/>
                <w:szCs w:val="21"/>
                <w:lang w:val="fr-FR"/>
              </w:rPr>
            </w:pPr>
            <w:r w:rsidRPr="00781C47">
              <w:rPr>
                <w:b/>
                <w:sz w:val="21"/>
                <w:szCs w:val="21"/>
                <w:lang w:val="fr-FR"/>
              </w:rPr>
              <w:t>Nombre (équivalent plein temps)</w:t>
            </w:r>
          </w:p>
        </w:tc>
        <w:tc>
          <w:tcPr>
            <w:tcW w:w="3119" w:type="dxa"/>
          </w:tcPr>
          <w:p w:rsidR="005540D9" w:rsidRPr="00CF0718" w:rsidRDefault="00CF0718" w:rsidP="00CF0718">
            <w:pPr>
              <w:keepNext/>
              <w:suppressAutoHyphens/>
              <w:rPr>
                <w:rFonts w:eastAsia="Times New Roman"/>
                <w:b/>
                <w:bCs/>
                <w:szCs w:val="24"/>
                <w:lang w:val="fr-FR" w:eastAsia="en-GB" w:bidi="he-IL"/>
              </w:rPr>
            </w:pPr>
            <w:r>
              <w:rPr>
                <w:rFonts w:eastAsia="Times New Roman"/>
                <w:b/>
                <w:bCs/>
                <w:szCs w:val="24"/>
                <w:lang w:val="fr-FR" w:eastAsia="en-GB" w:bidi="he-IL"/>
              </w:rPr>
              <w:t>Expérience moyenne en tant qu’examinateurs (en années)</w:t>
            </w:r>
          </w:p>
        </w:tc>
        <w:tc>
          <w:tcPr>
            <w:tcW w:w="2126" w:type="dxa"/>
          </w:tcPr>
          <w:p w:rsidR="00111787" w:rsidRPr="00781C47" w:rsidRDefault="00C37448" w:rsidP="00DD6E7D">
            <w:pPr>
              <w:rPr>
                <w:b/>
                <w:sz w:val="21"/>
                <w:szCs w:val="21"/>
                <w:lang w:val="fr-FR"/>
              </w:rPr>
            </w:pPr>
            <w:r w:rsidRPr="00781C47">
              <w:rPr>
                <w:b/>
                <w:sz w:val="21"/>
                <w:szCs w:val="21"/>
                <w:lang w:val="fr-FR"/>
              </w:rPr>
              <w:t xml:space="preserve">Répartition </w:t>
            </w:r>
            <w:r w:rsidR="00D35066" w:rsidRPr="00781C47">
              <w:rPr>
                <w:b/>
                <w:sz w:val="21"/>
                <w:szCs w:val="21"/>
                <w:lang w:val="fr-FR"/>
              </w:rPr>
              <w:t xml:space="preserve">en fonction </w:t>
            </w:r>
            <w:r w:rsidRPr="00781C47">
              <w:rPr>
                <w:b/>
                <w:sz w:val="21"/>
                <w:szCs w:val="21"/>
                <w:lang w:val="fr-FR"/>
              </w:rPr>
              <w:t>des qualifications</w:t>
            </w:r>
          </w:p>
          <w:p w:rsidR="005540D9" w:rsidRPr="00781C47" w:rsidRDefault="00C37448" w:rsidP="00DD6E7D">
            <w:pPr>
              <w:rPr>
                <w:b/>
                <w:sz w:val="21"/>
                <w:szCs w:val="21"/>
                <w:lang w:val="fr-FR"/>
              </w:rPr>
            </w:pPr>
            <w:r w:rsidRPr="00781C47">
              <w:rPr>
                <w:b/>
                <w:sz w:val="21"/>
                <w:szCs w:val="21"/>
                <w:lang w:val="fr-FR"/>
              </w:rPr>
              <w:t>(</w:t>
            </w:r>
            <w:r w:rsidR="00611CB0">
              <w:rPr>
                <w:b/>
                <w:sz w:val="21"/>
                <w:szCs w:val="21"/>
                <w:lang w:val="fr-FR"/>
              </w:rPr>
              <w:t>m</w:t>
            </w:r>
            <w:r w:rsidR="00161E29" w:rsidRPr="00781C47">
              <w:rPr>
                <w:b/>
                <w:sz w:val="21"/>
                <w:szCs w:val="21"/>
                <w:lang w:val="fr-FR"/>
              </w:rPr>
              <w:t>aster/</w:t>
            </w:r>
            <w:r w:rsidRPr="00781C47">
              <w:rPr>
                <w:b/>
                <w:sz w:val="21"/>
                <w:szCs w:val="21"/>
                <w:lang w:val="fr-FR"/>
              </w:rPr>
              <w:t>doctorat)</w:t>
            </w:r>
          </w:p>
        </w:tc>
      </w:tr>
      <w:tr w:rsidR="00781C47" w:rsidRPr="00D10D1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D10D17" w:rsidRDefault="00C37448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Mécanique</w:t>
            </w:r>
          </w:p>
        </w:tc>
        <w:tc>
          <w:tcPr>
            <w:tcW w:w="1559" w:type="dxa"/>
            <w:shd w:val="clear" w:color="auto" w:fill="auto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31</w:t>
            </w:r>
          </w:p>
        </w:tc>
        <w:tc>
          <w:tcPr>
            <w:tcW w:w="3119" w:type="dxa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13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28/3</w:t>
            </w:r>
          </w:p>
        </w:tc>
      </w:tr>
      <w:tr w:rsidR="00781C47" w:rsidRPr="00D10D1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D10D17" w:rsidRDefault="00C37448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Électricité/Électronique</w:t>
            </w:r>
          </w:p>
        </w:tc>
        <w:tc>
          <w:tcPr>
            <w:tcW w:w="1559" w:type="dxa"/>
            <w:shd w:val="clear" w:color="auto" w:fill="auto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41</w:t>
            </w:r>
          </w:p>
        </w:tc>
        <w:tc>
          <w:tcPr>
            <w:tcW w:w="3119" w:type="dxa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13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13/28</w:t>
            </w:r>
          </w:p>
        </w:tc>
      </w:tr>
      <w:tr w:rsidR="00781C47" w:rsidRPr="00D10D1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D10D17" w:rsidRDefault="00C37448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Chimie</w:t>
            </w:r>
          </w:p>
        </w:tc>
        <w:tc>
          <w:tcPr>
            <w:tcW w:w="1559" w:type="dxa"/>
            <w:shd w:val="clear" w:color="auto" w:fill="auto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23</w:t>
            </w:r>
          </w:p>
        </w:tc>
        <w:tc>
          <w:tcPr>
            <w:tcW w:w="3119" w:type="dxa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15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14/9</w:t>
            </w:r>
          </w:p>
        </w:tc>
      </w:tr>
      <w:tr w:rsidR="00781C47" w:rsidRPr="00D10D1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D10D17" w:rsidRDefault="00C37448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Biotechnologie</w:t>
            </w:r>
          </w:p>
        </w:tc>
        <w:tc>
          <w:tcPr>
            <w:tcW w:w="1559" w:type="dxa"/>
            <w:shd w:val="clear" w:color="auto" w:fill="auto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8</w:t>
            </w:r>
          </w:p>
        </w:tc>
        <w:tc>
          <w:tcPr>
            <w:tcW w:w="3119" w:type="dxa"/>
          </w:tcPr>
          <w:p w:rsidR="005540D9" w:rsidRPr="00D10D17" w:rsidRDefault="005540D9" w:rsidP="00DD6E7D">
            <w:pPr>
              <w:ind w:right="45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15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4/4</w:t>
            </w:r>
          </w:p>
        </w:tc>
      </w:tr>
      <w:tr w:rsidR="00781C47" w:rsidRPr="00D10D17" w:rsidTr="00781C47">
        <w:trPr>
          <w:cantSplit/>
        </w:trPr>
        <w:tc>
          <w:tcPr>
            <w:tcW w:w="2660" w:type="dxa"/>
            <w:shd w:val="clear" w:color="auto" w:fill="auto"/>
          </w:tcPr>
          <w:p w:rsidR="005540D9" w:rsidRPr="00D10D17" w:rsidRDefault="005540D9" w:rsidP="00DD6E7D">
            <w:pPr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5540D9" w:rsidRPr="00D10D17" w:rsidRDefault="005540D9" w:rsidP="00DD6E7D">
            <w:pPr>
              <w:ind w:right="459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103</w:t>
            </w:r>
          </w:p>
        </w:tc>
        <w:tc>
          <w:tcPr>
            <w:tcW w:w="3119" w:type="dxa"/>
          </w:tcPr>
          <w:p w:rsidR="005540D9" w:rsidRPr="00D10D17" w:rsidRDefault="005540D9" w:rsidP="00DD6E7D">
            <w:pPr>
              <w:ind w:right="459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13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59/44</w:t>
            </w:r>
          </w:p>
        </w:tc>
      </w:tr>
    </w:tbl>
    <w:p w:rsidR="00974C5A" w:rsidRPr="00781C47" w:rsidRDefault="00974C5A" w:rsidP="00DD6E7D">
      <w:pPr>
        <w:rPr>
          <w:rStyle w:val="InsertedText"/>
          <w:b/>
          <w:bCs/>
          <w:color w:val="auto"/>
          <w:lang w:val="fr-FR"/>
        </w:rPr>
      </w:pPr>
    </w:p>
    <w:p w:rsidR="00974C5A" w:rsidRPr="00D10D17" w:rsidRDefault="00C37448" w:rsidP="00DD6E7D">
      <w:pPr>
        <w:keepNext/>
        <w:keepLines/>
        <w:rPr>
          <w:b/>
          <w:lang w:val="fr-FR"/>
        </w:rPr>
      </w:pPr>
      <w:r w:rsidRPr="00D10D17">
        <w:rPr>
          <w:b/>
          <w:lang w:val="fr-FR"/>
        </w:rPr>
        <w:t>Programmes de formation</w:t>
      </w:r>
    </w:p>
    <w:p w:rsidR="00974C5A" w:rsidRPr="00D10D17" w:rsidRDefault="00974C5A" w:rsidP="00DD6E7D">
      <w:pPr>
        <w:keepNext/>
        <w:keepLines/>
        <w:rPr>
          <w:lang w:val="fr-FR"/>
        </w:rPr>
      </w:pPr>
    </w:p>
    <w:p w:rsidR="00974C5A" w:rsidRPr="00D10D17" w:rsidRDefault="00C37448" w:rsidP="00DD6E7D">
      <w:pPr>
        <w:keepNext/>
        <w:keepLines/>
        <w:rPr>
          <w:i/>
          <w:lang w:val="fr-FR"/>
        </w:rPr>
      </w:pPr>
      <w:r w:rsidRPr="00D10D17">
        <w:rPr>
          <w:i/>
          <w:lang w:val="fr-FR"/>
        </w:rPr>
        <w:t>Programme de formation des nouveaux examinateurs</w:t>
      </w:r>
    </w:p>
    <w:p w:rsidR="00974C5A" w:rsidRPr="00D10D17" w:rsidRDefault="00974C5A" w:rsidP="00DD6E7D">
      <w:pPr>
        <w:keepNext/>
        <w:keepLines/>
        <w:rPr>
          <w:lang w:val="fr-FR"/>
        </w:rPr>
      </w:pPr>
    </w:p>
    <w:p w:rsidR="00974C5A" w:rsidRPr="00D10D17" w:rsidRDefault="00C37448" w:rsidP="00DD6E7D">
      <w:pPr>
        <w:rPr>
          <w:lang w:val="fr-FR"/>
        </w:rPr>
      </w:pPr>
      <w:r w:rsidRPr="00D10D17">
        <w:rPr>
          <w:lang w:val="fr-FR"/>
        </w:rPr>
        <w:t>Les nouveaux examinateurs bénéficient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une formation de 18 mois pour développer leurs compétences en ma</w:t>
      </w:r>
      <w:r w:rsidR="00A441C5" w:rsidRPr="00D10D17">
        <w:rPr>
          <w:lang w:val="fr-FR"/>
        </w:rPr>
        <w:t>t</w:t>
      </w:r>
      <w:r w:rsidRPr="00D10D17">
        <w:rPr>
          <w:lang w:val="fr-FR"/>
        </w:rPr>
        <w:t>ière de recherche et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</w:t>
      </w:r>
      <w:r w:rsidR="00D10D17" w:rsidRPr="00D10D17">
        <w:rPr>
          <w:lang w:val="fr-FR"/>
        </w:rPr>
        <w:t>en.  Le</w:t>
      </w:r>
      <w:r w:rsidR="00A441C5" w:rsidRPr="00D10D17">
        <w:rPr>
          <w:lang w:val="fr-FR"/>
        </w:rPr>
        <w:t xml:space="preserve"> programme de formation comprend des cours </w:t>
      </w:r>
      <w:r w:rsidR="00161E29" w:rsidRPr="00D10D17">
        <w:rPr>
          <w:lang w:val="fr-FR"/>
        </w:rPr>
        <w:t>en classe</w:t>
      </w:r>
      <w:r w:rsidR="00A441C5" w:rsidRPr="00D10D17">
        <w:rPr>
          <w:lang w:val="fr-FR"/>
        </w:rPr>
        <w:t>, des exercices pratiques et une formation en cours d</w:t>
      </w:r>
      <w:r w:rsidR="00111787" w:rsidRPr="00D10D17">
        <w:rPr>
          <w:lang w:val="fr-FR"/>
        </w:rPr>
        <w:t>’</w:t>
      </w:r>
      <w:r w:rsidR="00A441C5" w:rsidRPr="00D10D17">
        <w:rPr>
          <w:lang w:val="fr-FR"/>
        </w:rPr>
        <w:t>emploi.</w:t>
      </w:r>
    </w:p>
    <w:p w:rsidR="00111787" w:rsidRPr="00D10D17" w:rsidRDefault="00111787" w:rsidP="00DD6E7D">
      <w:pPr>
        <w:rPr>
          <w:lang w:val="fr-FR"/>
        </w:rPr>
      </w:pPr>
    </w:p>
    <w:p w:rsidR="00111787" w:rsidRPr="00D10D17" w:rsidRDefault="00A441C5" w:rsidP="00DD6E7D">
      <w:pPr>
        <w:rPr>
          <w:lang w:val="fr-FR"/>
        </w:rPr>
      </w:pPr>
      <w:r w:rsidRPr="00D10D17">
        <w:rPr>
          <w:lang w:val="fr-FR"/>
        </w:rPr>
        <w:t>La formation en cours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emploi est supervisée par un </w:t>
      </w:r>
      <w:r w:rsidR="00161E29" w:rsidRPr="00D10D17">
        <w:rPr>
          <w:lang w:val="fr-FR"/>
        </w:rPr>
        <w:t>tu</w:t>
      </w:r>
      <w:r w:rsidRPr="00D10D17">
        <w:rPr>
          <w:lang w:val="fr-FR"/>
        </w:rPr>
        <w:t>te</w:t>
      </w:r>
      <w:r w:rsidR="00D10D17" w:rsidRPr="00D10D17">
        <w:rPr>
          <w:lang w:val="fr-FR"/>
        </w:rPr>
        <w:t>ur.  Ch</w:t>
      </w:r>
      <w:r w:rsidRPr="00D10D17">
        <w:rPr>
          <w:lang w:val="fr-FR"/>
        </w:rPr>
        <w:t>aque nou</w:t>
      </w:r>
      <w:r w:rsidR="00161E29" w:rsidRPr="00D10D17">
        <w:rPr>
          <w:lang w:val="fr-FR"/>
        </w:rPr>
        <w:t>vel examinateur bénéficie d</w:t>
      </w:r>
      <w:r w:rsidR="00111787" w:rsidRPr="00D10D17">
        <w:rPr>
          <w:lang w:val="fr-FR"/>
        </w:rPr>
        <w:t>’</w:t>
      </w:r>
      <w:r w:rsidR="00161E29" w:rsidRPr="00D10D17">
        <w:rPr>
          <w:lang w:val="fr-FR"/>
        </w:rPr>
        <w:t>un tu</w:t>
      </w:r>
      <w:r w:rsidRPr="00D10D17">
        <w:rPr>
          <w:lang w:val="fr-FR"/>
        </w:rPr>
        <w:t>teur par</w:t>
      </w:r>
      <w:r w:rsidR="003E03C3" w:rsidRPr="00D10D17">
        <w:rPr>
          <w:lang w:val="fr-FR"/>
        </w:rPr>
        <w:t>ticuli</w:t>
      </w:r>
      <w:r w:rsidR="00D10D17" w:rsidRPr="00D10D17">
        <w:rPr>
          <w:lang w:val="fr-FR"/>
        </w:rPr>
        <w:t>er.  Le</w:t>
      </w:r>
      <w:r w:rsidRPr="00D10D17">
        <w:rPr>
          <w:lang w:val="fr-FR"/>
        </w:rPr>
        <w:t xml:space="preserve">s </w:t>
      </w:r>
      <w:r w:rsidR="00161E29" w:rsidRPr="00D10D17">
        <w:rPr>
          <w:lang w:val="fr-FR"/>
        </w:rPr>
        <w:t xml:space="preserve">tuteurs </w:t>
      </w:r>
      <w:r w:rsidRPr="00D10D17">
        <w:rPr>
          <w:lang w:val="fr-FR"/>
        </w:rPr>
        <w:t>sont des examinateurs principaux de brevets ayant une expérience professionnelle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 moins cinq a</w:t>
      </w:r>
      <w:r w:rsidR="00D10D17" w:rsidRPr="00D10D17">
        <w:rPr>
          <w:lang w:val="fr-FR"/>
        </w:rPr>
        <w:t>ns.  Le</w:t>
      </w:r>
      <w:r w:rsidR="0034304E" w:rsidRPr="00D10D17">
        <w:rPr>
          <w:lang w:val="fr-FR"/>
        </w:rPr>
        <w:t xml:space="preserve"> </w:t>
      </w:r>
      <w:r w:rsidR="00EE7CB9" w:rsidRPr="00D10D17">
        <w:rPr>
          <w:lang w:val="fr-FR"/>
        </w:rPr>
        <w:t xml:space="preserve">tuteur </w:t>
      </w:r>
      <w:r w:rsidR="0034304E" w:rsidRPr="00D10D17">
        <w:rPr>
          <w:lang w:val="fr-FR"/>
        </w:rPr>
        <w:t>di</w:t>
      </w:r>
      <w:r w:rsidR="00EE7CB9" w:rsidRPr="00D10D17">
        <w:rPr>
          <w:lang w:val="fr-FR"/>
        </w:rPr>
        <w:t xml:space="preserve">spense un enseignement pratique, notamment </w:t>
      </w:r>
      <w:r w:rsidR="0034304E" w:rsidRPr="00D10D17">
        <w:rPr>
          <w:lang w:val="fr-FR"/>
        </w:rPr>
        <w:t>sur les aspects fondamentaux liés aux breve</w:t>
      </w:r>
      <w:r w:rsidR="00D10D17" w:rsidRPr="00D10D17">
        <w:rPr>
          <w:lang w:val="fr-FR"/>
        </w:rPr>
        <w:t>ts.  Il</w:t>
      </w:r>
      <w:r w:rsidR="0034304E" w:rsidRPr="00D10D17">
        <w:rPr>
          <w:lang w:val="fr-FR"/>
        </w:rPr>
        <w:t xml:space="preserve"> explique comment traiter les demandes de brevet et aide le nouvel examinateur en cas de beso</w:t>
      </w:r>
      <w:r w:rsidR="00D10D17" w:rsidRPr="00D10D17">
        <w:rPr>
          <w:lang w:val="fr-FR"/>
        </w:rPr>
        <w:t>in.  Da</w:t>
      </w:r>
      <w:r w:rsidR="00883A8C" w:rsidRPr="00D10D17">
        <w:rPr>
          <w:lang w:val="fr-FR"/>
        </w:rPr>
        <w:t>ns le cadre de l</w:t>
      </w:r>
      <w:r w:rsidR="0034304E" w:rsidRPr="00D10D17">
        <w:rPr>
          <w:lang w:val="fr-FR"/>
        </w:rPr>
        <w:t>a formation en cours d</w:t>
      </w:r>
      <w:r w:rsidR="00111787" w:rsidRPr="00D10D17">
        <w:rPr>
          <w:lang w:val="fr-FR"/>
        </w:rPr>
        <w:t>’</w:t>
      </w:r>
      <w:r w:rsidR="0034304E" w:rsidRPr="00D10D17">
        <w:rPr>
          <w:lang w:val="fr-FR"/>
        </w:rPr>
        <w:t>emploi</w:t>
      </w:r>
      <w:r w:rsidR="00883A8C" w:rsidRPr="00D10D17">
        <w:rPr>
          <w:lang w:val="fr-FR"/>
        </w:rPr>
        <w:t xml:space="preserve">, </w:t>
      </w:r>
      <w:r w:rsidR="0034304E" w:rsidRPr="00D10D17">
        <w:rPr>
          <w:lang w:val="fr-FR"/>
        </w:rPr>
        <w:t xml:space="preserve">chaque nouvel examinateur traite de véritables demandes de brevet et le </w:t>
      </w:r>
      <w:r w:rsidR="00EE7CB9" w:rsidRPr="00D10D17">
        <w:rPr>
          <w:lang w:val="fr-FR"/>
        </w:rPr>
        <w:t xml:space="preserve">tuteur </w:t>
      </w:r>
      <w:r w:rsidR="0034304E" w:rsidRPr="00D10D17">
        <w:rPr>
          <w:lang w:val="fr-FR"/>
        </w:rPr>
        <w:t>examine l</w:t>
      </w:r>
      <w:r w:rsidR="00111787" w:rsidRPr="00D10D17">
        <w:rPr>
          <w:lang w:val="fr-FR"/>
        </w:rPr>
        <w:t>’</w:t>
      </w:r>
      <w:r w:rsidR="0034304E" w:rsidRPr="00D10D17">
        <w:rPr>
          <w:lang w:val="fr-FR"/>
        </w:rPr>
        <w:t>ensemble des opinions et décisions écrites.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34304E" w:rsidP="00DD6E7D">
      <w:pPr>
        <w:rPr>
          <w:lang w:val="fr-FR"/>
        </w:rPr>
      </w:pPr>
      <w:r w:rsidRPr="00D10D17">
        <w:rPr>
          <w:lang w:val="fr-FR"/>
        </w:rPr>
        <w:t xml:space="preserve">Les cours </w:t>
      </w:r>
      <w:r w:rsidR="00EE7CB9" w:rsidRPr="00D10D17">
        <w:rPr>
          <w:lang w:val="fr-FR"/>
        </w:rPr>
        <w:t xml:space="preserve">en classe </w:t>
      </w:r>
      <w:r w:rsidRPr="00D10D17">
        <w:rPr>
          <w:lang w:val="fr-FR"/>
        </w:rPr>
        <w:t>destinés aux nouveaux examinateurs sont dispensés par des examinateurs principa</w:t>
      </w:r>
      <w:r w:rsidR="00D10D17" w:rsidRPr="00D10D17">
        <w:rPr>
          <w:lang w:val="fr-FR"/>
        </w:rPr>
        <w:t>ux.  Ce</w:t>
      </w:r>
      <w:r w:rsidRPr="00D10D17">
        <w:rPr>
          <w:lang w:val="fr-FR"/>
        </w:rPr>
        <w:t>s cours portent sur 18 thèmes différen</w:t>
      </w:r>
      <w:r w:rsidR="00D10D17" w:rsidRPr="00D10D17">
        <w:rPr>
          <w:lang w:val="fr-FR"/>
        </w:rPr>
        <w:t>ts.  Il</w:t>
      </w:r>
      <w:r w:rsidR="00883A8C" w:rsidRPr="00D10D17">
        <w:rPr>
          <w:lang w:val="fr-FR"/>
        </w:rPr>
        <w:t>s</w:t>
      </w:r>
      <w:r w:rsidRPr="00D10D17">
        <w:rPr>
          <w:lang w:val="fr-FR"/>
        </w:rPr>
        <w:t xml:space="preserve"> </w:t>
      </w:r>
      <w:r w:rsidR="00EE7CB9" w:rsidRPr="00D10D17">
        <w:rPr>
          <w:lang w:val="fr-FR"/>
        </w:rPr>
        <w:t>comprennent</w:t>
      </w:r>
      <w:r w:rsidRPr="00D10D17">
        <w:rPr>
          <w:lang w:val="fr-FR"/>
        </w:rPr>
        <w:t xml:space="preserve"> des exposés, des discussions, des exercices pratiques </w:t>
      </w:r>
      <w:r w:rsidR="00EE7CB9" w:rsidRPr="00D10D17">
        <w:rPr>
          <w:lang w:val="fr-FR"/>
        </w:rPr>
        <w:t>ou</w:t>
      </w:r>
      <w:r w:rsidRPr="00D10D17">
        <w:rPr>
          <w:lang w:val="fr-FR"/>
        </w:rPr>
        <w:t xml:space="preserve"> des travaux informatiques. </w:t>
      </w:r>
      <w:r w:rsidR="001C7FE7" w:rsidRPr="00D10D17">
        <w:rPr>
          <w:lang w:val="fr-FR"/>
        </w:rPr>
        <w:t xml:space="preserve"> </w:t>
      </w:r>
      <w:r w:rsidR="00EC0A87" w:rsidRPr="00D10D17">
        <w:rPr>
          <w:lang w:val="fr-FR"/>
        </w:rPr>
        <w:t>Globalement, l</w:t>
      </w:r>
      <w:r w:rsidRPr="00D10D17">
        <w:rPr>
          <w:lang w:val="fr-FR"/>
        </w:rPr>
        <w:t xml:space="preserve">e temps consacré </w:t>
      </w:r>
      <w:r w:rsidR="00EE7CB9" w:rsidRPr="00D10D17">
        <w:rPr>
          <w:lang w:val="fr-FR"/>
        </w:rPr>
        <w:t>à ces</w:t>
      </w:r>
      <w:r w:rsidRPr="00D10D17">
        <w:rPr>
          <w:lang w:val="fr-FR"/>
        </w:rPr>
        <w:t xml:space="preserve"> cours </w:t>
      </w:r>
      <w:r w:rsidR="00EC0A87" w:rsidRPr="00D10D17">
        <w:rPr>
          <w:lang w:val="fr-FR"/>
        </w:rPr>
        <w:t>correspond à</w:t>
      </w:r>
      <w:r w:rsidRPr="00D10D17">
        <w:rPr>
          <w:lang w:val="fr-FR"/>
        </w:rPr>
        <w:t xml:space="preserve"> 16 jours ouvrabl</w:t>
      </w:r>
      <w:r w:rsidR="00D10D17" w:rsidRPr="00D10D17">
        <w:rPr>
          <w:lang w:val="fr-FR"/>
        </w:rPr>
        <w:t>es.  Ch</w:t>
      </w:r>
      <w:r w:rsidRPr="00D10D17">
        <w:rPr>
          <w:lang w:val="fr-FR"/>
        </w:rPr>
        <w:t xml:space="preserve">aque nouvel examinateur prend part à des cours </w:t>
      </w:r>
      <w:r w:rsidR="00EC0A87" w:rsidRPr="00D10D17">
        <w:rPr>
          <w:lang w:val="fr-FR"/>
        </w:rPr>
        <w:t>de ce type</w:t>
      </w:r>
      <w:r w:rsidRPr="00D10D17">
        <w:rPr>
          <w:lang w:val="fr-FR"/>
        </w:rPr>
        <w:t xml:space="preserve"> </w:t>
      </w:r>
      <w:r w:rsidR="00EC0A87" w:rsidRPr="00D10D17">
        <w:rPr>
          <w:lang w:val="fr-FR"/>
        </w:rPr>
        <w:t>durant</w:t>
      </w:r>
      <w:r w:rsidRPr="00D10D17">
        <w:rPr>
          <w:lang w:val="fr-FR"/>
        </w:rPr>
        <w:t xml:space="preserve"> </w:t>
      </w:r>
      <w:r w:rsidR="00883A8C" w:rsidRPr="00D10D17">
        <w:rPr>
          <w:lang w:val="fr-FR"/>
        </w:rPr>
        <w:t>s</w:t>
      </w:r>
      <w:r w:rsidRPr="00D10D17">
        <w:rPr>
          <w:lang w:val="fr-FR"/>
        </w:rPr>
        <w:t>a première année de travail.</w:t>
      </w:r>
    </w:p>
    <w:p w:rsidR="005540D9" w:rsidRPr="00D10D17" w:rsidRDefault="005540D9" w:rsidP="00DD6E7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5540D9" w:rsidRPr="00D10D17" w:rsidTr="00781C47">
        <w:tc>
          <w:tcPr>
            <w:tcW w:w="6487" w:type="dxa"/>
          </w:tcPr>
          <w:p w:rsidR="005540D9" w:rsidRPr="00D10D17" w:rsidRDefault="0034304E" w:rsidP="00DD6E7D">
            <w:pPr>
              <w:rPr>
                <w:b/>
                <w:lang w:val="fr-FR"/>
              </w:rPr>
            </w:pPr>
            <w:r w:rsidRPr="00D10D17">
              <w:rPr>
                <w:b/>
                <w:color w:val="000000"/>
                <w:lang w:val="fr-FR"/>
              </w:rPr>
              <w:t>TH</w:t>
            </w:r>
            <w:r w:rsidR="00883A8C" w:rsidRPr="00D10D17">
              <w:rPr>
                <w:b/>
                <w:color w:val="000000"/>
                <w:lang w:val="fr-FR"/>
              </w:rPr>
              <w:t>È</w:t>
            </w:r>
            <w:r w:rsidRPr="00D10D17">
              <w:rPr>
                <w:b/>
                <w:color w:val="000000"/>
                <w:lang w:val="fr-FR"/>
              </w:rPr>
              <w:t>ME (COURS DESTINÉS AUX NOUVEAUX EXAMINATEURS)</w:t>
            </w:r>
          </w:p>
        </w:tc>
        <w:tc>
          <w:tcPr>
            <w:tcW w:w="2126" w:type="dxa"/>
          </w:tcPr>
          <w:p w:rsidR="005540D9" w:rsidRPr="00D10D17" w:rsidRDefault="0034304E" w:rsidP="00DD6E7D">
            <w:pPr>
              <w:jc w:val="center"/>
              <w:rPr>
                <w:b/>
                <w:lang w:val="fr-FR"/>
              </w:rPr>
            </w:pPr>
            <w:r w:rsidRPr="00D10D17">
              <w:rPr>
                <w:b/>
                <w:color w:val="000000"/>
                <w:lang w:val="fr-FR"/>
              </w:rPr>
              <w:t>DUR</w:t>
            </w:r>
            <w:r w:rsidR="00883A8C" w:rsidRPr="00D10D17">
              <w:rPr>
                <w:b/>
                <w:color w:val="000000"/>
                <w:lang w:val="fr-FR"/>
              </w:rPr>
              <w:t>É</w:t>
            </w:r>
            <w:r w:rsidRPr="00D10D17">
              <w:rPr>
                <w:b/>
                <w:color w:val="000000"/>
                <w:lang w:val="fr-FR"/>
              </w:rPr>
              <w:t>E (HEURES)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34304E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Demandes de brevet et revendications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7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34304E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Systèmes de classement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34304E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Recherche d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informations, partie I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Recherche d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informations, partie II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Recherche sur la nouveauté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Brevetabilité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13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 xml:space="preserve">Opinion sur la brevetabilité et rapport de recherche 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Service de recherche (service commercial)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Décision</w:t>
            </w:r>
            <w:r w:rsidR="00EC0A87" w:rsidRPr="00D10D17">
              <w:rPr>
                <w:lang w:val="fr-FR"/>
              </w:rPr>
              <w:t>s</w:t>
            </w:r>
            <w:r w:rsidRPr="00D10D17">
              <w:rPr>
                <w:lang w:val="fr-FR"/>
              </w:rPr>
              <w:t xml:space="preserve"> au cours de la procédure de demande de brevet 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Rejet de la demande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Problèmes techniques particuliers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Modèle d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utilité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Unité de l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invention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Système</w:t>
            </w:r>
            <w:r w:rsidR="00111787" w:rsidRPr="00D10D17">
              <w:rPr>
                <w:lang w:val="fr-FR"/>
              </w:rPr>
              <w:t xml:space="preserve"> du PCT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Procédure selon</w:t>
            </w:r>
            <w:r w:rsidR="00111787" w:rsidRPr="00D10D17">
              <w:rPr>
                <w:lang w:val="fr-FR"/>
              </w:rPr>
              <w:t xml:space="preserve"> le PCT – </w:t>
            </w:r>
            <w:r w:rsidRPr="00D10D17">
              <w:rPr>
                <w:lang w:val="fr-FR"/>
              </w:rPr>
              <w:t xml:space="preserve">administration chargée de la recherche internationale 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16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Procédure selon</w:t>
            </w:r>
            <w:r w:rsidR="00111787" w:rsidRPr="00D10D17">
              <w:rPr>
                <w:lang w:val="fr-FR"/>
              </w:rPr>
              <w:t xml:space="preserve"> le PCT – </w:t>
            </w:r>
            <w:r w:rsidRPr="00D10D17">
              <w:rPr>
                <w:lang w:val="fr-FR"/>
              </w:rPr>
              <w:t>administration chargée de l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examen préliminaire international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</w:t>
            </w:r>
          </w:p>
        </w:tc>
      </w:tr>
      <w:tr w:rsidR="005540D9" w:rsidRPr="00D10D17" w:rsidTr="00781C47">
        <w:tc>
          <w:tcPr>
            <w:tcW w:w="6487" w:type="dxa"/>
          </w:tcPr>
          <w:p w:rsidR="005540D9" w:rsidRPr="00D10D17" w:rsidRDefault="00883A8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 xml:space="preserve">Cas particuliers durant la procédure de demande de brevet </w:t>
            </w:r>
          </w:p>
        </w:tc>
        <w:tc>
          <w:tcPr>
            <w:tcW w:w="2126" w:type="dxa"/>
          </w:tcPr>
          <w:p w:rsidR="005540D9" w:rsidRPr="00D10D17" w:rsidRDefault="005540D9" w:rsidP="00DD6E7D">
            <w:pPr>
              <w:ind w:right="1026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</w:t>
            </w:r>
          </w:p>
        </w:tc>
      </w:tr>
    </w:tbl>
    <w:p w:rsidR="00974C5A" w:rsidRPr="00D10D17" w:rsidRDefault="00974C5A" w:rsidP="00DD6E7D">
      <w:pPr>
        <w:rPr>
          <w:lang w:val="fr-FR"/>
        </w:rPr>
      </w:pPr>
    </w:p>
    <w:p w:rsidR="00111787" w:rsidRPr="00D10D17" w:rsidRDefault="00182740" w:rsidP="00DD6E7D">
      <w:pPr>
        <w:rPr>
          <w:lang w:val="fr-FR"/>
        </w:rPr>
      </w:pPr>
      <w:r w:rsidRPr="00D10D17">
        <w:rPr>
          <w:lang w:val="fr-FR"/>
        </w:rPr>
        <w:t>Outre la formation interne, tous les nouveaux examinateurs participent à une formation externe à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université Aalto (Helsin</w:t>
      </w:r>
      <w:r w:rsidR="00D10D17" w:rsidRPr="00D10D17">
        <w:rPr>
          <w:lang w:val="fr-FR"/>
        </w:rPr>
        <w:t>ki).  Le</w:t>
      </w:r>
      <w:r w:rsidRPr="00D10D17">
        <w:rPr>
          <w:lang w:val="fr-FR"/>
        </w:rPr>
        <w:t xml:space="preserve"> programme de formation </w:t>
      </w:r>
      <w:r w:rsidR="00DD60F6" w:rsidRPr="00D10D17">
        <w:rPr>
          <w:lang w:val="fr-FR"/>
        </w:rPr>
        <w:t>“</w:t>
      </w:r>
      <w:r w:rsidRPr="00D10D17">
        <w:rPr>
          <w:lang w:val="fr-FR"/>
        </w:rPr>
        <w:t>Brevet – Industrie – Technologie” est organisé chaque ann</w:t>
      </w:r>
      <w:r w:rsidR="00F07F34" w:rsidRPr="00D10D17">
        <w:rPr>
          <w:lang w:val="fr-FR"/>
        </w:rPr>
        <w:t>ée par l</w:t>
      </w:r>
      <w:r w:rsidR="00111787" w:rsidRPr="00D10D17">
        <w:rPr>
          <w:lang w:val="fr-FR"/>
        </w:rPr>
        <w:t>’</w:t>
      </w:r>
      <w:r w:rsidR="00F07F34" w:rsidRPr="00D10D17">
        <w:rPr>
          <w:lang w:val="fr-FR"/>
        </w:rPr>
        <w:t>université Aalto en collabor</w:t>
      </w:r>
      <w:r w:rsidRPr="00D10D17">
        <w:rPr>
          <w:lang w:val="fr-FR"/>
        </w:rPr>
        <w:t>ation avec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</w:t>
      </w:r>
      <w:r w:rsidR="00D10D17" w:rsidRPr="00D10D17">
        <w:rPr>
          <w:lang w:val="fr-FR"/>
        </w:rPr>
        <w:t>nt.  Le</w:t>
      </w:r>
      <w:r w:rsidR="00F07F34" w:rsidRPr="00D10D17">
        <w:rPr>
          <w:lang w:val="fr-FR"/>
        </w:rPr>
        <w:t xml:space="preserve"> programme de formation a pour but de familiariser les participants avec les systèmes internationaux des brevets et </w:t>
      </w:r>
      <w:r w:rsidR="00EC0A87" w:rsidRPr="00D10D17">
        <w:rPr>
          <w:lang w:val="fr-FR"/>
        </w:rPr>
        <w:t xml:space="preserve">de leur </w:t>
      </w:r>
      <w:r w:rsidR="00F07F34" w:rsidRPr="00D10D17">
        <w:rPr>
          <w:lang w:val="fr-FR"/>
        </w:rPr>
        <w:t>apporter des connaissances de base sur les droits de propriété intellectuelle, en particulier les droits de propriété industrielle, et sur les procédures de délivrance de</w:t>
      </w:r>
      <w:r w:rsidR="003444AB" w:rsidRPr="00D10D17">
        <w:rPr>
          <w:lang w:val="fr-FR"/>
        </w:rPr>
        <w:t>s</w:t>
      </w:r>
      <w:r w:rsidR="00F07F34" w:rsidRPr="00D10D17">
        <w:rPr>
          <w:lang w:val="fr-FR"/>
        </w:rPr>
        <w:t xml:space="preserve"> brevets en Finlande et dans d</w:t>
      </w:r>
      <w:r w:rsidR="00111787" w:rsidRPr="00D10D17">
        <w:rPr>
          <w:lang w:val="fr-FR"/>
        </w:rPr>
        <w:t>’</w:t>
      </w:r>
      <w:r w:rsidR="00F07F34" w:rsidRPr="00D10D17">
        <w:rPr>
          <w:lang w:val="fr-FR"/>
        </w:rPr>
        <w:t>autres pa</w:t>
      </w:r>
      <w:r w:rsidR="00D10D17" w:rsidRPr="00D10D17">
        <w:rPr>
          <w:lang w:val="fr-FR"/>
        </w:rPr>
        <w:t>ys.  Le</w:t>
      </w:r>
      <w:r w:rsidR="00F07F34" w:rsidRPr="00D10D17">
        <w:rPr>
          <w:lang w:val="fr-FR"/>
        </w:rPr>
        <w:t xml:space="preserve"> programme de formation s</w:t>
      </w:r>
      <w:r w:rsidR="00111787" w:rsidRPr="00D10D17">
        <w:rPr>
          <w:lang w:val="fr-FR"/>
        </w:rPr>
        <w:t>’</w:t>
      </w:r>
      <w:r w:rsidR="00F07F34" w:rsidRPr="00D10D17">
        <w:rPr>
          <w:lang w:val="fr-FR"/>
        </w:rPr>
        <w:t>adresse non seulement aux nouveaux examinateurs mais également aux conseils en brevets, spécialiste</w:t>
      </w:r>
      <w:r w:rsidR="00B91CD5" w:rsidRPr="00D10D17">
        <w:rPr>
          <w:lang w:val="fr-FR"/>
        </w:rPr>
        <w:t>s</w:t>
      </w:r>
      <w:r w:rsidR="003444AB" w:rsidRPr="00D10D17">
        <w:rPr>
          <w:lang w:val="fr-FR"/>
        </w:rPr>
        <w:t>+</w:t>
      </w:r>
      <w:r w:rsidR="00F07F34" w:rsidRPr="00D10D17">
        <w:rPr>
          <w:lang w:val="fr-FR"/>
        </w:rPr>
        <w:t xml:space="preserve"> en brevets et autres professionnels dans le domaine des droits de propriété intellectuel</w:t>
      </w:r>
      <w:r w:rsidR="00D10D17" w:rsidRPr="00D10D17">
        <w:rPr>
          <w:lang w:val="fr-FR"/>
        </w:rPr>
        <w:t>le.  La</w:t>
      </w:r>
      <w:r w:rsidR="00C4217F" w:rsidRPr="00D10D17">
        <w:rPr>
          <w:lang w:val="fr-FR"/>
        </w:rPr>
        <w:t xml:space="preserve"> formation comprend des cours, </w:t>
      </w:r>
      <w:r w:rsidR="003444AB" w:rsidRPr="00D10D17">
        <w:rPr>
          <w:lang w:val="fr-FR"/>
        </w:rPr>
        <w:t xml:space="preserve">notamment pour </w:t>
      </w:r>
      <w:r w:rsidR="00C4217F" w:rsidRPr="00D10D17">
        <w:rPr>
          <w:lang w:val="fr-FR"/>
        </w:rPr>
        <w:t>la rédaction d</w:t>
      </w:r>
      <w:r w:rsidR="00111787" w:rsidRPr="00D10D17">
        <w:rPr>
          <w:lang w:val="fr-FR"/>
        </w:rPr>
        <w:t>’</w:t>
      </w:r>
      <w:r w:rsidR="00C4217F" w:rsidRPr="00D10D17">
        <w:rPr>
          <w:lang w:val="fr-FR"/>
        </w:rPr>
        <w:t>une demande de brevet</w:t>
      </w:r>
      <w:r w:rsidR="003444AB" w:rsidRPr="00D10D17">
        <w:rPr>
          <w:lang w:val="fr-FR"/>
        </w:rPr>
        <w:t>, et donne lieu à</w:t>
      </w:r>
      <w:r w:rsidR="00C4217F" w:rsidRPr="00D10D17">
        <w:rPr>
          <w:lang w:val="fr-FR"/>
        </w:rPr>
        <w:t xml:space="preserve"> trois examens et </w:t>
      </w:r>
      <w:r w:rsidR="003444AB" w:rsidRPr="00D10D17">
        <w:rPr>
          <w:lang w:val="fr-FR"/>
        </w:rPr>
        <w:t xml:space="preserve">à </w:t>
      </w:r>
      <w:r w:rsidR="00C4217F" w:rsidRPr="00D10D17">
        <w:rPr>
          <w:lang w:val="fr-FR"/>
        </w:rPr>
        <w:t xml:space="preserve">un </w:t>
      </w:r>
      <w:r w:rsidR="003444AB" w:rsidRPr="00D10D17">
        <w:rPr>
          <w:lang w:val="fr-FR"/>
        </w:rPr>
        <w:t xml:space="preserve">travail de </w:t>
      </w:r>
      <w:r w:rsidR="00C4217F" w:rsidRPr="00D10D17">
        <w:rPr>
          <w:lang w:val="fr-FR"/>
        </w:rPr>
        <w:t>proj</w:t>
      </w:r>
      <w:r w:rsidR="00D10D17" w:rsidRPr="00D10D17">
        <w:rPr>
          <w:lang w:val="fr-FR"/>
        </w:rPr>
        <w:t>et.  Le</w:t>
      </w:r>
      <w:r w:rsidR="00C4217F" w:rsidRPr="00D10D17">
        <w:rPr>
          <w:lang w:val="fr-FR"/>
        </w:rPr>
        <w:t xml:space="preserve"> temps consacré à la formation est de 20 jours ouvrables (voir l</w:t>
      </w:r>
      <w:r w:rsidR="003444AB" w:rsidRPr="00D10D17">
        <w:rPr>
          <w:lang w:val="fr-FR"/>
        </w:rPr>
        <w:t>e</w:t>
      </w:r>
      <w:r w:rsidR="00C4217F" w:rsidRPr="00D10D17">
        <w:rPr>
          <w:lang w:val="fr-FR"/>
        </w:rPr>
        <w:t xml:space="preserve"> tableau ci</w:t>
      </w:r>
      <w:r w:rsidR="00781C47">
        <w:rPr>
          <w:lang w:val="fr-FR"/>
        </w:rPr>
        <w:noBreakHyphen/>
      </w:r>
      <w:r w:rsidR="00C4217F" w:rsidRPr="00D10D17">
        <w:rPr>
          <w:lang w:val="fr-FR"/>
        </w:rPr>
        <w:t>desso</w:t>
      </w:r>
      <w:r w:rsidR="00D10D17" w:rsidRPr="00D10D17">
        <w:rPr>
          <w:lang w:val="fr-FR"/>
        </w:rPr>
        <w:t>us).  Pa</w:t>
      </w:r>
      <w:r w:rsidR="00C4217F" w:rsidRPr="00D10D17">
        <w:rPr>
          <w:lang w:val="fr-FR"/>
        </w:rPr>
        <w:t>r ailleurs, quatre</w:t>
      </w:r>
      <w:r w:rsidR="00DD60F6" w:rsidRPr="00D10D17">
        <w:rPr>
          <w:lang w:val="fr-FR"/>
        </w:rPr>
        <w:t> </w:t>
      </w:r>
      <w:r w:rsidR="00C4217F" w:rsidRPr="00D10D17">
        <w:rPr>
          <w:lang w:val="fr-FR"/>
        </w:rPr>
        <w:t>jours de formation sont prévus à l</w:t>
      </w:r>
      <w:r w:rsidR="00111787" w:rsidRPr="00D10D17">
        <w:rPr>
          <w:lang w:val="fr-FR"/>
        </w:rPr>
        <w:t>’</w:t>
      </w:r>
      <w:r w:rsidR="00C4217F" w:rsidRPr="00D10D17">
        <w:rPr>
          <w:lang w:val="fr-FR"/>
        </w:rPr>
        <w:t>OEB (Munich, Allemagne)</w:t>
      </w:r>
      <w:r w:rsidR="005540D9" w:rsidRPr="00D10D17">
        <w:rPr>
          <w:lang w:val="fr-FR"/>
        </w:rPr>
        <w:t>.</w:t>
      </w:r>
    </w:p>
    <w:p w:rsidR="005540D9" w:rsidRPr="00D10D17" w:rsidRDefault="005540D9" w:rsidP="00DD6E7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8"/>
        <w:gridCol w:w="1365"/>
      </w:tblGrid>
      <w:tr w:rsidR="005540D9" w:rsidRPr="00D10D17" w:rsidTr="001C7FE7">
        <w:tc>
          <w:tcPr>
            <w:tcW w:w="8128" w:type="dxa"/>
          </w:tcPr>
          <w:p w:rsidR="005540D9" w:rsidRPr="00D10D17" w:rsidRDefault="00C4217F" w:rsidP="00DD6E7D">
            <w:pPr>
              <w:keepNext/>
              <w:rPr>
                <w:b/>
                <w:lang w:val="fr-FR"/>
              </w:rPr>
            </w:pPr>
            <w:r w:rsidRPr="00D10D17">
              <w:rPr>
                <w:b/>
                <w:lang w:val="fr-FR"/>
              </w:rPr>
              <w:t xml:space="preserve">MODULE </w:t>
            </w:r>
            <w:r w:rsidRPr="00D10D17">
              <w:rPr>
                <w:rFonts w:ascii="Arial Bold" w:hAnsi="Arial Bold"/>
                <w:b/>
                <w:caps/>
                <w:lang w:val="fr-FR"/>
              </w:rPr>
              <w:t>(Brevet – Industrie – Technologie)</w:t>
            </w:r>
          </w:p>
        </w:tc>
        <w:tc>
          <w:tcPr>
            <w:tcW w:w="1365" w:type="dxa"/>
          </w:tcPr>
          <w:p w:rsidR="005540D9" w:rsidRPr="00D10D17" w:rsidRDefault="00C4217F" w:rsidP="00DD6E7D">
            <w:pPr>
              <w:keepNext/>
              <w:jc w:val="center"/>
              <w:rPr>
                <w:b/>
                <w:lang w:val="fr-FR"/>
              </w:rPr>
            </w:pPr>
            <w:r w:rsidRPr="00D10D17">
              <w:rPr>
                <w:b/>
                <w:lang w:val="fr-FR"/>
              </w:rPr>
              <w:t xml:space="preserve">DURÉE </w:t>
            </w:r>
            <w:r w:rsidR="005540D9" w:rsidRPr="00D10D17">
              <w:rPr>
                <w:b/>
                <w:lang w:val="fr-FR"/>
              </w:rPr>
              <w:t>(</w:t>
            </w:r>
            <w:r w:rsidRPr="00D10D17">
              <w:rPr>
                <w:b/>
                <w:lang w:val="fr-FR"/>
              </w:rPr>
              <w:t>JOURS</w:t>
            </w:r>
            <w:r w:rsidR="005540D9" w:rsidRPr="00D10D17">
              <w:rPr>
                <w:b/>
                <w:lang w:val="fr-FR"/>
              </w:rPr>
              <w:t>)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C4217F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>Dro</w:t>
            </w:r>
            <w:r w:rsidR="00F57A5F" w:rsidRPr="00D10D17">
              <w:rPr>
                <w:lang w:val="fr-FR"/>
              </w:rPr>
              <w:t xml:space="preserve">its de propriété </w:t>
            </w:r>
            <w:r w:rsidR="00B91CD5" w:rsidRPr="00D10D17">
              <w:rPr>
                <w:lang w:val="fr-FR"/>
              </w:rPr>
              <w:t>industrielle et esprit d</w:t>
            </w:r>
            <w:r w:rsidR="00111787" w:rsidRPr="00D10D17">
              <w:rPr>
                <w:lang w:val="fr-FR"/>
              </w:rPr>
              <w:t>’</w:t>
            </w:r>
            <w:r w:rsidR="00B91CD5" w:rsidRPr="00D10D17">
              <w:rPr>
                <w:lang w:val="fr-FR"/>
              </w:rPr>
              <w:t>entreprise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C4217F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 xml:space="preserve">Droits de propriété </w:t>
            </w:r>
            <w:r w:rsidR="00B91CD5" w:rsidRPr="00D10D17">
              <w:rPr>
                <w:lang w:val="fr-FR"/>
              </w:rPr>
              <w:t>industrielle</w:t>
            </w:r>
            <w:r w:rsidRPr="00D10D17">
              <w:rPr>
                <w:lang w:val="fr-FR"/>
              </w:rPr>
              <w:t>, formes de protection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B91CD5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 xml:space="preserve">Protection par </w:t>
            </w:r>
            <w:r w:rsidR="001F55AC" w:rsidRPr="00D10D17">
              <w:rPr>
                <w:lang w:val="fr-FR"/>
              </w:rPr>
              <w:t>brevet en Finlande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1F55AC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>Traitement d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une demande de brevet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1F55AC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 xml:space="preserve">Système international de demande de brevet 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1F55AC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>Caractéristiques particulières des systèmes de brevets nationaux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1F55AC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>Séminaire sur les activités de l</w:t>
            </w:r>
            <w:r w:rsidR="00111787" w:rsidRPr="00D10D17">
              <w:rPr>
                <w:lang w:val="fr-FR"/>
              </w:rPr>
              <w:t>’</w:t>
            </w:r>
            <w:r w:rsidRPr="00D10D17">
              <w:rPr>
                <w:lang w:val="fr-FR"/>
              </w:rPr>
              <w:t>Office européen des brev</w:t>
            </w:r>
            <w:r w:rsidR="003444AB" w:rsidRPr="00D10D17">
              <w:rPr>
                <w:lang w:val="fr-FR"/>
              </w:rPr>
              <w:t>ets (organisé à l</w:t>
            </w:r>
            <w:r w:rsidR="00111787" w:rsidRPr="00D10D17">
              <w:rPr>
                <w:lang w:val="fr-FR"/>
              </w:rPr>
              <w:t>’</w:t>
            </w:r>
            <w:r w:rsidR="003444AB" w:rsidRPr="00D10D17">
              <w:rPr>
                <w:lang w:val="fr-FR"/>
              </w:rPr>
              <w:t>OEB, Munich)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4</w:t>
            </w:r>
          </w:p>
        </w:tc>
      </w:tr>
      <w:tr w:rsidR="002C563A" w:rsidRPr="00D10D17" w:rsidTr="002C563A">
        <w:trPr>
          <w:trHeight w:val="70"/>
        </w:trPr>
        <w:tc>
          <w:tcPr>
            <w:tcW w:w="8128" w:type="dxa"/>
          </w:tcPr>
          <w:p w:rsidR="005540D9" w:rsidRPr="00D10D17" w:rsidRDefault="001F55AC" w:rsidP="00DD6E7D">
            <w:pPr>
              <w:keepNext/>
              <w:rPr>
                <w:lang w:val="fr-FR"/>
              </w:rPr>
            </w:pPr>
            <w:r w:rsidRPr="00D10D17">
              <w:rPr>
                <w:lang w:val="fr-FR"/>
              </w:rPr>
              <w:t>Brevets et concurrence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keepNext/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  <w:tr w:rsidR="005540D9" w:rsidRPr="00D10D17" w:rsidTr="001C7FE7">
        <w:tc>
          <w:tcPr>
            <w:tcW w:w="8128" w:type="dxa"/>
          </w:tcPr>
          <w:p w:rsidR="005540D9" w:rsidRPr="00D10D17" w:rsidRDefault="001F55AC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Utilisation des droits de propriété industrielle</w:t>
            </w:r>
          </w:p>
        </w:tc>
        <w:tc>
          <w:tcPr>
            <w:tcW w:w="1365" w:type="dxa"/>
          </w:tcPr>
          <w:p w:rsidR="005540D9" w:rsidRPr="00D10D17" w:rsidRDefault="005540D9" w:rsidP="00DD6E7D">
            <w:pPr>
              <w:jc w:val="center"/>
              <w:rPr>
                <w:lang w:val="fr-FR"/>
              </w:rPr>
            </w:pPr>
            <w:r w:rsidRPr="00D10D17">
              <w:rPr>
                <w:lang w:val="fr-FR"/>
              </w:rPr>
              <w:t>2</w:t>
            </w:r>
          </w:p>
        </w:tc>
      </w:tr>
    </w:tbl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D49B6" w:rsidP="00DD6E7D">
      <w:pPr>
        <w:rPr>
          <w:lang w:val="fr-FR"/>
        </w:rPr>
      </w:pPr>
      <w:r w:rsidRPr="00D10D17">
        <w:rPr>
          <w:lang w:val="fr-FR"/>
        </w:rPr>
        <w:t>À</w:t>
      </w:r>
      <w:r w:rsidR="001F55AC" w:rsidRPr="00D10D17">
        <w:rPr>
          <w:lang w:val="fr-FR"/>
        </w:rPr>
        <w:t xml:space="preserve"> l</w:t>
      </w:r>
      <w:r w:rsidR="00111787" w:rsidRPr="00D10D17">
        <w:rPr>
          <w:lang w:val="fr-FR"/>
        </w:rPr>
        <w:t>’</w:t>
      </w:r>
      <w:r w:rsidR="001F55AC" w:rsidRPr="00D10D17">
        <w:rPr>
          <w:lang w:val="fr-FR"/>
        </w:rPr>
        <w:t>issue de la période de 18 m</w:t>
      </w:r>
      <w:r w:rsidR="00781C47">
        <w:rPr>
          <w:lang w:val="fr-FR"/>
        </w:rPr>
        <w:t>oi</w:t>
      </w:r>
      <w:r w:rsidR="001F55AC" w:rsidRPr="00D10D17">
        <w:rPr>
          <w:lang w:val="fr-FR"/>
        </w:rPr>
        <w:t>s, un examen oral est organisé pour tous les nouveaux examinateu</w:t>
      </w:r>
      <w:r w:rsidR="00D10D17" w:rsidRPr="00D10D17">
        <w:rPr>
          <w:lang w:val="fr-FR"/>
        </w:rPr>
        <w:t>rs.  Un</w:t>
      </w:r>
      <w:r w:rsidR="00B91CD5" w:rsidRPr="00D10D17">
        <w:rPr>
          <w:lang w:val="fr-FR"/>
        </w:rPr>
        <w:t>e fois reçu à</w:t>
      </w:r>
      <w:r w:rsidR="001F55AC" w:rsidRPr="00D10D17">
        <w:rPr>
          <w:lang w:val="fr-FR"/>
        </w:rPr>
        <w:t xml:space="preserve"> cet examen, le nouvel examinateur peut travailler de façon </w:t>
      </w:r>
      <w:r w:rsidR="003444AB" w:rsidRPr="00D10D17">
        <w:rPr>
          <w:lang w:val="fr-FR"/>
        </w:rPr>
        <w:t>autonome</w:t>
      </w:r>
      <w:r w:rsidR="001F55AC" w:rsidRPr="00D10D17">
        <w:rPr>
          <w:lang w:val="fr-FR"/>
        </w:rPr>
        <w:t>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D49B6" w:rsidP="00DD6E7D">
      <w:pPr>
        <w:rPr>
          <w:i/>
          <w:lang w:val="fr-FR"/>
        </w:rPr>
      </w:pPr>
      <w:r w:rsidRPr="00D10D17">
        <w:rPr>
          <w:i/>
          <w:lang w:val="fr-FR"/>
        </w:rPr>
        <w:t xml:space="preserve">Activités de formation des examinateurs </w:t>
      </w:r>
      <w:r w:rsidR="000C71EB" w:rsidRPr="00D10D17">
        <w:rPr>
          <w:i/>
          <w:lang w:val="fr-FR"/>
        </w:rPr>
        <w:t>actuellement en fonctions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D49B6" w:rsidP="00DD6E7D">
      <w:pPr>
        <w:rPr>
          <w:lang w:val="fr-FR"/>
        </w:rPr>
      </w:pPr>
      <w:r w:rsidRPr="00D10D17">
        <w:rPr>
          <w:lang w:val="fr-FR"/>
        </w:rPr>
        <w:t xml:space="preserve">Les examinateurs expérimentés </w:t>
      </w:r>
      <w:r w:rsidR="000C71EB" w:rsidRPr="00D10D17">
        <w:rPr>
          <w:lang w:val="fr-FR"/>
        </w:rPr>
        <w:t>qui sont actuellement en fonctions</w:t>
      </w:r>
      <w:r w:rsidRPr="00D10D17">
        <w:rPr>
          <w:lang w:val="fr-FR"/>
        </w:rPr>
        <w:t xml:space="preserve"> </w:t>
      </w:r>
      <w:r w:rsidR="000C71EB" w:rsidRPr="00D10D17">
        <w:rPr>
          <w:lang w:val="fr-FR"/>
        </w:rPr>
        <w:t>au sein de l</w:t>
      </w:r>
      <w:r w:rsidR="00111787" w:rsidRPr="00D10D17">
        <w:rPr>
          <w:lang w:val="fr-FR"/>
        </w:rPr>
        <w:t>’</w:t>
      </w:r>
      <w:r w:rsidR="000C71EB" w:rsidRPr="00D10D17">
        <w:rPr>
          <w:lang w:val="fr-FR"/>
        </w:rPr>
        <w:t xml:space="preserve">office </w:t>
      </w:r>
      <w:r w:rsidRPr="00D10D17">
        <w:rPr>
          <w:lang w:val="fr-FR"/>
        </w:rPr>
        <w:t>participent aux cours et séminaires proposés par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Académie européenne des brevets (OEB).</w:t>
      </w:r>
      <w:r w:rsidR="001C7FE7" w:rsidRPr="00D10D17">
        <w:rPr>
          <w:lang w:val="fr-FR"/>
        </w:rPr>
        <w:t xml:space="preserve">  </w:t>
      </w:r>
      <w:r w:rsidR="00CD3C88" w:rsidRPr="00D10D17">
        <w:rPr>
          <w:lang w:val="fr-FR"/>
        </w:rPr>
        <w:t>Les cours sont d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 xml:space="preserve">un niveau avancé ou </w:t>
      </w:r>
      <w:r w:rsidR="00250A85" w:rsidRPr="00D10D17">
        <w:rPr>
          <w:lang w:val="fr-FR"/>
        </w:rPr>
        <w:t>s</w:t>
      </w:r>
      <w:r w:rsidR="00CD3C88" w:rsidRPr="00D10D17">
        <w:rPr>
          <w:lang w:val="fr-FR"/>
        </w:rPr>
        <w:t>péciali</w:t>
      </w:r>
      <w:r w:rsidR="00D10D17" w:rsidRPr="00D10D17">
        <w:rPr>
          <w:lang w:val="fr-FR"/>
        </w:rPr>
        <w:t>sé.  Ce</w:t>
      </w:r>
      <w:r w:rsidR="00CD3C88" w:rsidRPr="00D10D17">
        <w:rPr>
          <w:lang w:val="fr-FR"/>
        </w:rPr>
        <w:t>s examinateurs participent également à des cours d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enseignement à distan</w:t>
      </w:r>
      <w:r w:rsidR="00D10D17" w:rsidRPr="00D10D17">
        <w:rPr>
          <w:lang w:val="fr-FR"/>
        </w:rPr>
        <w:t>ce.  Ce</w:t>
      </w:r>
      <w:r w:rsidR="00CD3C88" w:rsidRPr="00D10D17">
        <w:rPr>
          <w:lang w:val="fr-FR"/>
        </w:rPr>
        <w:t xml:space="preserve">ux qui </w:t>
      </w:r>
      <w:r w:rsidR="003444AB" w:rsidRPr="00D10D17">
        <w:rPr>
          <w:lang w:val="fr-FR"/>
        </w:rPr>
        <w:t>suivent l</w:t>
      </w:r>
      <w:r w:rsidR="00DB3734" w:rsidRPr="00D10D17">
        <w:rPr>
          <w:lang w:val="fr-FR"/>
        </w:rPr>
        <w:t>es</w:t>
      </w:r>
      <w:r w:rsidR="00CD3C88" w:rsidRPr="00D10D17">
        <w:rPr>
          <w:lang w:val="fr-FR"/>
        </w:rPr>
        <w:t xml:space="preserve"> cours de l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Académie européenne des brevets sont tenus, par la suite, de former d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autres examinateurs au sein de l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enregistreme</w:t>
      </w:r>
      <w:r w:rsidR="00D10D17" w:rsidRPr="00D10D17">
        <w:rPr>
          <w:lang w:val="fr-FR"/>
        </w:rPr>
        <w:t>nt.  Gé</w:t>
      </w:r>
      <w:r w:rsidR="00CD3C88" w:rsidRPr="00D10D17">
        <w:rPr>
          <w:lang w:val="fr-FR"/>
        </w:rPr>
        <w:t>néralement, plus de 10 examinateurs participent chaque année à divers cours et séminaires organisés par l</w:t>
      </w:r>
      <w:r w:rsidR="00111787" w:rsidRPr="00D10D17">
        <w:rPr>
          <w:lang w:val="fr-FR"/>
        </w:rPr>
        <w:t>’</w:t>
      </w:r>
      <w:r w:rsidR="00CD3C88" w:rsidRPr="00D10D17">
        <w:rPr>
          <w:lang w:val="fr-FR"/>
        </w:rPr>
        <w:t>Académie européenne des brevets (OEB).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250A85" w:rsidP="00DD6E7D">
      <w:pPr>
        <w:rPr>
          <w:lang w:val="fr-FR"/>
        </w:rPr>
      </w:pPr>
      <w:r w:rsidRPr="00D10D17">
        <w:rPr>
          <w:lang w:val="fr-FR"/>
        </w:rPr>
        <w:t xml:space="preserve">Les examinateurs </w:t>
      </w:r>
      <w:r w:rsidR="000C71EB" w:rsidRPr="00D10D17">
        <w:rPr>
          <w:lang w:val="fr-FR"/>
        </w:rPr>
        <w:t xml:space="preserve">actuellement en fonctions </w:t>
      </w:r>
      <w:r w:rsidRPr="00D10D17">
        <w:rPr>
          <w:lang w:val="fr-FR"/>
        </w:rPr>
        <w:t>participent également à des cours et séminaires relatifs aux droits de propriété intellectuelle organisés par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autres organisations, par exemple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Institut des mandataires (EPI) ou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IPR </w:t>
      </w:r>
      <w:proofErr w:type="spellStart"/>
      <w:r w:rsidRPr="00D10D17">
        <w:rPr>
          <w:lang w:val="fr-FR"/>
        </w:rPr>
        <w:t>University</w:t>
      </w:r>
      <w:proofErr w:type="spellEnd"/>
      <w:r w:rsidRPr="00D10D17">
        <w:rPr>
          <w:lang w:val="fr-FR"/>
        </w:rPr>
        <w:t xml:space="preserve"> Center (un institut mis en place conjointement par cinq</w:t>
      </w:r>
      <w:r w:rsidR="00DD60F6" w:rsidRPr="00D10D17">
        <w:rPr>
          <w:lang w:val="fr-FR"/>
        </w:rPr>
        <w:t> </w:t>
      </w:r>
      <w:r w:rsidRPr="00D10D17">
        <w:rPr>
          <w:lang w:val="fr-FR"/>
        </w:rPr>
        <w:t>universités finlandaises).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250A85" w:rsidP="00DD6E7D">
      <w:pPr>
        <w:rPr>
          <w:lang w:val="fr-FR"/>
        </w:rPr>
      </w:pPr>
      <w:r w:rsidRPr="00D10D17">
        <w:rPr>
          <w:lang w:val="fr-FR"/>
        </w:rPr>
        <w:t xml:space="preserve">Les examinateurs </w:t>
      </w:r>
      <w:r w:rsidR="000C71EB" w:rsidRPr="00D10D17">
        <w:rPr>
          <w:lang w:val="fr-FR"/>
        </w:rPr>
        <w:t xml:space="preserve">actuellement en fonctions </w:t>
      </w:r>
      <w:r w:rsidRPr="00D10D17">
        <w:rPr>
          <w:lang w:val="fr-FR"/>
        </w:rPr>
        <w:t>participent à des conférences et séminaires</w:t>
      </w:r>
      <w:r w:rsidR="00DB3734" w:rsidRPr="00D10D17">
        <w:rPr>
          <w:lang w:val="fr-FR"/>
        </w:rPr>
        <w:t xml:space="preserve"> scientifiques aux niveaux</w:t>
      </w:r>
      <w:r w:rsidRPr="00D10D17">
        <w:rPr>
          <w:lang w:val="fr-FR"/>
        </w:rPr>
        <w:t xml:space="preserve"> nationa</w:t>
      </w:r>
      <w:r w:rsidR="00DB3734" w:rsidRPr="00D10D17">
        <w:rPr>
          <w:lang w:val="fr-FR"/>
        </w:rPr>
        <w:t>l</w:t>
      </w:r>
      <w:r w:rsidRPr="00D10D17">
        <w:rPr>
          <w:lang w:val="fr-FR"/>
        </w:rPr>
        <w:t xml:space="preserve"> et internationa</w:t>
      </w:r>
      <w:r w:rsidR="00DB3734" w:rsidRPr="00D10D17">
        <w:rPr>
          <w:lang w:val="fr-FR"/>
        </w:rPr>
        <w:t>l</w:t>
      </w:r>
      <w:r w:rsidRPr="00D10D17">
        <w:rPr>
          <w:lang w:val="fr-FR"/>
        </w:rPr>
        <w:t xml:space="preserve"> afin de renforcer leurs compétences techniques.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250A85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enregistrement mène des activités de formation interne, destinées aux examinateurs </w:t>
      </w:r>
      <w:r w:rsidR="00DB3734" w:rsidRPr="00D10D17">
        <w:rPr>
          <w:lang w:val="fr-FR"/>
        </w:rPr>
        <w:t>en place</w:t>
      </w:r>
      <w:r w:rsidRPr="00D10D17">
        <w:rPr>
          <w:lang w:val="fr-FR"/>
        </w:rPr>
        <w:t>, sur des sujets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actualité.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50A85" w:rsidP="00DD6E7D">
      <w:pPr>
        <w:rPr>
          <w:lang w:val="fr-FR"/>
        </w:rPr>
      </w:pPr>
      <w:r w:rsidRPr="00D10D17">
        <w:rPr>
          <w:lang w:val="fr-FR"/>
        </w:rPr>
        <w:t xml:space="preserve">Des cours de formation des </w:t>
      </w:r>
      <w:r w:rsidR="00DB3734" w:rsidRPr="00D10D17">
        <w:rPr>
          <w:lang w:val="fr-FR"/>
        </w:rPr>
        <w:t>tuteurs</w:t>
      </w:r>
      <w:r w:rsidRPr="00D10D17">
        <w:rPr>
          <w:lang w:val="fr-FR"/>
        </w:rPr>
        <w:t xml:space="preserve"> sont régulièrement organis</w:t>
      </w:r>
      <w:r w:rsidR="00D10D17" w:rsidRPr="00D10D17">
        <w:rPr>
          <w:lang w:val="fr-FR"/>
        </w:rPr>
        <w:t>és.  Un</w:t>
      </w:r>
      <w:r w:rsidRPr="00D10D17">
        <w:rPr>
          <w:lang w:val="fr-FR"/>
        </w:rPr>
        <w:t xml:space="preserve"> cours dure cinq</w:t>
      </w:r>
      <w:r w:rsidR="00DD60F6" w:rsidRPr="00D10D17">
        <w:rPr>
          <w:lang w:val="fr-FR"/>
        </w:rPr>
        <w:t> </w:t>
      </w:r>
      <w:r w:rsidRPr="00D10D17">
        <w:rPr>
          <w:lang w:val="fr-FR"/>
        </w:rPr>
        <w:t>jours.</w:t>
      </w:r>
    </w:p>
    <w:p w:rsidR="00974C5A" w:rsidRPr="00D10D17" w:rsidRDefault="00250A85" w:rsidP="00DD6E7D">
      <w:pPr>
        <w:rPr>
          <w:lang w:val="fr-FR"/>
        </w:rPr>
      </w:pPr>
      <w:r w:rsidRPr="00D10D17">
        <w:rPr>
          <w:lang w:val="fr-FR"/>
        </w:rPr>
        <w:t xml:space="preserve">Une formation linguistique est proposée aux formateurs (anglais pour les </w:t>
      </w:r>
      <w:r w:rsidR="00DB3734" w:rsidRPr="00D10D17">
        <w:rPr>
          <w:lang w:val="fr-FR"/>
        </w:rPr>
        <w:t>lettres officielles</w:t>
      </w:r>
      <w:r w:rsidRPr="00D10D17">
        <w:rPr>
          <w:lang w:val="fr-FR"/>
        </w:rPr>
        <w:t>, suédois, français et allemand).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50A85" w:rsidP="00DD6E7D">
      <w:pPr>
        <w:rPr>
          <w:lang w:val="fr-FR"/>
        </w:rPr>
      </w:pPr>
      <w:r w:rsidRPr="00D10D17">
        <w:rPr>
          <w:lang w:val="fr-FR"/>
        </w:rPr>
        <w:t>Il existe généralement une coopération bilatérale avec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autres offices des breve</w:t>
      </w:r>
      <w:r w:rsidR="00D10D17" w:rsidRPr="00D10D17">
        <w:rPr>
          <w:lang w:val="fr-FR"/>
        </w:rPr>
        <w:t>ts.  Pa</w:t>
      </w:r>
      <w:r w:rsidRPr="00D10D17">
        <w:rPr>
          <w:lang w:val="fr-FR"/>
        </w:rPr>
        <w:t>r exemple, des séminaires ont été organisés avec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des brevets et des marques des États</w:t>
      </w:r>
      <w:r w:rsidR="00781C47">
        <w:rPr>
          <w:lang w:val="fr-FR"/>
        </w:rPr>
        <w:noBreakHyphen/>
      </w:r>
      <w:r w:rsidRPr="00D10D17">
        <w:rPr>
          <w:lang w:val="fr-FR"/>
        </w:rPr>
        <w:t>Unis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Amériq</w:t>
      </w:r>
      <w:r w:rsidR="00D10D17" w:rsidRPr="00D10D17">
        <w:rPr>
          <w:lang w:val="fr-FR"/>
        </w:rPr>
        <w:t>ue.  En</w:t>
      </w:r>
      <w:r w:rsidRPr="00D10D17">
        <w:rPr>
          <w:lang w:val="fr-FR"/>
        </w:rPr>
        <w:t xml:space="preserve"> outre, des échanges de courte durée ont été effectués avec des examinateurs </w:t>
      </w:r>
      <w:r w:rsidR="008F1A79" w:rsidRPr="00D10D17">
        <w:rPr>
          <w:lang w:val="fr-FR"/>
        </w:rPr>
        <w:t>de l</w:t>
      </w:r>
      <w:r w:rsidR="00111787" w:rsidRPr="00D10D17">
        <w:rPr>
          <w:lang w:val="fr-FR"/>
        </w:rPr>
        <w:t>’</w:t>
      </w:r>
      <w:r w:rsidR="008F1A79" w:rsidRPr="00D10D17">
        <w:rPr>
          <w:lang w:val="fr-FR"/>
        </w:rPr>
        <w:t>Office d</w:t>
      </w:r>
      <w:r w:rsidR="00111787" w:rsidRPr="00D10D17">
        <w:rPr>
          <w:lang w:val="fr-FR"/>
        </w:rPr>
        <w:t>’</w:t>
      </w:r>
      <w:r w:rsidR="008F1A79" w:rsidRPr="00D10D17">
        <w:rPr>
          <w:lang w:val="fr-FR"/>
        </w:rPr>
        <w:t xml:space="preserve">État de la propriété intellectuelle de la République populaire de </w:t>
      </w:r>
      <w:r w:rsidR="003444AB" w:rsidRPr="00D10D17">
        <w:rPr>
          <w:lang w:val="fr-FR"/>
        </w:rPr>
        <w:t xml:space="preserve">Chine </w:t>
      </w:r>
      <w:r w:rsidR="008F1A79" w:rsidRPr="00D10D17">
        <w:rPr>
          <w:lang w:val="fr-FR"/>
        </w:rPr>
        <w:t>(</w:t>
      </w:r>
      <w:r w:rsidRPr="00D10D17">
        <w:rPr>
          <w:lang w:val="fr-FR"/>
        </w:rPr>
        <w:t>SIPO</w:t>
      </w:r>
      <w:r w:rsidR="008F1A79" w:rsidRPr="00D10D17">
        <w:rPr>
          <w:lang w:val="fr-FR"/>
        </w:rPr>
        <w:t>)</w:t>
      </w:r>
      <w:r w:rsidRPr="00D10D17">
        <w:rPr>
          <w:lang w:val="fr-FR"/>
        </w:rPr>
        <w:t>.</w:t>
      </w:r>
    </w:p>
    <w:p w:rsidR="00974C5A" w:rsidRPr="00D10D17" w:rsidRDefault="00974C5A" w:rsidP="00DD6E7D">
      <w:pPr>
        <w:rPr>
          <w:szCs w:val="22"/>
          <w:lang w:val="fr-FR"/>
        </w:rPr>
      </w:pPr>
    </w:p>
    <w:p w:rsidR="00974C5A" w:rsidRPr="00D10D17" w:rsidRDefault="00974C5A" w:rsidP="00DD6E7D">
      <w:pPr>
        <w:rPr>
          <w:b/>
          <w:szCs w:val="22"/>
          <w:lang w:val="fr-FR"/>
        </w:rPr>
      </w:pPr>
    </w:p>
    <w:p w:rsidR="00974C5A" w:rsidRPr="00D10D17" w:rsidRDefault="00111787" w:rsidP="00DD6E7D">
      <w:pPr>
        <w:rPr>
          <w:b/>
          <w:i/>
          <w:lang w:val="fr-FR"/>
        </w:rPr>
      </w:pPr>
      <w:r w:rsidRPr="00D10D17">
        <w:rPr>
          <w:b/>
          <w:i/>
          <w:lang w:val="fr-FR"/>
        </w:rPr>
        <w:t>Règles 3</w:t>
      </w:r>
      <w:r w:rsidR="004177F9">
        <w:rPr>
          <w:b/>
          <w:i/>
          <w:lang w:val="fr-FR"/>
        </w:rPr>
        <w:t>6.1.ii) et </w:t>
      </w:r>
      <w:r w:rsidR="00F57A5F" w:rsidRPr="00D10D17">
        <w:rPr>
          <w:b/>
          <w:i/>
          <w:lang w:val="fr-FR"/>
        </w:rPr>
        <w:t>63.1.ii)</w:t>
      </w:r>
      <w:r w:rsidRPr="00D10D17">
        <w:rPr>
          <w:b/>
          <w:i/>
          <w:lang w:val="fr-FR"/>
        </w:rPr>
        <w:t> :</w:t>
      </w:r>
      <w:r w:rsidR="00DD60F6" w:rsidRPr="00D10D17">
        <w:rPr>
          <w:b/>
          <w:i/>
          <w:lang w:val="fr-FR"/>
        </w:rPr>
        <w:t xml:space="preserve"> </w:t>
      </w:r>
      <w:r w:rsidR="00F57A5F" w:rsidRPr="00D10D17">
        <w:rPr>
          <w:b/>
          <w:i/>
          <w:lang w:val="fr-FR"/>
        </w:rPr>
        <w:t xml:space="preserve">cet office ou cette organisation doit avoir en sa possession au moins la documentation minimale de la </w:t>
      </w:r>
      <w:r w:rsidRPr="00D10D17">
        <w:rPr>
          <w:b/>
          <w:i/>
          <w:lang w:val="fr-FR"/>
        </w:rPr>
        <w:t>règle 3</w:t>
      </w:r>
      <w:r w:rsidR="00F57A5F" w:rsidRPr="00D10D17">
        <w:rPr>
          <w:b/>
          <w:i/>
          <w:lang w:val="fr-FR"/>
        </w:rPr>
        <w:t>4, ou avoir accès à cette documentation minimale, laquelle doit être disposée d</w:t>
      </w:r>
      <w:r w:rsidRPr="00D10D17">
        <w:rPr>
          <w:b/>
          <w:i/>
          <w:lang w:val="fr-FR"/>
        </w:rPr>
        <w:t>’</w:t>
      </w:r>
      <w:r w:rsidR="00F57A5F" w:rsidRPr="00D10D17">
        <w:rPr>
          <w:b/>
          <w:i/>
          <w:lang w:val="fr-FR"/>
        </w:rPr>
        <w:t>une manière adéquate aux fins de la recherche et se présenter sur papier, sur microforme ou sur un support électronique.</w:t>
      </w:r>
    </w:p>
    <w:p w:rsidR="00974C5A" w:rsidRPr="00D10D17" w:rsidRDefault="00974C5A" w:rsidP="00DD6E7D">
      <w:pPr>
        <w:rPr>
          <w:szCs w:val="22"/>
          <w:lang w:val="fr-FR"/>
        </w:rPr>
      </w:pPr>
    </w:p>
    <w:p w:rsidR="00111787" w:rsidRPr="00D10D17" w:rsidRDefault="00F57A5F" w:rsidP="00DD6E7D">
      <w:pPr>
        <w:keepNext/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 xml:space="preserve">Accès à la documentation minimale aux fins de </w:t>
      </w:r>
      <w:r w:rsidR="009D67D4" w:rsidRPr="00D10D17">
        <w:rPr>
          <w:b/>
          <w:szCs w:val="22"/>
          <w:lang w:val="fr-FR"/>
        </w:rPr>
        <w:t xml:space="preserve">la </w:t>
      </w:r>
      <w:r w:rsidRPr="00D10D17">
        <w:rPr>
          <w:b/>
          <w:szCs w:val="22"/>
          <w:lang w:val="fr-FR"/>
        </w:rPr>
        <w:t>recherche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4177F9" w:rsidP="00DD6E7D">
      <w:pPr>
        <w:rPr>
          <w:szCs w:val="22"/>
          <w:lang w:val="fr-FR"/>
        </w:rPr>
      </w:pPr>
      <w:r>
        <w:rPr>
          <w:szCs w:val="22"/>
          <w:lang w:val="fr-FR"/>
        </w:rPr>
        <w:t>(</w:t>
      </w:r>
      <w:r w:rsidR="00F57A5F" w:rsidRPr="004177F9">
        <w:rPr>
          <w:color w:val="4BACC6"/>
          <w:szCs w:val="22"/>
          <w:lang w:val="fr-FR"/>
        </w:rPr>
        <w:t>x</w:t>
      </w:r>
      <w:r w:rsidR="00F57A5F" w:rsidRPr="00D10D17">
        <w:rPr>
          <w:szCs w:val="22"/>
          <w:lang w:val="fr-FR"/>
        </w:rPr>
        <w:t>)</w:t>
      </w:r>
      <w:r>
        <w:rPr>
          <w:szCs w:val="22"/>
          <w:lang w:val="fr-FR"/>
        </w:rPr>
        <w:tab/>
      </w:r>
      <w:r w:rsidR="00F57A5F" w:rsidRPr="00D10D17">
        <w:rPr>
          <w:szCs w:val="22"/>
          <w:lang w:val="fr-FR"/>
        </w:rPr>
        <w:t>Plein accès</w:t>
      </w:r>
    </w:p>
    <w:p w:rsidR="00974C5A" w:rsidRPr="00D10D17" w:rsidRDefault="00974C5A" w:rsidP="00DD6E7D">
      <w:pPr>
        <w:rPr>
          <w:szCs w:val="22"/>
          <w:lang w:val="fr-FR"/>
        </w:rPr>
      </w:pPr>
    </w:p>
    <w:p w:rsidR="00111787" w:rsidRPr="00D10D17" w:rsidRDefault="00F57A5F" w:rsidP="00DD6E7D">
      <w:pPr>
        <w:keepNext/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Systèmes de recherche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keepNext/>
        <w:rPr>
          <w:lang w:val="fr-FR"/>
        </w:rPr>
      </w:pPr>
    </w:p>
    <w:p w:rsidR="00974C5A" w:rsidRPr="00D10D17" w:rsidRDefault="00F57A5F" w:rsidP="00DD6E7D">
      <w:pPr>
        <w:keepNext/>
        <w:rPr>
          <w:lang w:val="fr-FR"/>
        </w:rPr>
      </w:pPr>
      <w:r w:rsidRPr="00D10D17">
        <w:rPr>
          <w:lang w:val="fr-FR"/>
        </w:rPr>
        <w:t>Les examinateurs de brevets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 disposent de tout le matériel nécessaire (matériel et logiciels informatiques) pour mener des recherches et des examens efficaces.</w:t>
      </w:r>
    </w:p>
    <w:p w:rsidR="00974C5A" w:rsidRPr="00D10D17" w:rsidRDefault="00974C5A" w:rsidP="00DD6E7D">
      <w:pPr>
        <w:keepNext/>
        <w:rPr>
          <w:lang w:val="fr-FR"/>
        </w:rPr>
      </w:pPr>
    </w:p>
    <w:p w:rsidR="00974C5A" w:rsidRPr="00D10D17" w:rsidRDefault="00F57A5F" w:rsidP="00DD6E7D">
      <w:pPr>
        <w:rPr>
          <w:lang w:val="fr-FR"/>
        </w:rPr>
      </w:pPr>
      <w:r w:rsidRPr="00D10D17">
        <w:rPr>
          <w:lang w:val="fr-FR"/>
        </w:rPr>
        <w:t>Les examinateurs ont accès à EPOQUENET et à plusieurs autres bases de données et outils de recherche pour satisfaire aux critères relatifs à la documentation minimale visés à la règle 34 du règlement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exécution du PCT.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F57A5F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application EPOQUENET offre aux examinateurs un accès à toutes les bases de données de brevets répondant aux critères de documentation minimale</w:t>
      </w:r>
      <w:r w:rsidR="00111787" w:rsidRPr="00D10D17">
        <w:rPr>
          <w:lang w:val="fr-FR"/>
        </w:rPr>
        <w:t xml:space="preserve"> du </w:t>
      </w:r>
      <w:r w:rsidR="00D10D17" w:rsidRPr="00D10D17">
        <w:rPr>
          <w:lang w:val="fr-FR"/>
        </w:rPr>
        <w:t>PCT.  Le</w:t>
      </w:r>
      <w:r w:rsidRPr="00D10D17">
        <w:rPr>
          <w:lang w:val="fr-FR"/>
        </w:rPr>
        <w:t>s examinateurs ont également accès à des bases de données de traduction</w:t>
      </w:r>
      <w:r w:rsidR="002319E6" w:rsidRPr="00D10D17">
        <w:rPr>
          <w:lang w:val="fr-FR"/>
        </w:rPr>
        <w:t xml:space="preserve"> comprenant</w:t>
      </w:r>
      <w:r w:rsidRPr="00D10D17">
        <w:rPr>
          <w:lang w:val="fr-FR"/>
        </w:rPr>
        <w:t xml:space="preserve"> les principaux pays asiatiques (Chin</w:t>
      </w:r>
      <w:r w:rsidR="002319E6" w:rsidRPr="00D10D17">
        <w:rPr>
          <w:lang w:val="fr-FR"/>
        </w:rPr>
        <w:t>e</w:t>
      </w:r>
      <w:r w:rsidRPr="00D10D17">
        <w:rPr>
          <w:lang w:val="fr-FR"/>
        </w:rPr>
        <w:t>, Japon et Cor</w:t>
      </w:r>
      <w:r w:rsidR="00D10D17" w:rsidRPr="00D10D17">
        <w:rPr>
          <w:lang w:val="fr-FR"/>
        </w:rPr>
        <w:t>ée).  La</w:t>
      </w:r>
      <w:r w:rsidR="00D75B2E" w:rsidRPr="00D10D17">
        <w:rPr>
          <w:lang w:val="fr-FR"/>
        </w:rPr>
        <w:t xml:space="preserve"> base de données commerciale WPI (Ind</w:t>
      </w:r>
      <w:r w:rsidR="002319E6" w:rsidRPr="00D10D17">
        <w:rPr>
          <w:lang w:val="fr-FR"/>
        </w:rPr>
        <w:t>ice</w:t>
      </w:r>
      <w:r w:rsidR="00D75B2E" w:rsidRPr="00D10D17">
        <w:rPr>
          <w:lang w:val="fr-FR"/>
        </w:rPr>
        <w:t xml:space="preserve"> mondial Derwent des brevets) et les bases de données de littérature non</w:t>
      </w:r>
      <w:r w:rsidR="00781C47">
        <w:rPr>
          <w:lang w:val="fr-FR"/>
        </w:rPr>
        <w:noBreakHyphen/>
      </w:r>
      <w:r w:rsidR="00D75B2E" w:rsidRPr="00D10D17">
        <w:rPr>
          <w:lang w:val="fr-FR"/>
        </w:rPr>
        <w:t xml:space="preserve">brevet (comme EMBASE, IEEE, INSPEC </w:t>
      </w:r>
      <w:r w:rsidR="003444AB" w:rsidRPr="00D10D17">
        <w:rPr>
          <w:lang w:val="fr-FR"/>
        </w:rPr>
        <w:t>et </w:t>
      </w:r>
      <w:r w:rsidR="00D75B2E" w:rsidRPr="00D10D17">
        <w:rPr>
          <w:lang w:val="fr-FR"/>
        </w:rPr>
        <w:t xml:space="preserve">MEDLINE) sont également utilisées </w:t>
      </w:r>
      <w:r w:rsidR="002319E6" w:rsidRPr="00D10D17">
        <w:rPr>
          <w:lang w:val="fr-FR"/>
        </w:rPr>
        <w:t>par l</w:t>
      </w:r>
      <w:r w:rsidR="00111787" w:rsidRPr="00D10D17">
        <w:rPr>
          <w:lang w:val="fr-FR"/>
        </w:rPr>
        <w:t>’</w:t>
      </w:r>
      <w:r w:rsidR="002319E6" w:rsidRPr="00D10D17">
        <w:rPr>
          <w:lang w:val="fr-FR"/>
        </w:rPr>
        <w:t>intermédiaire</w:t>
      </w:r>
      <w:r w:rsidR="00D75B2E" w:rsidRPr="00D10D17">
        <w:rPr>
          <w:lang w:val="fr-FR"/>
        </w:rPr>
        <w:t xml:space="preserve"> de l</w:t>
      </w:r>
      <w:r w:rsidR="00111787" w:rsidRPr="00D10D17">
        <w:rPr>
          <w:lang w:val="fr-FR"/>
        </w:rPr>
        <w:t>’</w:t>
      </w:r>
      <w:r w:rsidR="00D75B2E" w:rsidRPr="00D10D17">
        <w:rPr>
          <w:lang w:val="fr-FR"/>
        </w:rPr>
        <w:t>application EPOQUENET.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D75B2E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application STN est également à la disposition des examinateu</w:t>
      </w:r>
      <w:r w:rsidR="00D10D17" w:rsidRPr="00D10D17">
        <w:rPr>
          <w:lang w:val="fr-FR"/>
        </w:rPr>
        <w:t>rs.  Ce</w:t>
      </w:r>
      <w:r w:rsidR="003444AB" w:rsidRPr="00D10D17">
        <w:rPr>
          <w:lang w:val="fr-FR"/>
        </w:rPr>
        <w:t xml:space="preserve">tte </w:t>
      </w:r>
      <w:r w:rsidR="00EC5E8B" w:rsidRPr="00D10D17">
        <w:rPr>
          <w:lang w:val="fr-FR"/>
        </w:rPr>
        <w:t xml:space="preserve">application, qui contient des bases de données comme le registre CAS, USGENE et </w:t>
      </w:r>
      <w:proofErr w:type="spellStart"/>
      <w:r w:rsidR="00EC5E8B" w:rsidRPr="00D10D17">
        <w:rPr>
          <w:lang w:val="fr-FR"/>
        </w:rPr>
        <w:t>DGene</w:t>
      </w:r>
      <w:proofErr w:type="spellEnd"/>
      <w:r w:rsidR="00EC5E8B" w:rsidRPr="00D10D17">
        <w:rPr>
          <w:lang w:val="fr-FR"/>
        </w:rPr>
        <w:t>, est utilisée pour des recherches</w:t>
      </w:r>
      <w:r w:rsidR="002319E6" w:rsidRPr="00D10D17">
        <w:rPr>
          <w:lang w:val="fr-FR"/>
        </w:rPr>
        <w:t xml:space="preserve"> effectuées</w:t>
      </w:r>
      <w:r w:rsidR="00EC5E8B" w:rsidRPr="00D10D17">
        <w:rPr>
          <w:lang w:val="fr-FR"/>
        </w:rPr>
        <w:t xml:space="preserve"> essentiellement dans le</w:t>
      </w:r>
      <w:r w:rsidR="002319E6" w:rsidRPr="00D10D17">
        <w:rPr>
          <w:lang w:val="fr-FR"/>
        </w:rPr>
        <w:t>s</w:t>
      </w:r>
      <w:r w:rsidR="00EC5E8B" w:rsidRPr="00D10D17">
        <w:rPr>
          <w:lang w:val="fr-FR"/>
        </w:rPr>
        <w:t xml:space="preserve"> domaine</w:t>
      </w:r>
      <w:r w:rsidR="002319E6" w:rsidRPr="00D10D17">
        <w:rPr>
          <w:lang w:val="fr-FR"/>
        </w:rPr>
        <w:t>s</w:t>
      </w:r>
      <w:r w:rsidR="00EC5E8B" w:rsidRPr="00D10D17">
        <w:rPr>
          <w:lang w:val="fr-FR"/>
        </w:rPr>
        <w:t xml:space="preserve"> de la chimie et de la biotechnolog</w:t>
      </w:r>
      <w:r w:rsidR="00D10D17" w:rsidRPr="00D10D17">
        <w:rPr>
          <w:lang w:val="fr-FR"/>
        </w:rPr>
        <w:t>ie.  Au</w:t>
      </w:r>
      <w:r w:rsidR="00EC5E8B" w:rsidRPr="00D10D17">
        <w:rPr>
          <w:lang w:val="fr-FR"/>
        </w:rPr>
        <w:t xml:space="preserve"> moyen d</w:t>
      </w:r>
      <w:r w:rsidR="00111787" w:rsidRPr="00D10D17">
        <w:rPr>
          <w:lang w:val="fr-FR"/>
        </w:rPr>
        <w:t>’</w:t>
      </w:r>
      <w:r w:rsidR="00EC5E8B" w:rsidRPr="00D10D17">
        <w:rPr>
          <w:lang w:val="fr-FR"/>
        </w:rPr>
        <w:t>EPOQUENET et d</w:t>
      </w:r>
      <w:r w:rsidR="00111787" w:rsidRPr="00D10D17">
        <w:rPr>
          <w:lang w:val="fr-FR"/>
        </w:rPr>
        <w:t>’</w:t>
      </w:r>
      <w:r w:rsidR="00EC5E8B" w:rsidRPr="00D10D17">
        <w:rPr>
          <w:lang w:val="fr-FR"/>
        </w:rPr>
        <w:t>autres outils et portails de recherche, les examinateurs accèdent à un vaste ensemble de revues et de littérature non</w:t>
      </w:r>
      <w:r w:rsidR="00781C47">
        <w:rPr>
          <w:lang w:val="fr-FR"/>
        </w:rPr>
        <w:noBreakHyphen/>
      </w:r>
      <w:r w:rsidR="00EC5E8B" w:rsidRPr="00D10D17">
        <w:rPr>
          <w:lang w:val="fr-FR"/>
        </w:rPr>
        <w:t>brev</w:t>
      </w:r>
      <w:r w:rsidR="00D10D17" w:rsidRPr="00D10D17">
        <w:rPr>
          <w:lang w:val="fr-FR"/>
        </w:rPr>
        <w:t>et.  Le</w:t>
      </w:r>
      <w:r w:rsidR="00EC5E8B" w:rsidRPr="00D10D17">
        <w:rPr>
          <w:lang w:val="fr-FR"/>
        </w:rPr>
        <w:t>s revues so</w:t>
      </w:r>
      <w:r w:rsidR="00C10BE7" w:rsidRPr="00D10D17">
        <w:rPr>
          <w:lang w:val="fr-FR"/>
        </w:rPr>
        <w:t>n</w:t>
      </w:r>
      <w:r w:rsidR="00EC5E8B" w:rsidRPr="00D10D17">
        <w:rPr>
          <w:lang w:val="fr-FR"/>
        </w:rPr>
        <w:t>t mises à disposition par plusieurs éditeurs (par exemple,</w:t>
      </w:r>
      <w:r w:rsidR="009D67D4" w:rsidRPr="00D10D17">
        <w:rPr>
          <w:lang w:val="fr-FR"/>
        </w:rPr>
        <w:t xml:space="preserve"> </w:t>
      </w:r>
      <w:r w:rsidR="005540D9" w:rsidRPr="00D10D17">
        <w:rPr>
          <w:lang w:val="fr-FR"/>
        </w:rPr>
        <w:t>O</w:t>
      </w:r>
      <w:r w:rsidR="00EC5E8B" w:rsidRPr="00D10D17">
        <w:rPr>
          <w:lang w:val="fr-FR"/>
        </w:rPr>
        <w:t xml:space="preserve">EBSCO, Elsevier, Springer et </w:t>
      </w:r>
      <w:proofErr w:type="spellStart"/>
      <w:r w:rsidR="00EC5E8B" w:rsidRPr="00D10D17">
        <w:rPr>
          <w:lang w:val="fr-FR"/>
        </w:rPr>
        <w:t>Wiley</w:t>
      </w:r>
      <w:proofErr w:type="spellEnd"/>
      <w:r w:rsidR="00EC5E8B" w:rsidRPr="00D10D17">
        <w:rPr>
          <w:lang w:val="fr-FR"/>
        </w:rPr>
        <w:t>).</w:t>
      </w:r>
    </w:p>
    <w:p w:rsidR="002319E6" w:rsidRPr="00D10D17" w:rsidRDefault="002319E6" w:rsidP="00DD6E7D">
      <w:pPr>
        <w:rPr>
          <w:lang w:val="fr-FR"/>
        </w:rPr>
      </w:pPr>
    </w:p>
    <w:p w:rsidR="00974C5A" w:rsidRPr="00D10D17" w:rsidRDefault="00C10BE7" w:rsidP="00DD6E7D">
      <w:pPr>
        <w:rPr>
          <w:lang w:val="fr-FR"/>
        </w:rPr>
      </w:pPr>
      <w:r w:rsidRPr="00D10D17">
        <w:rPr>
          <w:lang w:val="fr-FR"/>
        </w:rPr>
        <w:t>L</w:t>
      </w:r>
      <w:r w:rsidR="002319E6" w:rsidRPr="00D10D17">
        <w:rPr>
          <w:lang w:val="fr-FR"/>
        </w:rPr>
        <w:t>es outils sus</w:t>
      </w:r>
      <w:r w:rsidR="005540D9" w:rsidRPr="00D10D17">
        <w:rPr>
          <w:lang w:val="fr-FR"/>
        </w:rPr>
        <w:t>mention</w:t>
      </w:r>
      <w:r w:rsidR="002319E6" w:rsidRPr="00D10D17">
        <w:rPr>
          <w:lang w:val="fr-FR"/>
        </w:rPr>
        <w:t>nés offrent aux</w:t>
      </w:r>
      <w:r w:rsidR="005540D9" w:rsidRPr="00D10D17">
        <w:rPr>
          <w:lang w:val="fr-FR"/>
        </w:rPr>
        <w:t xml:space="preserve"> </w:t>
      </w:r>
      <w:r w:rsidR="002319E6" w:rsidRPr="00D10D17">
        <w:rPr>
          <w:lang w:val="fr-FR"/>
        </w:rPr>
        <w:t>examinateurs un accès à la</w:t>
      </w:r>
      <w:r w:rsidR="005540D9" w:rsidRPr="00D10D17">
        <w:rPr>
          <w:lang w:val="fr-FR"/>
        </w:rPr>
        <w:t xml:space="preserve"> </w:t>
      </w:r>
      <w:r w:rsidR="002319E6" w:rsidRPr="00D10D17">
        <w:rPr>
          <w:lang w:val="fr-FR"/>
        </w:rPr>
        <w:t xml:space="preserve">documentation minimale </w:t>
      </w:r>
      <w:r w:rsidRPr="00D10D17">
        <w:rPr>
          <w:lang w:val="fr-FR"/>
        </w:rPr>
        <w:t>de</w:t>
      </w:r>
      <w:r w:rsidR="002319E6" w:rsidRPr="00D10D17">
        <w:rPr>
          <w:lang w:val="fr-FR"/>
        </w:rPr>
        <w:t xml:space="preserve"> la</w:t>
      </w:r>
      <w:r w:rsidR="005540D9" w:rsidRPr="00D10D17">
        <w:rPr>
          <w:lang w:val="fr-FR"/>
        </w:rPr>
        <w:t xml:space="preserve"> </w:t>
      </w:r>
      <w:r w:rsidR="002319E6" w:rsidRPr="00D10D17">
        <w:rPr>
          <w:lang w:val="fr-FR"/>
        </w:rPr>
        <w:t>règle 34 du règlement d</w:t>
      </w:r>
      <w:r w:rsidR="00111787" w:rsidRPr="00D10D17">
        <w:rPr>
          <w:lang w:val="fr-FR"/>
        </w:rPr>
        <w:t>’</w:t>
      </w:r>
      <w:r w:rsidR="002319E6" w:rsidRPr="00D10D17">
        <w:rPr>
          <w:lang w:val="fr-FR"/>
        </w:rPr>
        <w:t>exécution du PCT</w:t>
      </w:r>
      <w:r w:rsidRPr="00D10D17">
        <w:rPr>
          <w:lang w:val="fr-FR"/>
        </w:rPr>
        <w:t>, au moins</w:t>
      </w:r>
      <w:r w:rsidR="005540D9" w:rsidRPr="00D10D17">
        <w:rPr>
          <w:lang w:val="fr-FR"/>
        </w:rPr>
        <w:t>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11787" w:rsidP="00DD6E7D">
      <w:pPr>
        <w:rPr>
          <w:b/>
          <w:i/>
          <w:lang w:val="fr-FR"/>
        </w:rPr>
      </w:pPr>
      <w:r w:rsidRPr="00D10D17">
        <w:rPr>
          <w:b/>
          <w:i/>
          <w:lang w:val="fr-FR"/>
        </w:rPr>
        <w:t>Règles 3</w:t>
      </w:r>
      <w:r w:rsidR="00EC5E8B" w:rsidRPr="00D10D17">
        <w:rPr>
          <w:b/>
          <w:i/>
          <w:lang w:val="fr-FR"/>
        </w:rPr>
        <w:t>6.1.iii) et 63.1.iii)</w:t>
      </w:r>
      <w:r w:rsidRPr="00D10D17">
        <w:rPr>
          <w:b/>
          <w:i/>
          <w:lang w:val="fr-FR"/>
        </w:rPr>
        <w:t> :</w:t>
      </w:r>
      <w:r w:rsidR="00DD60F6" w:rsidRPr="00D10D17">
        <w:rPr>
          <w:b/>
          <w:i/>
          <w:lang w:val="fr-FR"/>
        </w:rPr>
        <w:t xml:space="preserve"> </w:t>
      </w:r>
      <w:r w:rsidR="00EC5E8B" w:rsidRPr="00D10D17">
        <w:rPr>
          <w:b/>
          <w:i/>
          <w:lang w:val="fr-FR"/>
        </w:rPr>
        <w:t>cet office ou cette organisation doit disposer d</w:t>
      </w:r>
      <w:r w:rsidRPr="00D10D17">
        <w:rPr>
          <w:b/>
          <w:i/>
          <w:lang w:val="fr-FR"/>
        </w:rPr>
        <w:t>’</w:t>
      </w:r>
      <w:r w:rsidR="00EC5E8B" w:rsidRPr="00D10D17">
        <w:rPr>
          <w:b/>
          <w:i/>
          <w:lang w:val="fr-FR"/>
        </w:rPr>
        <w:t xml:space="preserve">un personnel capable de procéder à la recherche </w:t>
      </w:r>
      <w:r w:rsidR="00C10BE7" w:rsidRPr="00D10D17">
        <w:rPr>
          <w:b/>
          <w:i/>
          <w:lang w:val="fr-FR"/>
        </w:rPr>
        <w:t>et à l</w:t>
      </w:r>
      <w:r w:rsidRPr="00D10D17">
        <w:rPr>
          <w:b/>
          <w:i/>
          <w:lang w:val="fr-FR"/>
        </w:rPr>
        <w:t>’</w:t>
      </w:r>
      <w:r w:rsidR="00C10BE7" w:rsidRPr="00D10D17">
        <w:rPr>
          <w:b/>
          <w:i/>
          <w:lang w:val="fr-FR"/>
        </w:rPr>
        <w:t xml:space="preserve">examen </w:t>
      </w:r>
      <w:r w:rsidR="00EC5E8B" w:rsidRPr="00D10D17">
        <w:rPr>
          <w:b/>
          <w:i/>
          <w:lang w:val="fr-FR"/>
        </w:rPr>
        <w:t xml:space="preserve">dans les domaines techniques sur lesquels la recherche </w:t>
      </w:r>
      <w:r w:rsidR="00C10BE7" w:rsidRPr="00D10D17">
        <w:rPr>
          <w:b/>
          <w:i/>
          <w:lang w:val="fr-FR"/>
        </w:rPr>
        <w:t>et l</w:t>
      </w:r>
      <w:r w:rsidRPr="00D10D17">
        <w:rPr>
          <w:b/>
          <w:i/>
          <w:lang w:val="fr-FR"/>
        </w:rPr>
        <w:t>’</w:t>
      </w:r>
      <w:r w:rsidR="00C10BE7" w:rsidRPr="00D10D17">
        <w:rPr>
          <w:b/>
          <w:i/>
          <w:lang w:val="fr-FR"/>
        </w:rPr>
        <w:t xml:space="preserve">examen </w:t>
      </w:r>
      <w:r w:rsidR="00EC5E8B" w:rsidRPr="00D10D17">
        <w:rPr>
          <w:b/>
          <w:i/>
          <w:lang w:val="fr-FR"/>
        </w:rPr>
        <w:t>doi</w:t>
      </w:r>
      <w:r w:rsidR="00C10BE7" w:rsidRPr="00D10D17">
        <w:rPr>
          <w:b/>
          <w:i/>
          <w:lang w:val="fr-FR"/>
        </w:rPr>
        <w:t>ven</w:t>
      </w:r>
      <w:r w:rsidR="00EC5E8B" w:rsidRPr="00D10D17">
        <w:rPr>
          <w:b/>
          <w:i/>
          <w:lang w:val="fr-FR"/>
        </w:rPr>
        <w:t xml:space="preserve">t porter et possédant les connaissances linguistiques nécessaires à la compréhension au moins des langues dans lesquelles la documentation minimale de la </w:t>
      </w:r>
      <w:r w:rsidRPr="00D10D17">
        <w:rPr>
          <w:b/>
          <w:i/>
          <w:lang w:val="fr-FR"/>
        </w:rPr>
        <w:t>règle 3</w:t>
      </w:r>
      <w:r w:rsidR="00EC5E8B" w:rsidRPr="00D10D17">
        <w:rPr>
          <w:b/>
          <w:i/>
          <w:lang w:val="fr-FR"/>
        </w:rPr>
        <w:t>4 est rédigée ou traduite.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6532E" w:rsidP="00DD6E7D">
      <w:pPr>
        <w:rPr>
          <w:b/>
          <w:szCs w:val="22"/>
          <w:lang w:val="fr-FR"/>
        </w:rPr>
      </w:pPr>
      <w:r w:rsidRPr="00D10D17">
        <w:rPr>
          <w:b/>
          <w:color w:val="000000"/>
          <w:szCs w:val="22"/>
          <w:lang w:val="fr-FR"/>
        </w:rPr>
        <w:t>Langues dans lesquelles les demandes nationales peuvent être déposées et traitées</w:t>
      </w:r>
      <w:r w:rsidR="00111787" w:rsidRPr="00D10D17">
        <w:rPr>
          <w:b/>
          <w:color w:val="000000"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2319E6" w:rsidP="00DD6E7D">
      <w:pPr>
        <w:rPr>
          <w:lang w:val="fr-FR"/>
        </w:rPr>
      </w:pPr>
      <w:r w:rsidRPr="00D10D17">
        <w:rPr>
          <w:color w:val="000000"/>
          <w:lang w:val="fr-FR"/>
        </w:rPr>
        <w:t>Finnois</w:t>
      </w:r>
      <w:r w:rsidR="0086532E" w:rsidRPr="00D10D17">
        <w:rPr>
          <w:color w:val="000000"/>
          <w:lang w:val="fr-FR"/>
        </w:rPr>
        <w:t>, suédois, anglais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6532E" w:rsidP="00DD6E7D">
      <w:pPr>
        <w:rPr>
          <w:szCs w:val="22"/>
          <w:lang w:val="fr-FR"/>
        </w:rPr>
      </w:pPr>
      <w:r w:rsidRPr="00D10D17">
        <w:rPr>
          <w:b/>
          <w:color w:val="000000"/>
          <w:szCs w:val="22"/>
          <w:lang w:val="fr-FR"/>
        </w:rPr>
        <w:t xml:space="preserve">Autres langues </w:t>
      </w:r>
      <w:r w:rsidR="009D67D4" w:rsidRPr="00D10D17">
        <w:rPr>
          <w:b/>
          <w:color w:val="000000"/>
          <w:szCs w:val="22"/>
          <w:lang w:val="fr-FR"/>
        </w:rPr>
        <w:t>maîtrisées par</w:t>
      </w:r>
      <w:r w:rsidRPr="00D10D17">
        <w:rPr>
          <w:b/>
          <w:color w:val="000000"/>
          <w:szCs w:val="22"/>
          <w:lang w:val="fr-FR"/>
        </w:rPr>
        <w:t xml:space="preserve"> un grand nombre d</w:t>
      </w:r>
      <w:r w:rsidR="00111787" w:rsidRPr="00D10D17">
        <w:rPr>
          <w:b/>
          <w:color w:val="000000"/>
          <w:szCs w:val="22"/>
          <w:lang w:val="fr-FR"/>
        </w:rPr>
        <w:t>’</w:t>
      </w:r>
      <w:r w:rsidRPr="00D10D17">
        <w:rPr>
          <w:b/>
          <w:color w:val="000000"/>
          <w:szCs w:val="22"/>
          <w:lang w:val="fr-FR"/>
        </w:rPr>
        <w:t>examinateurs</w:t>
      </w:r>
      <w:r w:rsidR="00111787" w:rsidRPr="00D10D17">
        <w:rPr>
          <w:b/>
          <w:color w:val="000000"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86532E" w:rsidP="00DD6E7D">
      <w:pPr>
        <w:rPr>
          <w:lang w:val="fr-FR"/>
        </w:rPr>
      </w:pPr>
      <w:r w:rsidRPr="00D10D17">
        <w:rPr>
          <w:lang w:val="fr-FR"/>
        </w:rPr>
        <w:t>Allemand, français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6532E" w:rsidP="00DD6E7D">
      <w:pPr>
        <w:keepNext/>
        <w:keepLines/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 xml:space="preserve">Services proposés pour </w:t>
      </w:r>
      <w:r w:rsidR="009D67D4" w:rsidRPr="00D10D17">
        <w:rPr>
          <w:b/>
          <w:szCs w:val="22"/>
          <w:lang w:val="fr-FR"/>
        </w:rPr>
        <w:t>faciliter la</w:t>
      </w:r>
      <w:r w:rsidRPr="00D10D17">
        <w:rPr>
          <w:b/>
          <w:szCs w:val="22"/>
          <w:lang w:val="fr-FR"/>
        </w:rPr>
        <w:t xml:space="preserve"> recherche ou </w:t>
      </w:r>
      <w:r w:rsidR="009D67D4" w:rsidRPr="00D10D17">
        <w:rPr>
          <w:b/>
          <w:szCs w:val="22"/>
          <w:lang w:val="fr-FR"/>
        </w:rPr>
        <w:t>mieux</w:t>
      </w:r>
      <w:r w:rsidRPr="00D10D17">
        <w:rPr>
          <w:b/>
          <w:szCs w:val="22"/>
          <w:lang w:val="fr-FR"/>
        </w:rPr>
        <w:t xml:space="preserve"> compr</w:t>
      </w:r>
      <w:r w:rsidR="009D67D4" w:rsidRPr="00D10D17">
        <w:rPr>
          <w:b/>
          <w:szCs w:val="22"/>
          <w:lang w:val="fr-FR"/>
        </w:rPr>
        <w:t>en</w:t>
      </w:r>
      <w:r w:rsidRPr="00D10D17">
        <w:rPr>
          <w:b/>
          <w:szCs w:val="22"/>
          <w:lang w:val="fr-FR"/>
        </w:rPr>
        <w:t>d</w:t>
      </w:r>
      <w:r w:rsidR="009D67D4" w:rsidRPr="00D10D17">
        <w:rPr>
          <w:b/>
          <w:szCs w:val="22"/>
          <w:lang w:val="fr-FR"/>
        </w:rPr>
        <w:t>r</w:t>
      </w:r>
      <w:r w:rsidRPr="00D10D17">
        <w:rPr>
          <w:b/>
          <w:szCs w:val="22"/>
          <w:lang w:val="fr-FR"/>
        </w:rPr>
        <w:t>e l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>état de la technique dans d</w:t>
      </w:r>
      <w:r w:rsidR="00111787" w:rsidRPr="00D10D17">
        <w:rPr>
          <w:b/>
          <w:szCs w:val="22"/>
          <w:lang w:val="fr-FR"/>
        </w:rPr>
        <w:t>’</w:t>
      </w:r>
      <w:r w:rsidRPr="00D10D17">
        <w:rPr>
          <w:b/>
          <w:szCs w:val="22"/>
          <w:lang w:val="fr-FR"/>
        </w:rPr>
        <w:t>autres langues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keepNext/>
        <w:keepLines/>
        <w:rPr>
          <w:b/>
          <w:lang w:val="fr-FR"/>
        </w:rPr>
      </w:pPr>
    </w:p>
    <w:p w:rsidR="00974C5A" w:rsidRPr="00D10D17" w:rsidRDefault="0086532E" w:rsidP="00DD6E7D">
      <w:pPr>
        <w:keepNext/>
        <w:keepLines/>
        <w:rPr>
          <w:lang w:val="fr-FR"/>
        </w:rPr>
      </w:pPr>
      <w:r w:rsidRPr="00D10D17">
        <w:rPr>
          <w:lang w:val="fr-FR"/>
        </w:rPr>
        <w:t>Traducteurs internes, services de traduction automatique</w:t>
      </w:r>
    </w:p>
    <w:p w:rsidR="00974C5A" w:rsidRPr="00D10D17" w:rsidRDefault="0086532E" w:rsidP="00DD6E7D">
      <w:pPr>
        <w:pStyle w:val="SectionHeading"/>
        <w:rPr>
          <w:lang w:val="fr-FR"/>
        </w:rPr>
      </w:pPr>
      <w:r w:rsidRPr="00D10D17">
        <w:rPr>
          <w:lang w:val="fr-FR"/>
        </w:rPr>
        <w:t>2.2 – Gestion de la qualité</w:t>
      </w:r>
    </w:p>
    <w:p w:rsidR="00974C5A" w:rsidRPr="00D10D17" w:rsidRDefault="00111787" w:rsidP="00DD6E7D">
      <w:pPr>
        <w:rPr>
          <w:b/>
          <w:i/>
          <w:lang w:val="fr-FR"/>
        </w:rPr>
      </w:pPr>
      <w:r w:rsidRPr="00D10D17">
        <w:rPr>
          <w:b/>
          <w:i/>
          <w:lang w:val="fr-FR"/>
        </w:rPr>
        <w:t>Règles 3</w:t>
      </w:r>
      <w:r w:rsidR="0086532E" w:rsidRPr="00D10D17">
        <w:rPr>
          <w:b/>
          <w:i/>
          <w:lang w:val="fr-FR"/>
        </w:rPr>
        <w:t>6.1.iv) et 63.1.iv)</w:t>
      </w:r>
      <w:r w:rsidRPr="00D10D17">
        <w:rPr>
          <w:b/>
          <w:i/>
          <w:lang w:val="fr-FR"/>
        </w:rPr>
        <w:t> :</w:t>
      </w:r>
      <w:r w:rsidR="00DD60F6" w:rsidRPr="00D10D17">
        <w:rPr>
          <w:b/>
          <w:i/>
          <w:lang w:val="fr-FR"/>
        </w:rPr>
        <w:t xml:space="preserve"> </w:t>
      </w:r>
      <w:r w:rsidR="0086532E" w:rsidRPr="00D10D17">
        <w:rPr>
          <w:b/>
          <w:i/>
          <w:lang w:val="fr-FR"/>
        </w:rPr>
        <w:t>cet office ou cette organisation doit disposer d</w:t>
      </w:r>
      <w:r w:rsidRPr="00D10D17">
        <w:rPr>
          <w:b/>
          <w:i/>
          <w:lang w:val="fr-FR"/>
        </w:rPr>
        <w:t>’</w:t>
      </w:r>
      <w:r w:rsidR="0086532E" w:rsidRPr="00D10D17">
        <w:rPr>
          <w:b/>
          <w:i/>
          <w:lang w:val="fr-FR"/>
        </w:rPr>
        <w:t>un système de gestion de la qualité et de dispositions internes en matière d</w:t>
      </w:r>
      <w:r w:rsidRPr="00D10D17">
        <w:rPr>
          <w:b/>
          <w:i/>
          <w:lang w:val="fr-FR"/>
        </w:rPr>
        <w:t>’</w:t>
      </w:r>
      <w:r w:rsidR="0086532E" w:rsidRPr="00D10D17">
        <w:rPr>
          <w:b/>
          <w:i/>
          <w:lang w:val="fr-FR"/>
        </w:rPr>
        <w:t>évaluation conformément aux règles communes de la recherche internationale.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86532E" w:rsidP="00DD6E7D">
      <w:pPr>
        <w:rPr>
          <w:szCs w:val="22"/>
          <w:lang w:val="fr-FR"/>
        </w:rPr>
      </w:pPr>
      <w:r w:rsidRPr="00D10D17">
        <w:rPr>
          <w:b/>
          <w:szCs w:val="22"/>
          <w:lang w:val="fr-FR"/>
        </w:rPr>
        <w:t>Système national de gestion de la qualité</w:t>
      </w:r>
      <w:r w:rsidR="00111787" w:rsidRPr="00D10D17">
        <w:rPr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6532E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 a obtenu en 2006 la première certification ISO</w:t>
      </w:r>
      <w:r w:rsidR="00781C47">
        <w:rPr>
          <w:lang w:val="fr-FR"/>
        </w:rPr>
        <w:t> </w:t>
      </w:r>
      <w:r w:rsidRPr="00D10D17">
        <w:rPr>
          <w:lang w:val="fr-FR"/>
        </w:rPr>
        <w:t>9001</w:t>
      </w:r>
      <w:r w:rsidR="00781C47">
        <w:rPr>
          <w:lang w:val="fr-FR"/>
        </w:rPr>
        <w:noBreakHyphen/>
      </w:r>
      <w:r w:rsidRPr="00D10D17">
        <w:rPr>
          <w:lang w:val="fr-FR"/>
        </w:rPr>
        <w:t>2000 pour ses procédures selon</w:t>
      </w:r>
      <w:r w:rsidR="00111787" w:rsidRPr="00D10D17">
        <w:rPr>
          <w:lang w:val="fr-FR"/>
        </w:rPr>
        <w:t xml:space="preserve"> le PCT</w:t>
      </w:r>
      <w:r w:rsidRPr="00D10D17">
        <w:rPr>
          <w:lang w:val="fr-FR"/>
        </w:rPr>
        <w:t xml:space="preserve"> (office récepteur, administration chargée de la recherche internationale et administration chargée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</w:t>
      </w:r>
      <w:r w:rsidR="00D10D17" w:rsidRPr="00D10D17">
        <w:rPr>
          <w:lang w:val="fr-FR"/>
        </w:rPr>
        <w:t>al).  En</w:t>
      </w:r>
      <w:r w:rsidR="00111787" w:rsidRPr="00D10D17">
        <w:rPr>
          <w:lang w:val="fr-FR"/>
        </w:rPr>
        <w:t> 2007</w:t>
      </w:r>
      <w:r w:rsidRPr="00D10D17">
        <w:rPr>
          <w:lang w:val="fr-FR"/>
        </w:rPr>
        <w:t>, la certification a été étendue à la procédure de demande nationale de brevet.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6532E" w:rsidP="00DD6E7D">
      <w:pPr>
        <w:rPr>
          <w:lang w:val="fr-FR"/>
        </w:rPr>
      </w:pPr>
      <w:r w:rsidRPr="00D10D17">
        <w:rPr>
          <w:lang w:val="fr-FR"/>
        </w:rPr>
        <w:t>La dernière certification a été effectuée par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organisme de certification à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automne 2016, selon la norme révisée ISO</w:t>
      </w:r>
      <w:r w:rsidR="00781C47">
        <w:rPr>
          <w:lang w:val="fr-FR"/>
        </w:rPr>
        <w:t> </w:t>
      </w:r>
      <w:r w:rsidRPr="00D10D17">
        <w:rPr>
          <w:lang w:val="fr-FR"/>
        </w:rPr>
        <w:t>9001</w:t>
      </w:r>
      <w:r w:rsidR="00781C47">
        <w:rPr>
          <w:lang w:val="fr-FR"/>
        </w:rPr>
        <w:noBreakHyphen/>
      </w:r>
      <w:r w:rsidRPr="00D10D17">
        <w:rPr>
          <w:lang w:val="fr-FR"/>
        </w:rPr>
        <w:t>2015.</w:t>
      </w:r>
      <w:r w:rsidR="001C7FE7" w:rsidRPr="00D10D17">
        <w:rPr>
          <w:lang w:val="fr-FR"/>
        </w:rPr>
        <w:t xml:space="preserve">  </w:t>
      </w:r>
      <w:r w:rsidRPr="00D10D17">
        <w:rPr>
          <w:lang w:val="fr-FR"/>
        </w:rPr>
        <w:t xml:space="preserve">La certification englobe à présent </w:t>
      </w:r>
      <w:r w:rsidR="00C10BE7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C10BE7" w:rsidRPr="00D10D17">
        <w:rPr>
          <w:lang w:val="fr-FR"/>
        </w:rPr>
        <w:t>instruction des demand</w:t>
      </w:r>
      <w:r w:rsidRPr="00D10D17">
        <w:rPr>
          <w:lang w:val="fr-FR"/>
        </w:rPr>
        <w:t>es</w:t>
      </w:r>
      <w:r w:rsidR="00C10BE7" w:rsidRPr="00D10D17">
        <w:rPr>
          <w:lang w:val="fr-FR"/>
        </w:rPr>
        <w:t xml:space="preserve"> de</w:t>
      </w:r>
      <w:r w:rsidRPr="00D10D17">
        <w:rPr>
          <w:lang w:val="fr-FR"/>
        </w:rPr>
        <w:t xml:space="preserve"> modèle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utilité, </w:t>
      </w:r>
      <w:r w:rsidR="00C10BE7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C10BE7" w:rsidRPr="00D10D17">
        <w:rPr>
          <w:lang w:val="fr-FR"/>
        </w:rPr>
        <w:t xml:space="preserve">instruction </w:t>
      </w:r>
      <w:r w:rsidRPr="00D10D17">
        <w:rPr>
          <w:lang w:val="fr-FR"/>
        </w:rPr>
        <w:t xml:space="preserve">des demandes nationales de brevet et </w:t>
      </w:r>
      <w:r w:rsidR="00C10BE7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C10BE7" w:rsidRPr="00D10D17">
        <w:rPr>
          <w:lang w:val="fr-FR"/>
        </w:rPr>
        <w:t xml:space="preserve">instruction </w:t>
      </w:r>
      <w:r w:rsidRPr="00D10D17">
        <w:rPr>
          <w:lang w:val="fr-FR"/>
        </w:rPr>
        <w:t>des demandes internationales selon le PCT.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AB1E2E" w:rsidP="00DD6E7D">
      <w:pPr>
        <w:rPr>
          <w:lang w:val="fr-FR"/>
        </w:rPr>
      </w:pPr>
      <w:r w:rsidRPr="00D10D17">
        <w:rPr>
          <w:lang w:val="fr-FR"/>
        </w:rPr>
        <w:t>L</w:t>
      </w:r>
      <w:r w:rsidR="002319E6" w:rsidRPr="00D10D17">
        <w:rPr>
          <w:lang w:val="fr-FR"/>
        </w:rPr>
        <w:t>e 30 novembre 2016,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enregistrement a présenté </w:t>
      </w:r>
      <w:r w:rsidR="00871706" w:rsidRPr="00D10D17">
        <w:rPr>
          <w:lang w:val="fr-FR"/>
        </w:rPr>
        <w:t xml:space="preserve">au Bureau international </w:t>
      </w:r>
      <w:r w:rsidR="00C10BE7" w:rsidRPr="00D10D17">
        <w:rPr>
          <w:lang w:val="fr-FR"/>
        </w:rPr>
        <w:t>le</w:t>
      </w:r>
      <w:r w:rsidRPr="00D10D17">
        <w:rPr>
          <w:lang w:val="fr-FR"/>
        </w:rPr>
        <w:t xml:space="preserve"> dernier rapport sur son système de gestion de la qualité</w:t>
      </w:r>
      <w:r w:rsidR="00871706" w:rsidRPr="00D10D17">
        <w:rPr>
          <w:lang w:val="fr-FR"/>
        </w:rPr>
        <w:t>,</w:t>
      </w:r>
      <w:r w:rsidRPr="00D10D17">
        <w:rPr>
          <w:lang w:val="fr-FR"/>
        </w:rPr>
        <w:t xml:space="preserve"> conformément au </w:t>
      </w:r>
      <w:r w:rsidR="00111787" w:rsidRPr="00D10D17">
        <w:rPr>
          <w:lang w:val="fr-FR"/>
        </w:rPr>
        <w:t>chapitre 2</w:t>
      </w:r>
      <w:r w:rsidRPr="00D10D17">
        <w:rPr>
          <w:lang w:val="fr-FR"/>
        </w:rPr>
        <w:t>1 des directives concernant la recherche internationale et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</w:t>
      </w:r>
      <w:r w:rsidR="00C10BE7" w:rsidRPr="00D10D17">
        <w:rPr>
          <w:lang w:val="fr-FR"/>
        </w:rPr>
        <w:t>aire international selon</w:t>
      </w:r>
      <w:r w:rsidR="00111787" w:rsidRPr="00D10D17">
        <w:rPr>
          <w:lang w:val="fr-FR"/>
        </w:rPr>
        <w:t xml:space="preserve"> le </w:t>
      </w:r>
      <w:r w:rsidR="00D10D17" w:rsidRPr="00D10D17">
        <w:rPr>
          <w:lang w:val="fr-FR"/>
        </w:rPr>
        <w:t>PCT.  Ce</w:t>
      </w:r>
      <w:r w:rsidRPr="00D10D17">
        <w:rPr>
          <w:lang w:val="fr-FR"/>
        </w:rPr>
        <w:t xml:space="preserve"> rapport</w:t>
      </w:r>
      <w:r w:rsidR="002319E6" w:rsidRPr="00D10D17">
        <w:rPr>
          <w:lang w:val="fr-FR"/>
        </w:rPr>
        <w:t xml:space="preserve"> e</w:t>
      </w:r>
      <w:r w:rsidRPr="00D10D17">
        <w:rPr>
          <w:lang w:val="fr-FR"/>
        </w:rPr>
        <w:t>s</w:t>
      </w:r>
      <w:r w:rsidR="002319E6" w:rsidRPr="00D10D17">
        <w:rPr>
          <w:lang w:val="fr-FR"/>
        </w:rPr>
        <w:t>t</w:t>
      </w:r>
      <w:r w:rsidRPr="00D10D17">
        <w:rPr>
          <w:lang w:val="fr-FR"/>
        </w:rPr>
        <w:t xml:space="preserve"> disponible sur le site</w:t>
      </w:r>
      <w:r w:rsidR="00DD60F6" w:rsidRPr="00D10D17">
        <w:rPr>
          <w:lang w:val="fr-FR"/>
        </w:rPr>
        <w:t> </w:t>
      </w:r>
      <w:r w:rsidRPr="00D10D17">
        <w:rPr>
          <w:lang w:val="fr-FR"/>
        </w:rPr>
        <w:t>Web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OMPI à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adresse http://www.wipo.int/pct/fr/quality/authorities.html.</w:t>
      </w:r>
    </w:p>
    <w:p w:rsidR="00974C5A" w:rsidRPr="00D10D17" w:rsidRDefault="004177F9" w:rsidP="00DD6E7D">
      <w:pPr>
        <w:pStyle w:val="SectionHeading"/>
        <w:rPr>
          <w:lang w:val="fr-FR"/>
        </w:rPr>
      </w:pPr>
      <w:r w:rsidRPr="00D10D17">
        <w:rPr>
          <w:lang w:val="fr-FR"/>
        </w:rPr>
        <w:t xml:space="preserve">3 – </w:t>
      </w:r>
      <w:r>
        <w:rPr>
          <w:lang w:val="fr-FR"/>
        </w:rPr>
        <w:t>C</w:t>
      </w:r>
      <w:r w:rsidRPr="00D10D17">
        <w:rPr>
          <w:lang w:val="fr-FR"/>
        </w:rPr>
        <w:t>hamp d’application visé</w:t>
      </w:r>
    </w:p>
    <w:p w:rsidR="00974C5A" w:rsidRPr="00D10D17" w:rsidRDefault="000D4AF4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Langues dans lesquelles le</w:t>
      </w:r>
      <w:r w:rsidR="00AE78B1" w:rsidRPr="00D10D17">
        <w:rPr>
          <w:b/>
          <w:bCs/>
          <w:szCs w:val="22"/>
          <w:lang w:val="fr-FR"/>
        </w:rPr>
        <w:t>s</w:t>
      </w:r>
      <w:r w:rsidRPr="00D10D17">
        <w:rPr>
          <w:b/>
          <w:bCs/>
          <w:szCs w:val="22"/>
          <w:lang w:val="fr-FR"/>
        </w:rPr>
        <w:t xml:space="preserve"> service</w:t>
      </w:r>
      <w:r w:rsidR="00AE78B1" w:rsidRPr="00D10D17">
        <w:rPr>
          <w:b/>
          <w:bCs/>
          <w:szCs w:val="22"/>
          <w:lang w:val="fr-FR"/>
        </w:rPr>
        <w:t>s</w:t>
      </w:r>
      <w:r w:rsidRPr="00D10D17">
        <w:rPr>
          <w:b/>
          <w:bCs/>
          <w:szCs w:val="22"/>
          <w:lang w:val="fr-FR"/>
        </w:rPr>
        <w:t xml:space="preserve"> serai</w:t>
      </w:r>
      <w:r w:rsidR="00AE78B1" w:rsidRPr="00D10D17">
        <w:rPr>
          <w:b/>
          <w:bCs/>
          <w:szCs w:val="22"/>
          <w:lang w:val="fr-FR"/>
        </w:rPr>
        <w:t>en</w:t>
      </w:r>
      <w:r w:rsidRPr="00D10D17">
        <w:rPr>
          <w:b/>
          <w:bCs/>
          <w:szCs w:val="22"/>
          <w:lang w:val="fr-FR"/>
        </w:rPr>
        <w:t>t proposé</w:t>
      </w:r>
      <w:r w:rsidR="00AE78B1" w:rsidRPr="00D10D17">
        <w:rPr>
          <w:b/>
          <w:bCs/>
          <w:szCs w:val="22"/>
          <w:lang w:val="fr-FR"/>
        </w:rPr>
        <w:t>s</w:t>
      </w:r>
      <w:r w:rsidR="00111787" w:rsidRPr="00D10D17">
        <w:rPr>
          <w:b/>
          <w:bCs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0D4AF4" w:rsidP="00DD6E7D">
      <w:pPr>
        <w:rPr>
          <w:lang w:val="fr-FR"/>
        </w:rPr>
      </w:pPr>
      <w:r w:rsidRPr="00D10D17">
        <w:rPr>
          <w:lang w:val="fr-FR"/>
        </w:rPr>
        <w:t>Anglais</w:t>
      </w:r>
      <w:r w:rsidR="005540D9" w:rsidRPr="00D10D17">
        <w:rPr>
          <w:lang w:val="fr-FR"/>
        </w:rPr>
        <w:t xml:space="preserve">, </w:t>
      </w:r>
      <w:r w:rsidRPr="00D10D17">
        <w:rPr>
          <w:lang w:val="fr-FR"/>
        </w:rPr>
        <w:t>fin</w:t>
      </w:r>
      <w:r w:rsidR="00871706" w:rsidRPr="00D10D17">
        <w:rPr>
          <w:lang w:val="fr-FR"/>
        </w:rPr>
        <w:t>noi</w:t>
      </w:r>
      <w:r w:rsidRPr="00D10D17">
        <w:rPr>
          <w:lang w:val="fr-FR"/>
        </w:rPr>
        <w:t>s et suédois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AE78B1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É</w:t>
      </w:r>
      <w:r w:rsidR="00260BE5" w:rsidRPr="00D10D17">
        <w:rPr>
          <w:b/>
          <w:bCs/>
          <w:szCs w:val="22"/>
          <w:lang w:val="fr-FR"/>
        </w:rPr>
        <w:t>tat</w:t>
      </w:r>
      <w:r w:rsidR="000D4AF4" w:rsidRPr="00D10D17">
        <w:rPr>
          <w:b/>
          <w:bCs/>
          <w:szCs w:val="22"/>
          <w:lang w:val="fr-FR"/>
        </w:rPr>
        <w:t>s ou o</w:t>
      </w:r>
      <w:r w:rsidR="00260BE5" w:rsidRPr="00D10D17">
        <w:rPr>
          <w:b/>
          <w:bCs/>
          <w:szCs w:val="22"/>
          <w:lang w:val="fr-FR"/>
        </w:rPr>
        <w:t>ffices</w:t>
      </w:r>
      <w:r w:rsidR="000D4AF4" w:rsidRPr="00D10D17">
        <w:rPr>
          <w:b/>
          <w:bCs/>
          <w:szCs w:val="22"/>
          <w:lang w:val="fr-FR"/>
        </w:rPr>
        <w:t xml:space="preserve"> récepteur</w:t>
      </w:r>
      <w:r w:rsidR="00260BE5" w:rsidRPr="00D10D17">
        <w:rPr>
          <w:b/>
          <w:bCs/>
          <w:szCs w:val="22"/>
          <w:lang w:val="fr-FR"/>
        </w:rPr>
        <w:t>s</w:t>
      </w:r>
      <w:r w:rsidR="000D4AF4" w:rsidRPr="00D10D17">
        <w:rPr>
          <w:b/>
          <w:bCs/>
          <w:szCs w:val="22"/>
          <w:lang w:val="fr-FR"/>
        </w:rPr>
        <w:t xml:space="preserve"> pour lesquels l</w:t>
      </w:r>
      <w:r w:rsidR="00111787" w:rsidRPr="00D10D17">
        <w:rPr>
          <w:b/>
          <w:bCs/>
          <w:szCs w:val="22"/>
          <w:lang w:val="fr-FR"/>
        </w:rPr>
        <w:t>’</w:t>
      </w:r>
      <w:r w:rsidR="000D4AF4" w:rsidRPr="00D10D17">
        <w:rPr>
          <w:b/>
          <w:bCs/>
          <w:szCs w:val="22"/>
          <w:lang w:val="fr-FR"/>
        </w:rPr>
        <w:t>administration</w:t>
      </w:r>
      <w:r w:rsidR="007417B9" w:rsidRPr="00D10D17">
        <w:rPr>
          <w:b/>
          <w:bCs/>
          <w:szCs w:val="22"/>
          <w:lang w:val="fr-FR"/>
        </w:rPr>
        <w:t xml:space="preserve"> serait compétente</w:t>
      </w:r>
      <w:r w:rsidR="00111787" w:rsidRPr="00D10D17">
        <w:rPr>
          <w:b/>
          <w:bCs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0D4AF4" w:rsidP="00DD6E7D">
      <w:pPr>
        <w:rPr>
          <w:lang w:val="fr-FR"/>
        </w:rPr>
      </w:pPr>
      <w:r w:rsidRPr="00D10D17">
        <w:rPr>
          <w:lang w:val="fr-FR"/>
        </w:rPr>
        <w:t>Tout État contractant conformément aux obligations assumées par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dans le cadre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Organisation européenne des brevets.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5540D9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 xml:space="preserve">Limitations </w:t>
      </w:r>
      <w:r w:rsidR="00260BE5" w:rsidRPr="00D10D17">
        <w:rPr>
          <w:b/>
          <w:bCs/>
          <w:szCs w:val="22"/>
          <w:lang w:val="fr-FR"/>
        </w:rPr>
        <w:t>du champ d</w:t>
      </w:r>
      <w:r w:rsidR="00111787" w:rsidRPr="00D10D17">
        <w:rPr>
          <w:b/>
          <w:bCs/>
          <w:szCs w:val="22"/>
          <w:lang w:val="fr-FR"/>
        </w:rPr>
        <w:t>’</w:t>
      </w:r>
      <w:r w:rsidR="00260BE5" w:rsidRPr="00D10D17">
        <w:rPr>
          <w:b/>
          <w:bCs/>
          <w:szCs w:val="22"/>
          <w:lang w:val="fr-FR"/>
        </w:rPr>
        <w:t>applica</w:t>
      </w:r>
      <w:r w:rsidRPr="00D10D17">
        <w:rPr>
          <w:b/>
          <w:bCs/>
          <w:szCs w:val="22"/>
          <w:lang w:val="fr-FR"/>
        </w:rPr>
        <w:t>tion</w:t>
      </w:r>
      <w:r w:rsidR="00DD60F6" w:rsidRPr="00D10D17">
        <w:rPr>
          <w:b/>
          <w:bCs/>
          <w:szCs w:val="22"/>
          <w:lang w:val="fr-FR"/>
        </w:rPr>
        <w:t> </w:t>
      </w:r>
      <w:r w:rsidRPr="00D10D17">
        <w:rPr>
          <w:b/>
          <w:bCs/>
          <w:szCs w:val="22"/>
          <w:lang w:val="fr-FR"/>
        </w:rPr>
        <w:t>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CF0718" w:rsidP="00DD6E7D">
      <w:pPr>
        <w:rPr>
          <w:lang w:val="fr-FR"/>
        </w:rPr>
      </w:pPr>
      <w:r>
        <w:rPr>
          <w:lang w:val="fr-FR"/>
        </w:rPr>
        <w:t>Néant</w:t>
      </w:r>
      <w:r w:rsidR="008F2DB8" w:rsidRPr="00D10D17">
        <w:rPr>
          <w:lang w:val="fr-FR"/>
        </w:rPr>
        <w:t>.</w:t>
      </w:r>
    </w:p>
    <w:p w:rsidR="00974C5A" w:rsidRPr="00D10D17" w:rsidRDefault="004177F9" w:rsidP="00DD6E7D">
      <w:pPr>
        <w:pStyle w:val="SectionHeading"/>
        <w:rPr>
          <w:lang w:val="fr-FR"/>
        </w:rPr>
      </w:pPr>
      <w:r w:rsidRPr="00D10D17">
        <w:rPr>
          <w:lang w:val="fr-FR"/>
        </w:rPr>
        <w:t xml:space="preserve">4 – </w:t>
      </w:r>
      <w:r>
        <w:rPr>
          <w:lang w:val="fr-FR"/>
        </w:rPr>
        <w:t>É</w:t>
      </w:r>
      <w:r w:rsidRPr="00D10D17">
        <w:rPr>
          <w:lang w:val="fr-FR"/>
        </w:rPr>
        <w:t>nonc</w:t>
      </w:r>
      <w:r w:rsidRPr="00D10D17">
        <w:rPr>
          <w:rFonts w:cs="Arial Bold"/>
          <w:lang w:val="fr-FR"/>
        </w:rPr>
        <w:t>é</w:t>
      </w:r>
      <w:r w:rsidRPr="00D10D17">
        <w:rPr>
          <w:lang w:val="fr-FR"/>
        </w:rPr>
        <w:t xml:space="preserve"> des motivations</w:t>
      </w:r>
    </w:p>
    <w:p w:rsidR="00974C5A" w:rsidRPr="00D10D17" w:rsidRDefault="00711707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 agit depuis longtemps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</w:t>
      </w:r>
      <w:r w:rsidR="005540D9" w:rsidRPr="00D10D17">
        <w:rPr>
          <w:lang w:val="fr-FR"/>
        </w:rPr>
        <w:t xml:space="preserve"> </w:t>
      </w:r>
      <w:r w:rsidRPr="00D10D17">
        <w:rPr>
          <w:lang w:val="fr-FR"/>
        </w:rPr>
        <w:t>des breve</w:t>
      </w:r>
      <w:r w:rsidR="00D10D17" w:rsidRPr="00D10D17">
        <w:rPr>
          <w:lang w:val="fr-FR"/>
        </w:rPr>
        <w:t>ts.  Le</w:t>
      </w:r>
      <w:r w:rsidRPr="00D10D17">
        <w:rPr>
          <w:lang w:val="fr-FR"/>
        </w:rPr>
        <w:t xml:space="preserve"> premier brevet finlandais a été délivré en</w:t>
      </w:r>
      <w:r w:rsidR="00111787" w:rsidRPr="00D10D17">
        <w:rPr>
          <w:lang w:val="fr-FR"/>
        </w:rPr>
        <w:t> 1842</w:t>
      </w:r>
      <w:r w:rsidR="005540D9" w:rsidRPr="00D10D17">
        <w:rPr>
          <w:lang w:val="fr-FR"/>
        </w:rPr>
        <w:t xml:space="preserve">, </w:t>
      </w:r>
      <w:r w:rsidRPr="00D10D17">
        <w:rPr>
          <w:lang w:val="fr-FR"/>
        </w:rPr>
        <w:t>il y a </w:t>
      </w:r>
      <w:r w:rsidR="005540D9" w:rsidRPr="00D10D17">
        <w:rPr>
          <w:lang w:val="fr-FR"/>
        </w:rPr>
        <w:t>175</w:t>
      </w:r>
      <w:r w:rsidR="00781C47">
        <w:rPr>
          <w:lang w:val="fr-FR"/>
        </w:rPr>
        <w:t> </w:t>
      </w:r>
      <w:r w:rsidRPr="00D10D17">
        <w:rPr>
          <w:lang w:val="fr-FR"/>
        </w:rPr>
        <w:t>a</w:t>
      </w:r>
      <w:r w:rsidR="00D10D17" w:rsidRPr="00D10D17">
        <w:rPr>
          <w:lang w:val="fr-FR"/>
        </w:rPr>
        <w:t>ns.  L’o</w:t>
      </w:r>
      <w:r w:rsidR="00662274" w:rsidRPr="00D10D17">
        <w:rPr>
          <w:lang w:val="fr-FR"/>
        </w:rPr>
        <w:t>ffice central</w:t>
      </w:r>
      <w:r w:rsidR="005540D9" w:rsidRPr="00D10D17">
        <w:rPr>
          <w:lang w:val="fr-FR"/>
        </w:rPr>
        <w:t xml:space="preserve"> ind</w:t>
      </w:r>
      <w:r w:rsidR="00662274" w:rsidRPr="00D10D17">
        <w:rPr>
          <w:lang w:val="fr-FR"/>
        </w:rPr>
        <w:t>é</w:t>
      </w:r>
      <w:r w:rsidR="005540D9" w:rsidRPr="00D10D17">
        <w:rPr>
          <w:lang w:val="fr-FR"/>
        </w:rPr>
        <w:t>pend</w:t>
      </w:r>
      <w:r w:rsidR="00662274" w:rsidRPr="00D10D17">
        <w:rPr>
          <w:lang w:val="fr-FR"/>
        </w:rPr>
        <w:t>a</w:t>
      </w:r>
      <w:r w:rsidR="005540D9" w:rsidRPr="00D10D17">
        <w:rPr>
          <w:lang w:val="fr-FR"/>
        </w:rPr>
        <w:t>nt</w:t>
      </w:r>
      <w:r w:rsidR="00662274" w:rsidRPr="00D10D17">
        <w:rPr>
          <w:lang w:val="fr-FR"/>
        </w:rPr>
        <w:t xml:space="preserve"> </w:t>
      </w:r>
      <w:r w:rsidR="001C7FE7" w:rsidRPr="00D10D17">
        <w:rPr>
          <w:lang w:val="fr-FR"/>
        </w:rPr>
        <w:t>–</w:t>
      </w:r>
      <w:r w:rsidR="005540D9" w:rsidRPr="00D10D17">
        <w:rPr>
          <w:lang w:val="fr-FR"/>
        </w:rPr>
        <w:t xml:space="preserve"> </w:t>
      </w:r>
      <w:r w:rsidR="00662274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662274"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="00662274" w:rsidRPr="00D10D17">
        <w:rPr>
          <w:lang w:val="fr-FR"/>
        </w:rPr>
        <w:t xml:space="preserve">enregistrement </w:t>
      </w:r>
      <w:r w:rsidR="001C7FE7" w:rsidRPr="00D10D17">
        <w:rPr>
          <w:lang w:val="fr-FR"/>
        </w:rPr>
        <w:t>–</w:t>
      </w:r>
      <w:r w:rsidR="005540D9" w:rsidRPr="00D10D17">
        <w:rPr>
          <w:lang w:val="fr-FR"/>
        </w:rPr>
        <w:t xml:space="preserve"> </w:t>
      </w:r>
      <w:r w:rsidR="00662274" w:rsidRPr="00D10D17">
        <w:rPr>
          <w:lang w:val="fr-FR"/>
        </w:rPr>
        <w:t>a vu le jour en </w:t>
      </w:r>
      <w:r w:rsidR="005540D9" w:rsidRPr="00D10D17">
        <w:rPr>
          <w:lang w:val="fr-FR"/>
        </w:rPr>
        <w:t xml:space="preserve">1942, </w:t>
      </w:r>
      <w:r w:rsidR="00662274" w:rsidRPr="00D10D17">
        <w:rPr>
          <w:lang w:val="fr-FR"/>
        </w:rPr>
        <w:t>il y a 75</w:t>
      </w:r>
      <w:r w:rsidR="00781C47">
        <w:rPr>
          <w:lang w:val="fr-FR"/>
        </w:rPr>
        <w:t> </w:t>
      </w:r>
      <w:r w:rsidR="00662274" w:rsidRPr="00D10D17">
        <w:rPr>
          <w:lang w:val="fr-FR"/>
        </w:rPr>
        <w:t>ans</w:t>
      </w:r>
      <w:r w:rsidR="005540D9" w:rsidRPr="00D10D17">
        <w:rPr>
          <w:lang w:val="fr-FR"/>
        </w:rPr>
        <w:t>.</w:t>
      </w:r>
    </w:p>
    <w:p w:rsidR="00974C5A" w:rsidRPr="00D10D17" w:rsidRDefault="00974C5A" w:rsidP="00DD6E7D">
      <w:pPr>
        <w:tabs>
          <w:tab w:val="left" w:pos="3900"/>
        </w:tabs>
        <w:rPr>
          <w:lang w:val="fr-FR"/>
        </w:rPr>
      </w:pPr>
    </w:p>
    <w:p w:rsidR="00111787" w:rsidRPr="00D10D17" w:rsidRDefault="00662274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 agit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international selon</w:t>
      </w:r>
      <w:r w:rsidR="00111787" w:rsidRPr="00D10D17">
        <w:rPr>
          <w:lang w:val="fr-FR"/>
        </w:rPr>
        <w:t xml:space="preserve"> le PCT</w:t>
      </w:r>
      <w:r w:rsidRPr="00D10D17">
        <w:rPr>
          <w:lang w:val="fr-FR"/>
        </w:rPr>
        <w:t xml:space="preserve"> depuis </w:t>
      </w:r>
      <w:r w:rsidR="005540D9" w:rsidRPr="00D10D17">
        <w:rPr>
          <w:lang w:val="fr-FR"/>
        </w:rPr>
        <w:t>2005</w:t>
      </w:r>
      <w:r w:rsidR="001C7FE7" w:rsidRPr="00D10D17">
        <w:rPr>
          <w:lang w:val="fr-FR"/>
        </w:rPr>
        <w:t xml:space="preserve">.  </w:t>
      </w: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5540D9" w:rsidRPr="00D10D17">
        <w:rPr>
          <w:lang w:val="fr-FR"/>
        </w:rPr>
        <w:t>office</w:t>
      </w:r>
      <w:r w:rsidRPr="00D10D17">
        <w:rPr>
          <w:lang w:val="fr-FR"/>
        </w:rPr>
        <w:t xml:space="preserve"> </w:t>
      </w:r>
      <w:r w:rsidR="00871706" w:rsidRPr="00D10D17">
        <w:rPr>
          <w:lang w:val="fr-FR"/>
        </w:rPr>
        <w:t>souhaite ardemment continuer de s</w:t>
      </w:r>
      <w:r w:rsidR="00111787" w:rsidRPr="00D10D17">
        <w:rPr>
          <w:lang w:val="fr-FR"/>
        </w:rPr>
        <w:t>’</w:t>
      </w:r>
      <w:r w:rsidR="00871706" w:rsidRPr="00D10D17">
        <w:rPr>
          <w:lang w:val="fr-FR"/>
        </w:rPr>
        <w:t>acquitter de</w:t>
      </w:r>
      <w:r w:rsidRPr="00D10D17">
        <w:rPr>
          <w:lang w:val="fr-FR"/>
        </w:rPr>
        <w:t xml:space="preserve"> cette tâc</w:t>
      </w:r>
      <w:r w:rsidR="00D10D17" w:rsidRPr="00D10D17">
        <w:rPr>
          <w:lang w:val="fr-FR"/>
        </w:rPr>
        <w:t>he.  L’u</w:t>
      </w:r>
      <w:r w:rsidR="0002015E" w:rsidRPr="00D10D17">
        <w:rPr>
          <w:lang w:val="fr-FR"/>
        </w:rPr>
        <w:t>ne des priorit</w:t>
      </w:r>
      <w:r w:rsidRPr="00D10D17">
        <w:rPr>
          <w:lang w:val="fr-FR"/>
        </w:rPr>
        <w:t>és de notre gou</w:t>
      </w:r>
      <w:r w:rsidR="005540D9" w:rsidRPr="00D10D17">
        <w:rPr>
          <w:lang w:val="fr-FR"/>
        </w:rPr>
        <w:t>vern</w:t>
      </w:r>
      <w:r w:rsidRPr="00D10D17">
        <w:rPr>
          <w:lang w:val="fr-FR"/>
        </w:rPr>
        <w:t>e</w:t>
      </w:r>
      <w:r w:rsidR="005540D9" w:rsidRPr="00D10D17">
        <w:rPr>
          <w:lang w:val="fr-FR"/>
        </w:rPr>
        <w:t xml:space="preserve">ment </w:t>
      </w:r>
      <w:r w:rsidRPr="00D10D17">
        <w:rPr>
          <w:lang w:val="fr-FR"/>
        </w:rPr>
        <w:t>est de faire en sorte que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continue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agir en</w:t>
      </w:r>
      <w:r w:rsidR="005540D9" w:rsidRPr="00D10D17">
        <w:rPr>
          <w:lang w:val="fr-FR"/>
        </w:rPr>
        <w:t xml:space="preserve"> </w:t>
      </w:r>
      <w:r w:rsidRPr="00D10D17">
        <w:rPr>
          <w:lang w:val="fr-FR"/>
        </w:rPr>
        <w:t>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international</w:t>
      </w:r>
      <w:r w:rsidR="005540D9" w:rsidRPr="00D10D17">
        <w:rPr>
          <w:lang w:val="fr-FR"/>
        </w:rPr>
        <w:t>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D074C5" w:rsidP="00DD6E7D">
      <w:pPr>
        <w:rPr>
          <w:lang w:val="fr-FR"/>
        </w:rPr>
      </w:pPr>
      <w:r w:rsidRPr="00D10D17">
        <w:rPr>
          <w:lang w:val="fr-FR"/>
        </w:rPr>
        <w:t xml:space="preserve">La Finlande est connue pour </w:t>
      </w:r>
      <w:r w:rsidR="00871706" w:rsidRPr="00D10D17">
        <w:rPr>
          <w:lang w:val="fr-FR"/>
        </w:rPr>
        <w:t>son secteur de la</w:t>
      </w:r>
      <w:r w:rsidRPr="00D10D17">
        <w:rPr>
          <w:lang w:val="fr-FR"/>
        </w:rPr>
        <w:t xml:space="preserve"> haute technologie et nous souhaitons garantir à nos clients, notamment des inventeurs, des petites et moyennes entr</w:t>
      </w:r>
      <w:r w:rsidR="0002015E" w:rsidRPr="00D10D17">
        <w:rPr>
          <w:lang w:val="fr-FR"/>
        </w:rPr>
        <w:t>e</w:t>
      </w:r>
      <w:r w:rsidRPr="00D10D17">
        <w:rPr>
          <w:lang w:val="fr-FR"/>
        </w:rPr>
        <w:t>p</w:t>
      </w:r>
      <w:r w:rsidR="0002015E" w:rsidRPr="00D10D17">
        <w:rPr>
          <w:lang w:val="fr-FR"/>
        </w:rPr>
        <w:t>ri</w:t>
      </w:r>
      <w:r w:rsidRPr="00D10D17">
        <w:rPr>
          <w:lang w:val="fr-FR"/>
        </w:rPr>
        <w:t xml:space="preserve">ses et </w:t>
      </w:r>
      <w:r w:rsidR="00871706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871706" w:rsidRPr="00D10D17">
        <w:rPr>
          <w:lang w:val="fr-FR"/>
        </w:rPr>
        <w:t>ensemble du secteur</w:t>
      </w:r>
      <w:r w:rsidRPr="00D10D17">
        <w:rPr>
          <w:lang w:val="fr-FR"/>
        </w:rPr>
        <w:t>, un service de qualité s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ap</w:t>
      </w:r>
      <w:r w:rsidR="0002015E" w:rsidRPr="00D10D17">
        <w:rPr>
          <w:lang w:val="fr-FR"/>
        </w:rPr>
        <w:t>p</w:t>
      </w:r>
      <w:r w:rsidRPr="00D10D17">
        <w:rPr>
          <w:lang w:val="fr-FR"/>
        </w:rPr>
        <w:t xml:space="preserve">uyant sur des coordonnateurs locaux et </w:t>
      </w:r>
      <w:r w:rsidR="00871706" w:rsidRPr="00D10D17">
        <w:rPr>
          <w:lang w:val="fr-FR"/>
        </w:rPr>
        <w:t xml:space="preserve">fourni </w:t>
      </w:r>
      <w:r w:rsidRPr="00D10D17">
        <w:rPr>
          <w:lang w:val="fr-FR"/>
        </w:rPr>
        <w:t>dans les langues locales.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D074C5" w:rsidP="00DD6E7D">
      <w:pPr>
        <w:rPr>
          <w:lang w:val="fr-FR"/>
        </w:rPr>
      </w:pPr>
      <w:r w:rsidRPr="00D10D17">
        <w:rPr>
          <w:lang w:val="fr-FR"/>
        </w:rPr>
        <w:t xml:space="preserve">Au fil des années, la Finlande </w:t>
      </w:r>
      <w:r w:rsidR="00871706" w:rsidRPr="00D10D17">
        <w:rPr>
          <w:lang w:val="fr-FR"/>
        </w:rPr>
        <w:t>s</w:t>
      </w:r>
      <w:r w:rsidR="00111787" w:rsidRPr="00D10D17">
        <w:rPr>
          <w:lang w:val="fr-FR"/>
        </w:rPr>
        <w:t>’</w:t>
      </w:r>
      <w:r w:rsidR="00871706" w:rsidRPr="00D10D17">
        <w:rPr>
          <w:lang w:val="fr-FR"/>
        </w:rPr>
        <w:t>est hissée à</w:t>
      </w:r>
      <w:r w:rsidRPr="00D10D17">
        <w:rPr>
          <w:lang w:val="fr-FR"/>
        </w:rPr>
        <w:t xml:space="preserve"> une bonne place dans les </w:t>
      </w:r>
      <w:r w:rsidR="0002015E" w:rsidRPr="00D10D17">
        <w:rPr>
          <w:lang w:val="fr-FR"/>
        </w:rPr>
        <w:t xml:space="preserve">statistiques </w:t>
      </w:r>
      <w:r w:rsidR="00871706" w:rsidRPr="00D10D17">
        <w:rPr>
          <w:lang w:val="fr-FR"/>
        </w:rPr>
        <w:t>relatives au</w:t>
      </w:r>
      <w:r w:rsidRPr="00D10D17">
        <w:rPr>
          <w:lang w:val="fr-FR"/>
        </w:rPr>
        <w:t xml:space="preserve"> nombre de demandes de brevet déposées chaque année par </w:t>
      </w:r>
      <w:r w:rsidR="00C10BE7" w:rsidRPr="00D10D17">
        <w:rPr>
          <w:lang w:val="fr-FR"/>
        </w:rPr>
        <w:t>r</w:t>
      </w:r>
      <w:r w:rsidRPr="00D10D17">
        <w:rPr>
          <w:lang w:val="fr-FR"/>
        </w:rPr>
        <w:t>apport à sa populati</w:t>
      </w:r>
      <w:r w:rsidR="00D10D17" w:rsidRPr="00D10D17">
        <w:rPr>
          <w:lang w:val="fr-FR"/>
        </w:rPr>
        <w:t>on.  Da</w:t>
      </w:r>
      <w:r w:rsidR="0002015E" w:rsidRPr="00D10D17">
        <w:rPr>
          <w:lang w:val="fr-FR"/>
        </w:rPr>
        <w:t>ns l</w:t>
      </w:r>
      <w:r w:rsidR="00111787" w:rsidRPr="00D10D17">
        <w:rPr>
          <w:lang w:val="fr-FR"/>
        </w:rPr>
        <w:t>’</w:t>
      </w:r>
      <w:r w:rsidR="0002015E" w:rsidRPr="00D10D17">
        <w:rPr>
          <w:lang w:val="fr-FR"/>
        </w:rPr>
        <w:t>Indice mondial de l</w:t>
      </w:r>
      <w:r w:rsidR="00111787" w:rsidRPr="00D10D17">
        <w:rPr>
          <w:lang w:val="fr-FR"/>
        </w:rPr>
        <w:t>’</w:t>
      </w:r>
      <w:r w:rsidR="0002015E" w:rsidRPr="00D10D17">
        <w:rPr>
          <w:lang w:val="fr-FR"/>
        </w:rPr>
        <w:t>innovation</w:t>
      </w:r>
      <w:r w:rsidR="00781C47">
        <w:rPr>
          <w:lang w:val="fr-FR"/>
        </w:rPr>
        <w:t> </w:t>
      </w:r>
      <w:r w:rsidR="0002015E" w:rsidRPr="00D10D17">
        <w:rPr>
          <w:lang w:val="fr-FR"/>
        </w:rPr>
        <w:t>2016, la Finlande est arrivée cinquième dans le classement des pays les plus innovants.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8A123A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industrie finlandaise, et nos clients dans leur ensemble, </w:t>
      </w:r>
      <w:r w:rsidR="00871706" w:rsidRPr="00D10D17">
        <w:rPr>
          <w:lang w:val="fr-FR"/>
        </w:rPr>
        <w:t>so</w:t>
      </w:r>
      <w:r w:rsidRPr="00D10D17">
        <w:rPr>
          <w:lang w:val="fr-FR"/>
        </w:rPr>
        <w:t>nt satisfaits de la qualité des examens que nous effectuons et souhaiteraient que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 poursuive ses travaux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examen préliminaire international selon</w:t>
      </w:r>
      <w:r w:rsidR="00111787" w:rsidRPr="00D10D17">
        <w:rPr>
          <w:lang w:val="fr-FR"/>
        </w:rPr>
        <w:t xml:space="preserve"> le </w:t>
      </w:r>
      <w:r w:rsidR="00D10D17" w:rsidRPr="00D10D17">
        <w:rPr>
          <w:lang w:val="fr-FR"/>
        </w:rPr>
        <w:t>PCT.  Se</w:t>
      </w:r>
      <w:r w:rsidRPr="00D10D17">
        <w:rPr>
          <w:lang w:val="fr-FR"/>
        </w:rPr>
        <w:t xml:space="preserve">lon </w:t>
      </w:r>
      <w:r w:rsidR="00871706" w:rsidRPr="00D10D17">
        <w:rPr>
          <w:lang w:val="fr-FR"/>
        </w:rPr>
        <w:t>l</w:t>
      </w:r>
      <w:r w:rsidRPr="00D10D17">
        <w:rPr>
          <w:lang w:val="fr-FR"/>
        </w:rPr>
        <w:t>es récentes</w:t>
      </w:r>
      <w:r w:rsidR="00871706" w:rsidRPr="00D10D17">
        <w:rPr>
          <w:lang w:val="fr-FR"/>
        </w:rPr>
        <w:t xml:space="preserve"> statistiques</w:t>
      </w:r>
      <w:r w:rsidRPr="00D10D17">
        <w:rPr>
          <w:lang w:val="fr-FR"/>
        </w:rPr>
        <w:t>, dans plus de la moitié des demandes selon</w:t>
      </w:r>
      <w:r w:rsidR="00111787" w:rsidRPr="00D10D17">
        <w:rPr>
          <w:lang w:val="fr-FR"/>
        </w:rPr>
        <w:t xml:space="preserve"> le PCT</w:t>
      </w:r>
      <w:r w:rsidRPr="00D10D17">
        <w:rPr>
          <w:lang w:val="fr-FR"/>
        </w:rPr>
        <w:t xml:space="preserve"> déposées auprès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enregistrement, le déposant choisit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</w:t>
      </w:r>
      <w:r w:rsidR="00272C48" w:rsidRPr="00D10D17">
        <w:rPr>
          <w:lang w:val="fr-FR"/>
        </w:rPr>
        <w:t>evets et de l</w:t>
      </w:r>
      <w:r w:rsidR="00111787" w:rsidRPr="00D10D17">
        <w:rPr>
          <w:lang w:val="fr-FR"/>
        </w:rPr>
        <w:t>’</w:t>
      </w:r>
      <w:r w:rsidR="00272C48" w:rsidRPr="00D10D17">
        <w:rPr>
          <w:lang w:val="fr-FR"/>
        </w:rPr>
        <w:t>enregistrement, p</w:t>
      </w:r>
      <w:r w:rsidRPr="00D10D17">
        <w:rPr>
          <w:lang w:val="fr-FR"/>
        </w:rPr>
        <w:t>armi les trois p</w:t>
      </w:r>
      <w:r w:rsidR="00272C48" w:rsidRPr="00D10D17">
        <w:rPr>
          <w:lang w:val="fr-FR"/>
        </w:rPr>
        <w:t>ossibilités qui lui sont offert</w:t>
      </w:r>
      <w:r w:rsidRPr="00D10D17">
        <w:rPr>
          <w:lang w:val="fr-FR"/>
        </w:rPr>
        <w:t>es, pour agir en qualité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chargée de la recherche internationale (</w:t>
      </w:r>
      <w:r w:rsidR="00871706" w:rsidRPr="00D10D17">
        <w:rPr>
          <w:lang w:val="fr-FR"/>
        </w:rPr>
        <w:t>un grand</w:t>
      </w:r>
      <w:r w:rsidRPr="00D10D17">
        <w:rPr>
          <w:lang w:val="fr-FR"/>
        </w:rPr>
        <w:t xml:space="preserve"> nombre de déposants comptent déjà une demande nationale établissant la priori</w:t>
      </w:r>
      <w:r w:rsidR="00D10D17" w:rsidRPr="00D10D17">
        <w:rPr>
          <w:lang w:val="fr-FR"/>
        </w:rPr>
        <w:t>té).  Ce</w:t>
      </w:r>
      <w:r w:rsidRPr="00D10D17">
        <w:rPr>
          <w:lang w:val="fr-FR"/>
        </w:rPr>
        <w:t>la témoigne de la grande confiance qui nous est accord</w:t>
      </w:r>
      <w:r w:rsidR="00D10D17" w:rsidRPr="00D10D17">
        <w:rPr>
          <w:lang w:val="fr-FR"/>
        </w:rPr>
        <w:t>ée.  Le</w:t>
      </w:r>
      <w:r w:rsidR="00272C48" w:rsidRPr="00D10D17">
        <w:rPr>
          <w:lang w:val="fr-FR"/>
        </w:rPr>
        <w:t>s déposants apprécient de toute évidence le fait que la recherche et l</w:t>
      </w:r>
      <w:r w:rsidR="00111787" w:rsidRPr="00D10D17">
        <w:rPr>
          <w:lang w:val="fr-FR"/>
        </w:rPr>
        <w:t>’</w:t>
      </w:r>
      <w:r w:rsidR="00272C48" w:rsidRPr="00D10D17">
        <w:rPr>
          <w:lang w:val="fr-FR"/>
        </w:rPr>
        <w:t>examen</w:t>
      </w:r>
      <w:r w:rsidR="00C10BE7" w:rsidRPr="00D10D17">
        <w:rPr>
          <w:lang w:val="fr-FR"/>
        </w:rPr>
        <w:t xml:space="preserve"> relatifs aux demandes selon le PCT</w:t>
      </w:r>
      <w:r w:rsidR="00272C48" w:rsidRPr="00D10D17">
        <w:rPr>
          <w:lang w:val="fr-FR"/>
        </w:rPr>
        <w:t xml:space="preserve"> soient effectués par un examinateur autre que celui qui a traité la demande établissant la priorité.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272C48" w:rsidP="00DD6E7D">
      <w:pPr>
        <w:rPr>
          <w:lang w:val="fr-FR"/>
        </w:rPr>
      </w:pPr>
      <w:r w:rsidRPr="00D10D17">
        <w:rPr>
          <w:lang w:val="fr-FR"/>
        </w:rPr>
        <w:t>Le nombre de demandes déposées selon</w:t>
      </w:r>
      <w:r w:rsidR="00111787" w:rsidRPr="00D10D17">
        <w:rPr>
          <w:lang w:val="fr-FR"/>
        </w:rPr>
        <w:t xml:space="preserve"> le PCT</w:t>
      </w:r>
      <w:r w:rsidRPr="00D10D17">
        <w:rPr>
          <w:lang w:val="fr-FR"/>
        </w:rPr>
        <w:t xml:space="preserve"> ne cesse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augment</w:t>
      </w:r>
      <w:r w:rsidR="00D10D17" w:rsidRPr="00D10D17">
        <w:rPr>
          <w:lang w:val="fr-FR"/>
        </w:rPr>
        <w:t>er.  No</w:t>
      </w:r>
      <w:r w:rsidRPr="00D10D17">
        <w:rPr>
          <w:lang w:val="fr-FR"/>
        </w:rPr>
        <w:t>tre personnel est diplômé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enseignement supérieur, qualifié et expérimenté, et dispos</w:t>
      </w:r>
      <w:r w:rsidR="00871706" w:rsidRPr="00D10D17">
        <w:rPr>
          <w:lang w:val="fr-FR"/>
        </w:rPr>
        <w:t>e</w:t>
      </w:r>
      <w:r w:rsidRPr="00D10D17">
        <w:rPr>
          <w:lang w:val="fr-FR"/>
        </w:rPr>
        <w:t xml:space="preserve"> de toutes les ressources matérielles nécessair</w:t>
      </w:r>
      <w:r w:rsidR="00D10D17" w:rsidRPr="00D10D17">
        <w:rPr>
          <w:lang w:val="fr-FR"/>
        </w:rPr>
        <w:t>es.  Su</w:t>
      </w:r>
      <w:r w:rsidR="0031495A" w:rsidRPr="00D10D17">
        <w:rPr>
          <w:lang w:val="fr-FR"/>
        </w:rPr>
        <w:t>r cette base, l</w:t>
      </w:r>
      <w:r w:rsidR="00111787" w:rsidRPr="00D10D17">
        <w:rPr>
          <w:lang w:val="fr-FR"/>
        </w:rPr>
        <w:t>’</w:t>
      </w:r>
      <w:r w:rsidR="0031495A"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="0031495A" w:rsidRPr="00D10D17">
        <w:rPr>
          <w:lang w:val="fr-FR"/>
        </w:rPr>
        <w:t xml:space="preserve">enregistrement est disposé à partager la charge </w:t>
      </w:r>
      <w:r w:rsidR="00871706" w:rsidRPr="00D10D17">
        <w:rPr>
          <w:lang w:val="fr-FR"/>
        </w:rPr>
        <w:t xml:space="preserve">de travail </w:t>
      </w:r>
      <w:r w:rsidR="0031495A" w:rsidRPr="00D10D17">
        <w:rPr>
          <w:lang w:val="fr-FR"/>
        </w:rPr>
        <w:t>liée au système</w:t>
      </w:r>
      <w:r w:rsidR="00111787" w:rsidRPr="00D10D17">
        <w:rPr>
          <w:lang w:val="fr-FR"/>
        </w:rPr>
        <w:t xml:space="preserve"> du PCT</w:t>
      </w:r>
      <w:r w:rsidR="0031495A" w:rsidRPr="00D10D17">
        <w:rPr>
          <w:lang w:val="fr-FR"/>
        </w:rPr>
        <w:t xml:space="preserve">, pas seulement pour les demandes internationales émanant de déposants finlandais, mais aussi </w:t>
      </w:r>
      <w:r w:rsidR="00871706" w:rsidRPr="00D10D17">
        <w:rPr>
          <w:lang w:val="fr-FR"/>
        </w:rPr>
        <w:t xml:space="preserve">pour celles émanant </w:t>
      </w:r>
      <w:r w:rsidR="0031495A" w:rsidRPr="00D10D17">
        <w:rPr>
          <w:lang w:val="fr-FR"/>
        </w:rPr>
        <w:t>d</w:t>
      </w:r>
      <w:r w:rsidR="00111787" w:rsidRPr="00D10D17">
        <w:rPr>
          <w:lang w:val="fr-FR"/>
        </w:rPr>
        <w:t>’</w:t>
      </w:r>
      <w:r w:rsidR="0031495A" w:rsidRPr="00D10D17">
        <w:rPr>
          <w:lang w:val="fr-FR"/>
        </w:rPr>
        <w:t xml:space="preserve">autres </w:t>
      </w:r>
      <w:r w:rsidR="00871706" w:rsidRPr="00D10D17">
        <w:rPr>
          <w:lang w:val="fr-FR"/>
        </w:rPr>
        <w:t>sources</w:t>
      </w:r>
      <w:r w:rsidR="0031495A" w:rsidRPr="00D10D17">
        <w:rPr>
          <w:lang w:val="fr-FR"/>
        </w:rPr>
        <w:t xml:space="preserve">, </w:t>
      </w:r>
      <w:r w:rsidR="00871706" w:rsidRPr="00D10D17">
        <w:rPr>
          <w:lang w:val="fr-FR"/>
        </w:rPr>
        <w:t>sous réserve</w:t>
      </w:r>
      <w:r w:rsidR="0031495A" w:rsidRPr="00D10D17">
        <w:rPr>
          <w:lang w:val="fr-FR"/>
        </w:rPr>
        <w:t xml:space="preserve"> </w:t>
      </w:r>
      <w:r w:rsidR="00871706" w:rsidRPr="00D10D17">
        <w:rPr>
          <w:lang w:val="fr-FR"/>
        </w:rPr>
        <w:t>des</w:t>
      </w:r>
      <w:r w:rsidR="0031495A" w:rsidRPr="00D10D17">
        <w:rPr>
          <w:lang w:val="fr-FR"/>
        </w:rPr>
        <w:t xml:space="preserve"> obligations assumées par l</w:t>
      </w:r>
      <w:r w:rsidR="00111787" w:rsidRPr="00D10D17">
        <w:rPr>
          <w:lang w:val="fr-FR"/>
        </w:rPr>
        <w:t>’</w:t>
      </w:r>
      <w:r w:rsidR="0031495A" w:rsidRPr="00D10D17">
        <w:rPr>
          <w:lang w:val="fr-FR"/>
        </w:rPr>
        <w:t>administration dans le cadre de l</w:t>
      </w:r>
      <w:r w:rsidR="00111787" w:rsidRPr="00D10D17">
        <w:rPr>
          <w:lang w:val="fr-FR"/>
        </w:rPr>
        <w:t>’</w:t>
      </w:r>
      <w:r w:rsidR="0031495A" w:rsidRPr="00D10D17">
        <w:rPr>
          <w:lang w:val="fr-FR"/>
        </w:rPr>
        <w:t>Organisation européenne des brevets</w:t>
      </w:r>
      <w:r w:rsidR="0031495A" w:rsidRPr="00D10D17">
        <w:rPr>
          <w:color w:val="008000"/>
          <w:lang w:val="fr-FR"/>
        </w:rPr>
        <w:t>.</w:t>
      </w:r>
    </w:p>
    <w:p w:rsidR="004177F9" w:rsidRDefault="004177F9" w:rsidP="00DD6E7D">
      <w:pPr>
        <w:rPr>
          <w:rFonts w:ascii="Arial Bold" w:hAnsi="Arial Bold"/>
          <w:b/>
          <w:bCs/>
          <w:caps/>
          <w:color w:val="000000"/>
          <w:kern w:val="32"/>
          <w:szCs w:val="32"/>
          <w:lang w:val="fr-FR"/>
        </w:rPr>
      </w:pPr>
      <w:r>
        <w:rPr>
          <w:color w:val="000000"/>
          <w:lang w:val="fr-FR"/>
        </w:rPr>
        <w:br w:type="page"/>
      </w:r>
    </w:p>
    <w:p w:rsidR="00974C5A" w:rsidRPr="00D10D17" w:rsidRDefault="004177F9" w:rsidP="00DD6E7D">
      <w:pPr>
        <w:pStyle w:val="SectionHeading"/>
        <w:rPr>
          <w:lang w:val="fr-FR"/>
        </w:rPr>
      </w:pPr>
      <w:r>
        <w:rPr>
          <w:color w:val="000000"/>
          <w:lang w:val="fr-FR"/>
        </w:rPr>
        <w:t>5 – É</w:t>
      </w:r>
      <w:r w:rsidR="0031495A" w:rsidRPr="00D10D17">
        <w:rPr>
          <w:color w:val="000000"/>
          <w:lang w:val="fr-FR"/>
        </w:rPr>
        <w:t xml:space="preserve">tat </w:t>
      </w:r>
      <w:r w:rsidR="00260BE5" w:rsidRPr="00D10D17">
        <w:rPr>
          <w:color w:val="000000"/>
          <w:lang w:val="fr-FR"/>
        </w:rPr>
        <w:t>candidat</w:t>
      </w:r>
    </w:p>
    <w:p w:rsidR="00974C5A" w:rsidRPr="00D10D17" w:rsidRDefault="0031495A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color w:val="000000"/>
          <w:szCs w:val="22"/>
          <w:lang w:val="fr-FR"/>
        </w:rPr>
        <w:t xml:space="preserve">Emplacement </w:t>
      </w:r>
      <w:r w:rsidR="00260BE5" w:rsidRPr="00D10D17">
        <w:rPr>
          <w:b/>
          <w:bCs/>
          <w:color w:val="000000"/>
          <w:szCs w:val="22"/>
          <w:lang w:val="fr-FR"/>
        </w:rPr>
        <w:t>géographique</w:t>
      </w:r>
    </w:p>
    <w:p w:rsidR="005540D9" w:rsidRPr="00D10D17" w:rsidRDefault="005540D9" w:rsidP="00DD6E7D">
      <w:pPr>
        <w:rPr>
          <w:b/>
          <w:bCs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5540D9" w:rsidRPr="00D10D17" w:rsidTr="00CD3C88">
        <w:trPr>
          <w:trHeight w:val="3674"/>
        </w:trPr>
        <w:tc>
          <w:tcPr>
            <w:tcW w:w="8985" w:type="dxa"/>
            <w:shd w:val="clear" w:color="auto" w:fill="auto"/>
          </w:tcPr>
          <w:p w:rsidR="005540D9" w:rsidRPr="00D10D17" w:rsidRDefault="005540D9" w:rsidP="00DD6E7D">
            <w:pPr>
              <w:rPr>
                <w:szCs w:val="22"/>
                <w:lang w:val="fr-FR"/>
              </w:rPr>
            </w:pPr>
            <w:r w:rsidRPr="00D10D17">
              <w:rPr>
                <w:noProof/>
                <w:lang w:eastAsia="en-US"/>
              </w:rPr>
              <w:drawing>
                <wp:inline distT="0" distB="0" distL="0" distR="0" wp14:anchorId="7219B0F3" wp14:editId="5EA64D97">
                  <wp:extent cx="3879801" cy="3263090"/>
                  <wp:effectExtent l="0" t="0" r="6985" b="0"/>
                  <wp:docPr id="3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01" cy="32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87" w:rsidRPr="004177F9" w:rsidRDefault="00111787" w:rsidP="00DD6E7D">
      <w:pPr>
        <w:rPr>
          <w:iCs/>
          <w:szCs w:val="22"/>
          <w:lang w:val="fr-FR"/>
        </w:rPr>
      </w:pPr>
    </w:p>
    <w:p w:rsidR="00974C5A" w:rsidRPr="004177F9" w:rsidRDefault="004177F9" w:rsidP="00DD6E7D">
      <w:pPr>
        <w:pStyle w:val="mw-mmv-image-desc"/>
        <w:shd w:val="clear" w:color="auto" w:fill="F8F9FA"/>
        <w:textAlignment w:val="top"/>
        <w:rPr>
          <w:rFonts w:ascii="Arial" w:hAnsi="Arial" w:cs="Arial"/>
          <w:lang w:val="fr-FR"/>
        </w:rPr>
      </w:pPr>
      <w:r w:rsidRPr="006F2F79">
        <w:rPr>
          <w:bdr w:val="single" w:sz="6" w:space="0" w:color="808080" w:frame="1"/>
          <w:shd w:val="clear" w:color="auto" w:fill="218439"/>
          <w:lang w:val="en-US"/>
        </w:rPr>
        <w:t> </w:t>
      </w:r>
      <w:r w:rsidRPr="006F2F79">
        <w:rPr>
          <w:lang w:val="en-US"/>
        </w:rPr>
        <w:t xml:space="preserve">  </w:t>
      </w:r>
      <w:r w:rsidR="0031495A" w:rsidRPr="004177F9">
        <w:rPr>
          <w:rFonts w:ascii="Arial" w:hAnsi="Arial" w:cs="Arial"/>
          <w:b/>
          <w:lang w:val="fr-FR"/>
        </w:rPr>
        <w:t>(Vert foncé)</w:t>
      </w:r>
      <w:r w:rsidR="0031495A" w:rsidRPr="004177F9">
        <w:rPr>
          <w:rFonts w:ascii="Arial" w:hAnsi="Arial" w:cs="Arial"/>
          <w:lang w:val="fr-FR"/>
        </w:rPr>
        <w:t xml:space="preserve"> Finlande</w:t>
      </w:r>
      <w:r w:rsidR="001C7FE7" w:rsidRPr="004177F9">
        <w:rPr>
          <w:rFonts w:ascii="Arial" w:hAnsi="Arial" w:cs="Arial"/>
          <w:lang w:val="fr-FR"/>
        </w:rPr>
        <w:t xml:space="preserve">  </w:t>
      </w:r>
      <w:r w:rsidRPr="006F2F79">
        <w:rPr>
          <w:bdr w:val="single" w:sz="6" w:space="0" w:color="808080" w:frame="1"/>
          <w:shd w:val="clear" w:color="auto" w:fill="C6DEBD"/>
          <w:lang w:val="en-US"/>
        </w:rPr>
        <w:t> </w:t>
      </w:r>
      <w:r w:rsidRPr="006F2F79">
        <w:rPr>
          <w:lang w:val="en-US"/>
        </w:rPr>
        <w:t xml:space="preserve">  </w:t>
      </w:r>
      <w:r w:rsidR="0031495A" w:rsidRPr="004177F9">
        <w:rPr>
          <w:rFonts w:ascii="Arial" w:hAnsi="Arial" w:cs="Arial"/>
          <w:b/>
          <w:lang w:val="fr-FR"/>
        </w:rPr>
        <w:t>(</w:t>
      </w:r>
      <w:r w:rsidR="00260BE5" w:rsidRPr="004177F9">
        <w:rPr>
          <w:rFonts w:ascii="Arial" w:hAnsi="Arial" w:cs="Arial"/>
          <w:b/>
          <w:lang w:val="fr-FR"/>
        </w:rPr>
        <w:t>V</w:t>
      </w:r>
      <w:r w:rsidR="0031495A" w:rsidRPr="004177F9">
        <w:rPr>
          <w:rFonts w:ascii="Arial" w:hAnsi="Arial" w:cs="Arial"/>
          <w:b/>
          <w:lang w:val="fr-FR"/>
        </w:rPr>
        <w:t xml:space="preserve">ert clair) </w:t>
      </w:r>
      <w:r w:rsidR="00260BE5" w:rsidRPr="004177F9">
        <w:rPr>
          <w:rFonts w:ascii="Arial" w:hAnsi="Arial" w:cs="Arial"/>
          <w:lang w:val="fr-FR"/>
        </w:rPr>
        <w:t>R</w:t>
      </w:r>
      <w:r w:rsidR="0031495A" w:rsidRPr="004177F9">
        <w:rPr>
          <w:rFonts w:ascii="Arial" w:hAnsi="Arial" w:cs="Arial"/>
          <w:lang w:val="fr-FR"/>
        </w:rPr>
        <w:t>este de l</w:t>
      </w:r>
      <w:r w:rsidR="00111787" w:rsidRPr="004177F9">
        <w:rPr>
          <w:rFonts w:ascii="Arial" w:hAnsi="Arial" w:cs="Arial"/>
          <w:lang w:val="fr-FR"/>
        </w:rPr>
        <w:t>’</w:t>
      </w:r>
      <w:r w:rsidR="0031495A" w:rsidRPr="004177F9">
        <w:rPr>
          <w:rFonts w:ascii="Arial" w:hAnsi="Arial" w:cs="Arial"/>
          <w:lang w:val="fr-FR"/>
        </w:rPr>
        <w:t>Union européenne (UE)</w:t>
      </w:r>
      <w:r w:rsidR="001C7FE7" w:rsidRPr="004177F9">
        <w:rPr>
          <w:rFonts w:ascii="Arial" w:hAnsi="Arial" w:cs="Arial"/>
          <w:lang w:val="fr-FR"/>
        </w:rPr>
        <w:t xml:space="preserve">  </w:t>
      </w:r>
      <w:r w:rsidRPr="006F2F79">
        <w:rPr>
          <w:bdr w:val="single" w:sz="6" w:space="0" w:color="808080" w:frame="1"/>
          <w:shd w:val="clear" w:color="auto" w:fill="C0C1C5"/>
          <w:lang w:val="en-US"/>
        </w:rPr>
        <w:t> </w:t>
      </w:r>
      <w:r w:rsidRPr="006F2F79">
        <w:rPr>
          <w:lang w:val="en-US"/>
        </w:rPr>
        <w:t xml:space="preserve">  </w:t>
      </w:r>
      <w:r w:rsidR="0031495A" w:rsidRPr="004177F9">
        <w:rPr>
          <w:rFonts w:ascii="Arial" w:hAnsi="Arial" w:cs="Arial"/>
          <w:b/>
          <w:lang w:val="fr-FR"/>
        </w:rPr>
        <w:t>(Gris foncé)</w:t>
      </w:r>
      <w:r w:rsidR="0031495A" w:rsidRPr="004177F9">
        <w:rPr>
          <w:rFonts w:ascii="Arial" w:hAnsi="Arial" w:cs="Arial"/>
          <w:lang w:val="fr-FR"/>
        </w:rPr>
        <w:t xml:space="preserve"> </w:t>
      </w:r>
      <w:r w:rsidR="00260BE5" w:rsidRPr="004177F9">
        <w:rPr>
          <w:rFonts w:ascii="Arial" w:hAnsi="Arial" w:cs="Arial"/>
          <w:lang w:val="fr-FR"/>
        </w:rPr>
        <w:t>R</w:t>
      </w:r>
      <w:r w:rsidR="0031495A" w:rsidRPr="004177F9">
        <w:rPr>
          <w:rFonts w:ascii="Arial" w:hAnsi="Arial" w:cs="Arial"/>
          <w:lang w:val="fr-FR"/>
        </w:rPr>
        <w:t>este de l</w:t>
      </w:r>
      <w:r w:rsidR="00111787" w:rsidRPr="004177F9">
        <w:rPr>
          <w:rFonts w:ascii="Arial" w:hAnsi="Arial" w:cs="Arial"/>
          <w:lang w:val="fr-FR"/>
        </w:rPr>
        <w:t>’</w:t>
      </w:r>
      <w:r w:rsidR="0031495A" w:rsidRPr="004177F9">
        <w:rPr>
          <w:rFonts w:ascii="Arial" w:hAnsi="Arial" w:cs="Arial"/>
          <w:lang w:val="fr-FR"/>
        </w:rPr>
        <w:t>Europe.</w:t>
      </w:r>
      <w:r w:rsidR="001C7FE7" w:rsidRPr="004177F9">
        <w:rPr>
          <w:rFonts w:ascii="Arial" w:hAnsi="Arial" w:cs="Arial"/>
          <w:lang w:val="fr-FR"/>
        </w:rPr>
        <w:t xml:space="preserve">  </w:t>
      </w:r>
      <w:r w:rsidRPr="006F2F79">
        <w:rPr>
          <w:bdr w:val="single" w:sz="6" w:space="0" w:color="808080" w:frame="1"/>
          <w:shd w:val="clear" w:color="auto" w:fill="CCCED1"/>
          <w:lang w:val="en-US"/>
        </w:rPr>
        <w:t> </w:t>
      </w:r>
      <w:r w:rsidRPr="006F2F79">
        <w:rPr>
          <w:lang w:val="en-US"/>
        </w:rPr>
        <w:t xml:space="preserve">  </w:t>
      </w:r>
      <w:r w:rsidR="0031495A" w:rsidRPr="004177F9">
        <w:rPr>
          <w:rFonts w:ascii="Arial" w:hAnsi="Arial" w:cs="Arial"/>
          <w:b/>
          <w:lang w:val="fr-FR"/>
        </w:rPr>
        <w:t>(Gris clair)</w:t>
      </w:r>
      <w:r w:rsidR="0031495A" w:rsidRPr="004177F9">
        <w:rPr>
          <w:rFonts w:ascii="Arial" w:hAnsi="Arial" w:cs="Arial"/>
          <w:lang w:val="fr-FR"/>
        </w:rPr>
        <w:t xml:space="preserve"> </w:t>
      </w:r>
      <w:r w:rsidR="00260BE5" w:rsidRPr="004177F9">
        <w:rPr>
          <w:rFonts w:ascii="Arial" w:hAnsi="Arial" w:cs="Arial"/>
          <w:lang w:val="fr-FR"/>
        </w:rPr>
        <w:t>R</w:t>
      </w:r>
      <w:r w:rsidR="0031495A" w:rsidRPr="004177F9">
        <w:rPr>
          <w:rFonts w:ascii="Arial" w:hAnsi="Arial" w:cs="Arial"/>
          <w:lang w:val="fr-FR"/>
        </w:rPr>
        <w:t>égion environnante</w:t>
      </w:r>
    </w:p>
    <w:p w:rsidR="00974C5A" w:rsidRPr="00D10D17" w:rsidRDefault="00974C5A" w:rsidP="00DD6E7D">
      <w:pPr>
        <w:pStyle w:val="mw-mmv-image-desc"/>
        <w:shd w:val="clear" w:color="auto" w:fill="F8F9FA"/>
        <w:textAlignment w:val="top"/>
        <w:rPr>
          <w:lang w:val="fr-FR"/>
        </w:rPr>
      </w:pPr>
    </w:p>
    <w:p w:rsidR="00111787" w:rsidRPr="00D10D17" w:rsidRDefault="00C10BE7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 xml:space="preserve">Appartenance à </w:t>
      </w:r>
      <w:r w:rsidR="00871706" w:rsidRPr="00D10D17">
        <w:rPr>
          <w:b/>
          <w:szCs w:val="22"/>
          <w:lang w:val="fr-FR"/>
        </w:rPr>
        <w:t xml:space="preserve">une </w:t>
      </w:r>
      <w:r w:rsidR="0031495A" w:rsidRPr="00D10D17">
        <w:rPr>
          <w:b/>
          <w:szCs w:val="22"/>
          <w:lang w:val="fr-FR"/>
        </w:rPr>
        <w:t>organisa</w:t>
      </w:r>
      <w:r w:rsidR="00397766" w:rsidRPr="00D10D17">
        <w:rPr>
          <w:b/>
          <w:szCs w:val="22"/>
          <w:lang w:val="fr-FR"/>
        </w:rPr>
        <w:t>ti</w:t>
      </w:r>
      <w:r w:rsidR="0031495A" w:rsidRPr="00D10D17">
        <w:rPr>
          <w:b/>
          <w:szCs w:val="22"/>
          <w:lang w:val="fr-FR"/>
        </w:rPr>
        <w:t>on régionale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31495A" w:rsidP="00DD6E7D">
      <w:pPr>
        <w:rPr>
          <w:lang w:val="fr-FR"/>
        </w:rPr>
      </w:pPr>
      <w:r w:rsidRPr="00D10D17">
        <w:rPr>
          <w:lang w:val="fr-FR"/>
        </w:rPr>
        <w:t>Union européenne</w:t>
      </w:r>
    </w:p>
    <w:p w:rsidR="00974C5A" w:rsidRPr="00D10D17" w:rsidRDefault="0031495A" w:rsidP="00DD6E7D">
      <w:pPr>
        <w:rPr>
          <w:lang w:val="fr-FR"/>
        </w:rPr>
      </w:pPr>
      <w:r w:rsidRPr="00D10D17">
        <w:rPr>
          <w:lang w:val="fr-FR"/>
        </w:rPr>
        <w:t>Office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Union européenne pour la propriété intellectuelle</w:t>
      </w:r>
    </w:p>
    <w:p w:rsidR="00974C5A" w:rsidRPr="00D10D17" w:rsidRDefault="00397766" w:rsidP="00DD6E7D">
      <w:pPr>
        <w:rPr>
          <w:lang w:val="fr-FR"/>
        </w:rPr>
      </w:pPr>
      <w:r w:rsidRPr="00D10D17">
        <w:rPr>
          <w:lang w:val="fr-FR"/>
        </w:rPr>
        <w:t>Organisation européenne des brevets (OEB)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5540D9" w:rsidP="00DD6E7D">
      <w:pPr>
        <w:rPr>
          <w:szCs w:val="22"/>
          <w:lang w:val="fr-FR"/>
        </w:rPr>
      </w:pPr>
      <w:r w:rsidRPr="00D10D17">
        <w:rPr>
          <w:b/>
          <w:bCs/>
          <w:szCs w:val="22"/>
          <w:lang w:val="fr-FR"/>
        </w:rPr>
        <w:t>Population</w:t>
      </w:r>
      <w:r w:rsidR="00111787" w:rsidRPr="00D10D17">
        <w:rPr>
          <w:b/>
          <w:bCs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397766" w:rsidP="00DD6E7D">
      <w:pPr>
        <w:rPr>
          <w:lang w:val="fr-FR"/>
        </w:rPr>
      </w:pPr>
      <w:r w:rsidRPr="00D10D17">
        <w:rPr>
          <w:lang w:val="fr-FR"/>
        </w:rPr>
        <w:t>5,</w:t>
      </w:r>
      <w:r w:rsidR="00111787" w:rsidRPr="00D10D17">
        <w:rPr>
          <w:lang w:val="fr-FR"/>
        </w:rPr>
        <w:t>5 million</w:t>
      </w:r>
      <w:r w:rsidRPr="00D10D17">
        <w:rPr>
          <w:lang w:val="fr-FR"/>
        </w:rPr>
        <w:t>s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397766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PIB par habitant</w:t>
      </w:r>
      <w:r w:rsidR="00111787" w:rsidRPr="00D10D17">
        <w:rPr>
          <w:bCs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397766" w:rsidP="00DD6E7D">
      <w:pPr>
        <w:rPr>
          <w:lang w:val="fr-FR"/>
        </w:rPr>
      </w:pPr>
      <w:r w:rsidRPr="00D10D17">
        <w:rPr>
          <w:lang w:val="fr-FR"/>
        </w:rPr>
        <w:t>39 16</w:t>
      </w:r>
      <w:r w:rsidR="00111787" w:rsidRPr="00D10D17">
        <w:rPr>
          <w:lang w:val="fr-FR"/>
        </w:rPr>
        <w:t>4 euro</w:t>
      </w:r>
      <w:r w:rsidRPr="00D10D17">
        <w:rPr>
          <w:lang w:val="fr-FR"/>
        </w:rPr>
        <w:t>s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397766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Estimation des dépenses nationales en recherche</w:t>
      </w:r>
      <w:r w:rsidR="00781C47">
        <w:rPr>
          <w:b/>
          <w:szCs w:val="22"/>
          <w:lang w:val="fr-FR"/>
        </w:rPr>
        <w:noBreakHyphen/>
      </w:r>
      <w:r w:rsidRPr="00D10D17">
        <w:rPr>
          <w:b/>
          <w:szCs w:val="22"/>
          <w:lang w:val="fr-FR"/>
        </w:rPr>
        <w:t>développement (pourcentage du PIB)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397766" w:rsidP="00DD6E7D">
      <w:pPr>
        <w:rPr>
          <w:lang w:val="fr-FR"/>
        </w:rPr>
      </w:pPr>
      <w:r w:rsidRPr="00D10D17">
        <w:rPr>
          <w:lang w:val="fr-FR"/>
        </w:rPr>
        <w:t>3% du PIB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397766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Nombre d</w:t>
      </w:r>
      <w:r w:rsidR="00111787" w:rsidRPr="00D10D17">
        <w:rPr>
          <w:b/>
          <w:bCs/>
          <w:szCs w:val="22"/>
          <w:lang w:val="fr-FR"/>
        </w:rPr>
        <w:t>’</w:t>
      </w:r>
      <w:r w:rsidRPr="00D10D17">
        <w:rPr>
          <w:b/>
          <w:bCs/>
          <w:szCs w:val="22"/>
          <w:lang w:val="fr-FR"/>
        </w:rPr>
        <w:t>instituts universitaires de recherche</w:t>
      </w:r>
      <w:r w:rsidR="00111787" w:rsidRPr="00D10D17">
        <w:rPr>
          <w:b/>
          <w:bCs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5540D9" w:rsidP="00DD6E7D">
      <w:pPr>
        <w:rPr>
          <w:lang w:val="fr-FR"/>
        </w:rPr>
      </w:pPr>
      <w:r w:rsidRPr="00D10D17">
        <w:rPr>
          <w:lang w:val="fr-FR"/>
        </w:rPr>
        <w:t>14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6B2113" w:rsidP="00DD6E7D">
      <w:pPr>
        <w:keepNext/>
        <w:keepLines/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Présentation du</w:t>
      </w:r>
      <w:r w:rsidR="0097262E" w:rsidRPr="00D10D17">
        <w:rPr>
          <w:b/>
          <w:bCs/>
          <w:szCs w:val="22"/>
          <w:lang w:val="fr-FR"/>
        </w:rPr>
        <w:t xml:space="preserve"> réseau national </w:t>
      </w:r>
      <w:r w:rsidRPr="00D10D17">
        <w:rPr>
          <w:rStyle w:val="st1"/>
          <w:b/>
          <w:lang w:val="fr-FR"/>
        </w:rPr>
        <w:t>de centres</w:t>
      </w:r>
      <w:r w:rsidRPr="00D10D17">
        <w:rPr>
          <w:b/>
          <w:bCs/>
          <w:szCs w:val="22"/>
          <w:lang w:val="fr-FR"/>
        </w:rPr>
        <w:t xml:space="preserve"> </w:t>
      </w:r>
      <w:r w:rsidR="0097262E" w:rsidRPr="00D10D17">
        <w:rPr>
          <w:b/>
          <w:bCs/>
          <w:szCs w:val="22"/>
          <w:lang w:val="fr-FR"/>
        </w:rPr>
        <w:t>d</w:t>
      </w:r>
      <w:r w:rsidR="00111787" w:rsidRPr="00D10D17">
        <w:rPr>
          <w:b/>
          <w:bCs/>
          <w:szCs w:val="22"/>
          <w:lang w:val="fr-FR"/>
        </w:rPr>
        <w:t>’</w:t>
      </w:r>
      <w:r w:rsidR="0097262E" w:rsidRPr="00D10D17">
        <w:rPr>
          <w:b/>
          <w:bCs/>
          <w:szCs w:val="22"/>
          <w:lang w:val="fr-FR"/>
        </w:rPr>
        <w:t>information en matière de brevets (par exemple, bibliothèques de brevets</w:t>
      </w:r>
      <w:r w:rsidR="00572BA9" w:rsidRPr="00D10D17">
        <w:rPr>
          <w:b/>
          <w:bCs/>
          <w:szCs w:val="22"/>
          <w:lang w:val="fr-FR"/>
        </w:rPr>
        <w:t xml:space="preserve"> et</w:t>
      </w:r>
      <w:r w:rsidR="0097262E" w:rsidRPr="00D10D17">
        <w:rPr>
          <w:b/>
          <w:bCs/>
          <w:szCs w:val="22"/>
          <w:lang w:val="fr-FR"/>
        </w:rPr>
        <w:t xml:space="preserve"> centres d</w:t>
      </w:r>
      <w:r w:rsidR="00111787" w:rsidRPr="00D10D17">
        <w:rPr>
          <w:b/>
          <w:bCs/>
          <w:szCs w:val="22"/>
          <w:lang w:val="fr-FR"/>
        </w:rPr>
        <w:t>’</w:t>
      </w:r>
      <w:r w:rsidR="0097262E" w:rsidRPr="00D10D17">
        <w:rPr>
          <w:b/>
          <w:bCs/>
          <w:szCs w:val="22"/>
          <w:lang w:val="fr-FR"/>
        </w:rPr>
        <w:t>appui à la technologie et à l</w:t>
      </w:r>
      <w:r w:rsidR="00111787" w:rsidRPr="00D10D17">
        <w:rPr>
          <w:b/>
          <w:bCs/>
          <w:szCs w:val="22"/>
          <w:lang w:val="fr-FR"/>
        </w:rPr>
        <w:t>’</w:t>
      </w:r>
      <w:r w:rsidR="0097262E" w:rsidRPr="00D10D17">
        <w:rPr>
          <w:b/>
          <w:bCs/>
          <w:szCs w:val="22"/>
          <w:lang w:val="fr-FR"/>
        </w:rPr>
        <w:t>innovation)</w:t>
      </w:r>
      <w:r w:rsidR="00111787" w:rsidRPr="00D10D17">
        <w:rPr>
          <w:b/>
          <w:bCs/>
          <w:szCs w:val="22"/>
          <w:lang w:val="fr-FR"/>
        </w:rPr>
        <w:t> :</w:t>
      </w:r>
    </w:p>
    <w:p w:rsidR="00974C5A" w:rsidRPr="00D10D17" w:rsidRDefault="00974C5A" w:rsidP="00DD6E7D">
      <w:pPr>
        <w:keepNext/>
        <w:keepLines/>
        <w:rPr>
          <w:lang w:val="fr-FR"/>
        </w:rPr>
      </w:pPr>
    </w:p>
    <w:p w:rsidR="00974C5A" w:rsidRPr="00D10D17" w:rsidRDefault="0097262E" w:rsidP="00DD6E7D">
      <w:pPr>
        <w:keepNext/>
        <w:keepLines/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agence finlandaise de financement</w:t>
      </w:r>
      <w:r w:rsidR="00572BA9" w:rsidRPr="00D10D17">
        <w:rPr>
          <w:lang w:val="fr-FR"/>
        </w:rPr>
        <w:t xml:space="preserve"> de l</w:t>
      </w:r>
      <w:r w:rsidR="00111787" w:rsidRPr="00D10D17">
        <w:rPr>
          <w:lang w:val="fr-FR"/>
        </w:rPr>
        <w:t>’</w:t>
      </w:r>
      <w:r w:rsidR="00572BA9" w:rsidRPr="00D10D17">
        <w:rPr>
          <w:lang w:val="fr-FR"/>
        </w:rPr>
        <w:t>innovation (Tekes) est un</w:t>
      </w:r>
      <w:r w:rsidRPr="00D10D17">
        <w:rPr>
          <w:lang w:val="fr-FR"/>
        </w:rPr>
        <w:t xml:space="preserve"> organis</w:t>
      </w:r>
      <w:r w:rsidR="00572BA9" w:rsidRPr="00D10D17">
        <w:rPr>
          <w:lang w:val="fr-FR"/>
        </w:rPr>
        <w:t>me</w:t>
      </w:r>
      <w:r w:rsidRPr="00D10D17">
        <w:rPr>
          <w:lang w:val="fr-FR"/>
        </w:rPr>
        <w:t xml:space="preserve"> publi</w:t>
      </w:r>
      <w:r w:rsidR="00572BA9" w:rsidRPr="00D10D17">
        <w:rPr>
          <w:lang w:val="fr-FR"/>
        </w:rPr>
        <w:t>c</w:t>
      </w:r>
      <w:r w:rsidRPr="00D10D17">
        <w:rPr>
          <w:lang w:val="fr-FR"/>
        </w:rPr>
        <w:t xml:space="preserve"> spécialisé dans le financement de la recherche, du développement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innovation en Finlan</w:t>
      </w:r>
      <w:r w:rsidR="00D10D17" w:rsidRPr="00D10D17">
        <w:rPr>
          <w:lang w:val="fr-FR"/>
        </w:rPr>
        <w:t>de.  Le</w:t>
      </w:r>
      <w:r w:rsidR="00572BA9" w:rsidRPr="00D10D17">
        <w:rPr>
          <w:lang w:val="fr-FR"/>
        </w:rPr>
        <w:t xml:space="preserve">s experts de cette organisation, dans </w:t>
      </w:r>
      <w:r w:rsidRPr="00D10D17">
        <w:rPr>
          <w:lang w:val="fr-FR"/>
        </w:rPr>
        <w:t>différentes régions de la Finlande</w:t>
      </w:r>
      <w:r w:rsidR="00572BA9" w:rsidRPr="00D10D17">
        <w:rPr>
          <w:lang w:val="fr-FR"/>
        </w:rPr>
        <w:t>,</w:t>
      </w:r>
      <w:r w:rsidRPr="00D10D17">
        <w:rPr>
          <w:lang w:val="fr-FR"/>
        </w:rPr>
        <w:t xml:space="preserve"> gèrent des équipes régionales, dont les membres sont </w:t>
      </w:r>
      <w:r w:rsidR="00572BA9" w:rsidRPr="00D10D17">
        <w:rPr>
          <w:lang w:val="fr-FR"/>
        </w:rPr>
        <w:t>spécialisés dans le développement et la</w:t>
      </w:r>
      <w:r w:rsidRPr="00D10D17">
        <w:rPr>
          <w:lang w:val="fr-FR"/>
        </w:rPr>
        <w:t xml:space="preserve"> commercialisation des inventions.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E005C1" w:rsidP="00DD6E7D">
      <w:pPr>
        <w:rPr>
          <w:lang w:val="fr-FR"/>
        </w:rPr>
      </w:pPr>
      <w:r w:rsidRPr="00D10D17">
        <w:rPr>
          <w:lang w:val="fr-FR"/>
        </w:rPr>
        <w:t>Les centres pour le développement économique, le transport et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environnement sont répartis dans le pays et sont chargés, au niveau régional,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exécuter certaines tâches confiées par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administration centrale en matière de mise en œuvre et de développement.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E005C1" w:rsidP="00DD6E7D">
      <w:pPr>
        <w:rPr>
          <w:lang w:val="fr-FR"/>
        </w:rPr>
      </w:pPr>
      <w:r w:rsidRPr="00D10D17">
        <w:rPr>
          <w:lang w:val="fr-FR"/>
        </w:rPr>
        <w:t>Les grandes universités disposent de leurs propres centres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appui à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innovati</w:t>
      </w:r>
      <w:r w:rsidR="00D10D17" w:rsidRPr="00D10D17">
        <w:rPr>
          <w:lang w:val="fr-FR"/>
        </w:rPr>
        <w:t>on.  En</w:t>
      </w:r>
      <w:r w:rsidRPr="00D10D17">
        <w:rPr>
          <w:lang w:val="fr-FR"/>
        </w:rPr>
        <w:t xml:space="preserve"> outre,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IPR </w:t>
      </w:r>
      <w:proofErr w:type="spellStart"/>
      <w:r w:rsidRPr="00D10D17">
        <w:rPr>
          <w:lang w:val="fr-FR"/>
        </w:rPr>
        <w:t>University</w:t>
      </w:r>
      <w:proofErr w:type="spellEnd"/>
      <w:r w:rsidRPr="00D10D17">
        <w:rPr>
          <w:lang w:val="fr-FR"/>
        </w:rPr>
        <w:t xml:space="preserve"> Center, un institut mis en place conjointement par cinq</w:t>
      </w:r>
      <w:r w:rsidR="00DD60F6" w:rsidRPr="00D10D17">
        <w:rPr>
          <w:lang w:val="fr-FR"/>
        </w:rPr>
        <w:t> </w:t>
      </w:r>
      <w:r w:rsidRPr="00D10D17">
        <w:rPr>
          <w:lang w:val="fr-FR"/>
        </w:rPr>
        <w:t>universités finlandaises, coordonne et favorise la formation en matière de droits de propriété intellectuelle et industrielle et les recherches dans ce domaine.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E005C1" w:rsidP="00DD6E7D">
      <w:pPr>
        <w:rPr>
          <w:lang w:val="fr-FR"/>
        </w:rPr>
      </w:pPr>
      <w:r w:rsidRPr="00D10D17">
        <w:rPr>
          <w:lang w:val="fr-FR"/>
        </w:rPr>
        <w:t>La bibliothèque des brevets, située au sein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Office finlandais des brevets et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enregistrement, possède une collection de livres et de revues ayant trait à la propriété intellectuelle </w:t>
      </w:r>
      <w:r w:rsidR="00572BA9" w:rsidRPr="00D10D17">
        <w:rPr>
          <w:lang w:val="fr-FR"/>
        </w:rPr>
        <w:t xml:space="preserve">et mise </w:t>
      </w:r>
      <w:r w:rsidRPr="00D10D17">
        <w:rPr>
          <w:lang w:val="fr-FR"/>
        </w:rPr>
        <w:t>à la disposition du publ</w:t>
      </w:r>
      <w:r w:rsidR="00D10D17" w:rsidRPr="00D10D17">
        <w:rPr>
          <w:lang w:val="fr-FR"/>
        </w:rPr>
        <w:t>ic.  El</w:t>
      </w:r>
      <w:r w:rsidRPr="00D10D17">
        <w:rPr>
          <w:lang w:val="fr-FR"/>
        </w:rPr>
        <w:t>le collabore également avec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autres centres PATLIB et offre un accès gratuit aux bases de données de brevets.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E005C1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Principales industries locales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135A2E" w:rsidP="00DD6E7D">
      <w:pPr>
        <w:rPr>
          <w:lang w:val="fr-FR"/>
        </w:rPr>
      </w:pPr>
      <w:r w:rsidRPr="00D10D17">
        <w:rPr>
          <w:lang w:val="fr-FR"/>
        </w:rPr>
        <w:t>Produits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industrie chimique, produits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industrie forestière, métal et produits métalliques, matériel et outillage, denrées alimentaires, produits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industrie électrique et électronique.</w:t>
      </w:r>
    </w:p>
    <w:p w:rsidR="00974C5A" w:rsidRPr="00D10D17" w:rsidRDefault="00974C5A" w:rsidP="00DD6E7D">
      <w:pPr>
        <w:rPr>
          <w:lang w:val="fr-FR"/>
        </w:rPr>
      </w:pPr>
    </w:p>
    <w:p w:rsidR="00111787" w:rsidRPr="00D10D17" w:rsidRDefault="00A53845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 xml:space="preserve">Principaux </w:t>
      </w:r>
      <w:r w:rsidR="006B2113" w:rsidRPr="00D10D17">
        <w:rPr>
          <w:b/>
          <w:szCs w:val="22"/>
          <w:lang w:val="fr-FR"/>
        </w:rPr>
        <w:t>partenaires commerciaux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A53845" w:rsidP="00DD6E7D">
      <w:pPr>
        <w:rPr>
          <w:lang w:val="fr-FR"/>
        </w:rPr>
      </w:pPr>
      <w:r w:rsidRPr="00D10D17">
        <w:rPr>
          <w:lang w:val="fr-FR"/>
        </w:rPr>
        <w:t>Allemagne, Suède, Fédération de Russie, Pays</w:t>
      </w:r>
      <w:r w:rsidR="00781C47">
        <w:rPr>
          <w:lang w:val="fr-FR"/>
        </w:rPr>
        <w:noBreakHyphen/>
      </w:r>
      <w:r w:rsidRPr="00D10D17">
        <w:rPr>
          <w:lang w:val="fr-FR"/>
        </w:rPr>
        <w:t>Bas, Chine, États</w:t>
      </w:r>
      <w:r w:rsidR="00781C47">
        <w:rPr>
          <w:lang w:val="fr-FR"/>
        </w:rPr>
        <w:noBreakHyphen/>
      </w:r>
      <w:r w:rsidRPr="00D10D17">
        <w:rPr>
          <w:lang w:val="fr-FR"/>
        </w:rPr>
        <w:t>Unis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Amérique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A53845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Autres informations essentielles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A53845" w:rsidP="00DD6E7D">
      <w:pPr>
        <w:rPr>
          <w:lang w:val="fr-FR"/>
        </w:rPr>
      </w:pPr>
      <w:r w:rsidRPr="00D10D17">
        <w:rPr>
          <w:lang w:val="fr-FR"/>
        </w:rPr>
        <w:t xml:space="preserve">Une décision portant sur une stratégie nationale </w:t>
      </w:r>
      <w:r w:rsidR="00DD6E7D">
        <w:rPr>
          <w:lang w:val="fr-FR"/>
        </w:rPr>
        <w:t>en matière de</w:t>
      </w:r>
      <w:r w:rsidRPr="00D10D17">
        <w:rPr>
          <w:lang w:val="fr-FR"/>
        </w:rPr>
        <w:t xml:space="preserve"> droits de propriété intellectuelle a été </w:t>
      </w:r>
      <w:r w:rsidR="00455033" w:rsidRPr="00D10D17">
        <w:rPr>
          <w:lang w:val="fr-FR"/>
        </w:rPr>
        <w:t>rendue</w:t>
      </w:r>
      <w:r w:rsidRPr="00D10D17">
        <w:rPr>
          <w:lang w:val="fr-FR"/>
        </w:rPr>
        <w:t xml:space="preserve"> </w:t>
      </w:r>
      <w:r w:rsidR="00572BA9" w:rsidRPr="00D10D17">
        <w:rPr>
          <w:lang w:val="fr-FR"/>
        </w:rPr>
        <w:t>au moyen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une résolution du gouvernement le 2</w:t>
      </w:r>
      <w:r w:rsidR="00111787" w:rsidRPr="00D10D17">
        <w:rPr>
          <w:lang w:val="fr-FR"/>
        </w:rPr>
        <w:t>6 mars</w:t>
      </w:r>
      <w:r w:rsidRPr="00D10D17">
        <w:rPr>
          <w:lang w:val="fr-FR"/>
        </w:rPr>
        <w:t> 2009.</w:t>
      </w:r>
      <w:r w:rsidR="001C7FE7" w:rsidRPr="00D10D17">
        <w:rPr>
          <w:lang w:val="fr-FR"/>
        </w:rPr>
        <w:t xml:space="preserve">  </w:t>
      </w:r>
      <w:r w:rsidRPr="00D10D17">
        <w:rPr>
          <w:lang w:val="fr-FR"/>
        </w:rPr>
        <w:t xml:space="preserve">Dans le programme gouvernemental de 2011, il a été décidé de poursuivre la mise en œuvre de </w:t>
      </w:r>
      <w:r w:rsidR="00572BA9" w:rsidRPr="00D10D17">
        <w:rPr>
          <w:lang w:val="fr-FR"/>
        </w:rPr>
        <w:t>cette</w:t>
      </w:r>
      <w:r w:rsidRPr="00D10D17">
        <w:rPr>
          <w:lang w:val="fr-FR"/>
        </w:rPr>
        <w:t xml:space="preserve"> stratégie et de réformer le plan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action compris dans la stratégie sur la base des changements intervenus dans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environnement </w:t>
      </w:r>
      <w:r w:rsidR="00572BA9" w:rsidRPr="00D10D17">
        <w:rPr>
          <w:lang w:val="fr-FR"/>
        </w:rPr>
        <w:t>applicable et dans</w:t>
      </w:r>
      <w:r w:rsidRPr="00D10D17">
        <w:rPr>
          <w:lang w:val="fr-FR"/>
        </w:rPr>
        <w:t xml:space="preserve"> les priorités du gouvernement.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A53845" w:rsidP="00DD6E7D">
      <w:pPr>
        <w:rPr>
          <w:lang w:val="fr-FR"/>
        </w:rPr>
      </w:pPr>
      <w:r w:rsidRPr="00D10D17">
        <w:rPr>
          <w:lang w:val="fr-FR"/>
        </w:rPr>
        <w:t>En avril 2014, une résolution du gouvernement portant sur un programme stratégique (2014</w:t>
      </w:r>
      <w:r w:rsidR="00455033" w:rsidRPr="00D10D17">
        <w:rPr>
          <w:lang w:val="fr-FR"/>
        </w:rPr>
        <w:t xml:space="preserve"> </w:t>
      </w:r>
      <w:r w:rsidR="00781C47">
        <w:rPr>
          <w:lang w:val="fr-FR"/>
        </w:rPr>
        <w:noBreakHyphen/>
      </w:r>
      <w:r w:rsidRPr="00D10D17">
        <w:rPr>
          <w:lang w:val="fr-FR"/>
        </w:rPr>
        <w:t>2020) relatif à la créat</w:t>
      </w:r>
      <w:r w:rsidR="00DD6E7D">
        <w:rPr>
          <w:lang w:val="fr-FR"/>
        </w:rPr>
        <w:t>ion de valeur</w:t>
      </w:r>
      <w:r w:rsidRPr="00D10D17">
        <w:rPr>
          <w:lang w:val="fr-FR"/>
        </w:rPr>
        <w:t xml:space="preserve"> incorporelle a été publi</w:t>
      </w:r>
      <w:r w:rsidR="00D10D17" w:rsidRPr="00D10D17">
        <w:rPr>
          <w:lang w:val="fr-FR"/>
        </w:rPr>
        <w:t>ée.  Ce</w:t>
      </w:r>
      <w:r w:rsidR="001B0FF0" w:rsidRPr="00D10D17">
        <w:rPr>
          <w:lang w:val="fr-FR"/>
        </w:rPr>
        <w:t xml:space="preserve"> </w:t>
      </w:r>
      <w:r w:rsidR="00455033" w:rsidRPr="00D10D17">
        <w:rPr>
          <w:lang w:val="fr-FR"/>
        </w:rPr>
        <w:t xml:space="preserve">programme comprend </w:t>
      </w:r>
      <w:r w:rsidR="001B0FF0" w:rsidRPr="00D10D17">
        <w:rPr>
          <w:lang w:val="fr-FR"/>
        </w:rPr>
        <w:t xml:space="preserve">des mesures </w:t>
      </w:r>
      <w:r w:rsidR="00DD6E7D">
        <w:rPr>
          <w:lang w:val="fr-FR"/>
        </w:rPr>
        <w:t>actualisées sur la politique à mener</w:t>
      </w:r>
      <w:r w:rsidR="001B0FF0" w:rsidRPr="00D10D17">
        <w:rPr>
          <w:lang w:val="fr-FR"/>
        </w:rPr>
        <w:t xml:space="preserve"> </w:t>
      </w:r>
      <w:r w:rsidR="006B2CC5" w:rsidRPr="00D10D17">
        <w:rPr>
          <w:lang w:val="fr-FR"/>
        </w:rPr>
        <w:t>dans le cadre de</w:t>
      </w:r>
      <w:r w:rsidR="001B0FF0" w:rsidRPr="00D10D17">
        <w:rPr>
          <w:lang w:val="fr-FR"/>
        </w:rPr>
        <w:t xml:space="preserve"> la stratégie nationale </w:t>
      </w:r>
      <w:r w:rsidR="00DD6E7D">
        <w:rPr>
          <w:lang w:val="fr-FR"/>
        </w:rPr>
        <w:t>en matière de</w:t>
      </w:r>
      <w:r w:rsidR="001B0FF0" w:rsidRPr="00D10D17">
        <w:rPr>
          <w:lang w:val="fr-FR"/>
        </w:rPr>
        <w:t xml:space="preserve"> droits de propriété intellectuelle, </w:t>
      </w:r>
      <w:r w:rsidR="006B2CC5" w:rsidRPr="00D10D17">
        <w:rPr>
          <w:lang w:val="fr-FR"/>
        </w:rPr>
        <w:t>des</w:t>
      </w:r>
      <w:r w:rsidR="001B0FF0" w:rsidRPr="00D10D17">
        <w:rPr>
          <w:lang w:val="fr-FR"/>
        </w:rPr>
        <w:t xml:space="preserve"> mesures</w:t>
      </w:r>
      <w:r w:rsidR="00455033" w:rsidRPr="00D10D17">
        <w:rPr>
          <w:lang w:val="fr-FR"/>
        </w:rPr>
        <w:t xml:space="preserve"> générales</w:t>
      </w:r>
      <w:r w:rsidR="001B0FF0" w:rsidRPr="00D10D17">
        <w:rPr>
          <w:lang w:val="fr-FR"/>
        </w:rPr>
        <w:t xml:space="preserve"> importantes </w:t>
      </w:r>
      <w:r w:rsidR="006B2CC5" w:rsidRPr="00D10D17">
        <w:rPr>
          <w:lang w:val="fr-FR"/>
        </w:rPr>
        <w:t>visant à</w:t>
      </w:r>
      <w:r w:rsidR="001B0FF0" w:rsidRPr="00D10D17">
        <w:rPr>
          <w:lang w:val="fr-FR"/>
        </w:rPr>
        <w:t xml:space="preserve"> promouvoir le commerce et </w:t>
      </w:r>
      <w:r w:rsidR="006B2CC5"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="006B2CC5" w:rsidRPr="00D10D17">
        <w:rPr>
          <w:lang w:val="fr-FR"/>
        </w:rPr>
        <w:t>esprit</w:t>
      </w:r>
      <w:r w:rsidR="001B0FF0" w:rsidRPr="00D10D17">
        <w:rPr>
          <w:lang w:val="fr-FR"/>
        </w:rPr>
        <w:t xml:space="preserve"> d</w:t>
      </w:r>
      <w:r w:rsidR="00111787" w:rsidRPr="00D10D17">
        <w:rPr>
          <w:lang w:val="fr-FR"/>
        </w:rPr>
        <w:t>’</w:t>
      </w:r>
      <w:r w:rsidR="001B0FF0" w:rsidRPr="00D10D17">
        <w:rPr>
          <w:lang w:val="fr-FR"/>
        </w:rPr>
        <w:t xml:space="preserve">entreprise dans les industries de la création et une </w:t>
      </w:r>
      <w:r w:rsidR="006B2CC5" w:rsidRPr="00D10D17">
        <w:rPr>
          <w:lang w:val="fr-FR"/>
        </w:rPr>
        <w:t xml:space="preserve">version actualisée </w:t>
      </w:r>
      <w:r w:rsidR="001B0FF0" w:rsidRPr="00D10D17">
        <w:rPr>
          <w:lang w:val="fr-FR"/>
        </w:rPr>
        <w:t xml:space="preserve">du programme national </w:t>
      </w:r>
      <w:r w:rsidR="00DD6E7D">
        <w:rPr>
          <w:lang w:val="fr-FR"/>
        </w:rPr>
        <w:t>en matière de design</w:t>
      </w:r>
      <w:r w:rsidR="001B0FF0" w:rsidRPr="00D10D17">
        <w:rPr>
          <w:lang w:val="fr-FR"/>
        </w:rPr>
        <w:t>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B0FF0" w:rsidP="00DD6E7D">
      <w:pPr>
        <w:rPr>
          <w:lang w:val="fr-FR"/>
        </w:rPr>
      </w:pPr>
      <w:r w:rsidRPr="00D10D17">
        <w:rPr>
          <w:lang w:val="fr-FR"/>
        </w:rPr>
        <w:t>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objectif du programme stratégique relatif à la création de valeur incorporelle est </w:t>
      </w:r>
      <w:r w:rsidR="00455033" w:rsidRPr="00D10D17">
        <w:rPr>
          <w:lang w:val="fr-FR"/>
        </w:rPr>
        <w:t>d</w:t>
      </w:r>
      <w:r w:rsidR="00111787" w:rsidRPr="00D10D17">
        <w:rPr>
          <w:lang w:val="fr-FR"/>
        </w:rPr>
        <w:t>’</w:t>
      </w:r>
      <w:r w:rsidR="00455033" w:rsidRPr="00D10D17">
        <w:rPr>
          <w:lang w:val="fr-FR"/>
        </w:rPr>
        <w:t>affiner</w:t>
      </w:r>
      <w:r w:rsidRPr="00D10D17">
        <w:rPr>
          <w:lang w:val="fr-FR"/>
        </w:rPr>
        <w:t xml:space="preserve"> les </w:t>
      </w:r>
      <w:r w:rsidR="006B2CC5" w:rsidRPr="00D10D17">
        <w:rPr>
          <w:lang w:val="fr-FR"/>
        </w:rPr>
        <w:t xml:space="preserve">critères </w:t>
      </w:r>
      <w:r w:rsidR="00455033" w:rsidRPr="00D10D17">
        <w:rPr>
          <w:lang w:val="fr-FR"/>
        </w:rPr>
        <w:t>applicables aux</w:t>
      </w:r>
      <w:r w:rsidRPr="00D10D17">
        <w:rPr>
          <w:lang w:val="fr-FR"/>
        </w:rPr>
        <w:t xml:space="preserve"> investissements immatériels, de renforcer les compétences liées à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 xml:space="preserve">utilisation du capital intellectuel et à la création de valeur incorporelle et de promouvoir le développement </w:t>
      </w:r>
      <w:r w:rsidR="006B2CC5" w:rsidRPr="00D10D17">
        <w:rPr>
          <w:lang w:val="fr-FR"/>
        </w:rPr>
        <w:t>d</w:t>
      </w:r>
      <w:r w:rsidR="00111787" w:rsidRPr="00D10D17">
        <w:rPr>
          <w:lang w:val="fr-FR"/>
        </w:rPr>
        <w:t>’</w:t>
      </w:r>
      <w:r w:rsidR="00DD6E7D">
        <w:rPr>
          <w:lang w:val="fr-FR"/>
        </w:rPr>
        <w:t>activité</w:t>
      </w:r>
      <w:r w:rsidR="006B2CC5" w:rsidRPr="00D10D17">
        <w:rPr>
          <w:lang w:val="fr-FR"/>
        </w:rPr>
        <w:t>s</w:t>
      </w:r>
      <w:r w:rsidRPr="00D10D17">
        <w:rPr>
          <w:lang w:val="fr-FR"/>
        </w:rPr>
        <w:t xml:space="preserve"> fondé</w:t>
      </w:r>
      <w:r w:rsidR="006B2CC5" w:rsidRPr="00D10D17">
        <w:rPr>
          <w:lang w:val="fr-FR"/>
        </w:rPr>
        <w:t>e</w:t>
      </w:r>
      <w:r w:rsidRPr="00D10D17">
        <w:rPr>
          <w:lang w:val="fr-FR"/>
        </w:rPr>
        <w:t>s sur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innovation en Finlande.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1B0FF0" w:rsidP="00DD6E7D">
      <w:pPr>
        <w:rPr>
          <w:lang w:val="fr-FR"/>
        </w:rPr>
      </w:pPr>
      <w:r w:rsidRPr="00D10D17">
        <w:rPr>
          <w:lang w:val="fr-FR"/>
        </w:rPr>
        <w:t>Le programme stratégique relatif à la création de valeur incorporelle sera utilisé pour guider les travaux des organismes publics dans le cadre des b</w:t>
      </w:r>
      <w:r w:rsidR="006B2CC5" w:rsidRPr="00D10D17">
        <w:rPr>
          <w:lang w:val="fr-FR"/>
        </w:rPr>
        <w:t>udgets des services concernés</w:t>
      </w:r>
      <w:r w:rsidRPr="00D10D17">
        <w:rPr>
          <w:lang w:val="fr-FR"/>
        </w:rPr>
        <w:t>.</w:t>
      </w:r>
    </w:p>
    <w:p w:rsidR="00974C5A" w:rsidRPr="00D10D17" w:rsidRDefault="004177F9" w:rsidP="00DD6E7D">
      <w:pPr>
        <w:pStyle w:val="SectionHeading"/>
        <w:rPr>
          <w:lang w:val="fr-FR"/>
        </w:rPr>
      </w:pPr>
      <w:r>
        <w:rPr>
          <w:lang w:val="fr-FR"/>
        </w:rPr>
        <w:t>6 – P</w:t>
      </w:r>
      <w:r w:rsidRPr="00D10D17">
        <w:rPr>
          <w:lang w:val="fr-FR"/>
        </w:rPr>
        <w:t>rofil des demandes de brevet</w:t>
      </w:r>
    </w:p>
    <w:p w:rsidR="005540D9" w:rsidRPr="00D10D17" w:rsidRDefault="001B0FF0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>Nombre de demandes nationales reçues – par domaine technique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540D9" w:rsidRPr="00D10D17" w:rsidTr="00CD3C88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974C5A" w:rsidRPr="00D10D17" w:rsidRDefault="00974C5A" w:rsidP="00DD6E7D">
            <w:pPr>
              <w:jc w:val="right"/>
              <w:rPr>
                <w:b/>
                <w:bCs/>
                <w:szCs w:val="22"/>
                <w:lang w:val="fr-FR"/>
              </w:rPr>
            </w:pPr>
          </w:p>
          <w:p w:rsidR="00974C5A" w:rsidRPr="00D10D17" w:rsidRDefault="001B0FF0" w:rsidP="00DD6E7D">
            <w:pPr>
              <w:jc w:val="right"/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Année</w:t>
            </w:r>
          </w:p>
          <w:p w:rsidR="005540D9" w:rsidRPr="00D10D17" w:rsidRDefault="001B0FF0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Domaine</w:t>
            </w:r>
            <w:r w:rsidR="004177F9">
              <w:rPr>
                <w:b/>
                <w:bCs/>
                <w:szCs w:val="22"/>
                <w:lang w:val="fr-FR"/>
              </w:rPr>
              <w:br/>
            </w:r>
            <w:r w:rsidRPr="00D10D17">
              <w:rPr>
                <w:b/>
                <w:bCs/>
                <w:szCs w:val="22"/>
                <w:lang w:val="fr-FR"/>
              </w:rPr>
              <w:t>technique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2016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Mécanique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841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731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706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674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623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Électricité/électronique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409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444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371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318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346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Chimie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447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415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362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334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309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Biotechnologie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130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147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106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90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90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5540D9" w:rsidP="00DD6E7D">
            <w:pPr>
              <w:rPr>
                <w:i/>
                <w:iCs/>
                <w:szCs w:val="22"/>
                <w:lang w:val="fr-FR"/>
              </w:rPr>
            </w:pPr>
            <w:r w:rsidRPr="00D10D17">
              <w:rPr>
                <w:i/>
                <w:iCs/>
                <w:szCs w:val="22"/>
                <w:lang w:val="fr-FR"/>
              </w:rPr>
              <w:t>Total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1 827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1 737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1 545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1 416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1 368</w:t>
            </w:r>
          </w:p>
        </w:tc>
      </w:tr>
    </w:tbl>
    <w:p w:rsidR="00974C5A" w:rsidRPr="00D10D17" w:rsidRDefault="00974C5A" w:rsidP="00DD6E7D">
      <w:pPr>
        <w:rPr>
          <w:szCs w:val="22"/>
          <w:lang w:val="fr-FR"/>
        </w:rPr>
      </w:pPr>
    </w:p>
    <w:p w:rsidR="005540D9" w:rsidRPr="00D10D17" w:rsidRDefault="001B0FF0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 xml:space="preserve">Nombre de demandes nationales reçues – par voie </w:t>
      </w:r>
      <w:r w:rsidR="006B2113" w:rsidRPr="00D10D17">
        <w:rPr>
          <w:b/>
          <w:bCs/>
          <w:szCs w:val="22"/>
          <w:lang w:val="fr-FR"/>
        </w:rPr>
        <w:t>de dépôt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540D9" w:rsidRPr="00D10D17" w:rsidTr="00CD3C88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974C5A" w:rsidRPr="00D10D17" w:rsidRDefault="00974C5A" w:rsidP="00DD6E7D">
            <w:pPr>
              <w:jc w:val="right"/>
              <w:rPr>
                <w:b/>
                <w:bCs/>
                <w:szCs w:val="22"/>
                <w:lang w:val="fr-FR"/>
              </w:rPr>
            </w:pPr>
          </w:p>
          <w:p w:rsidR="00974C5A" w:rsidRPr="00D10D17" w:rsidRDefault="001B0FF0" w:rsidP="00DD6E7D">
            <w:pPr>
              <w:jc w:val="right"/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Année</w:t>
            </w:r>
          </w:p>
          <w:p w:rsidR="005540D9" w:rsidRPr="00D10D17" w:rsidRDefault="001B0FF0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Voie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2016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Premier dépôt national/priorité interne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1 740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1 639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1 474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1 333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1 313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6B2113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Priorité selon la Convention de Paris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87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98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71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83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55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Entrée dans la phase nationale</w:t>
            </w:r>
            <w:r w:rsidR="00111787" w:rsidRPr="00D10D17">
              <w:rPr>
                <w:szCs w:val="22"/>
                <w:lang w:val="fr-FR"/>
              </w:rPr>
              <w:t xml:space="preserve"> du PCT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47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38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41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43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27</w:t>
            </w:r>
          </w:p>
        </w:tc>
      </w:tr>
    </w:tbl>
    <w:p w:rsidR="00974C5A" w:rsidRPr="00D10D17" w:rsidRDefault="00974C5A" w:rsidP="00DD6E7D">
      <w:pPr>
        <w:rPr>
          <w:szCs w:val="22"/>
          <w:lang w:val="fr-FR"/>
        </w:rPr>
      </w:pPr>
    </w:p>
    <w:p w:rsidR="005540D9" w:rsidRPr="00D10D17" w:rsidRDefault="001B0FF0" w:rsidP="00DD6E7D">
      <w:pPr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 xml:space="preserve">Nombre de demandes internationales </w:t>
      </w:r>
      <w:r w:rsidR="006B2113" w:rsidRPr="00D10D17">
        <w:rPr>
          <w:b/>
          <w:bCs/>
          <w:szCs w:val="22"/>
          <w:lang w:val="fr-FR"/>
        </w:rPr>
        <w:t>reçues en tant qu</w:t>
      </w:r>
      <w:r w:rsidR="00111787" w:rsidRPr="00D10D17">
        <w:rPr>
          <w:b/>
          <w:bCs/>
          <w:szCs w:val="22"/>
          <w:lang w:val="fr-FR"/>
        </w:rPr>
        <w:t>’</w:t>
      </w:r>
      <w:r w:rsidRPr="00D10D17">
        <w:rPr>
          <w:b/>
          <w:bCs/>
          <w:szCs w:val="22"/>
          <w:lang w:val="fr-FR"/>
        </w:rPr>
        <w:t>office récepteur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540D9" w:rsidRPr="00D10D17" w:rsidTr="00CD3C88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974C5A" w:rsidRPr="00D10D17" w:rsidRDefault="00974C5A" w:rsidP="00DD6E7D">
            <w:pPr>
              <w:jc w:val="right"/>
              <w:rPr>
                <w:b/>
                <w:bCs/>
                <w:szCs w:val="22"/>
                <w:lang w:val="fr-FR"/>
              </w:rPr>
            </w:pPr>
          </w:p>
          <w:p w:rsidR="00974C5A" w:rsidRPr="00D10D17" w:rsidRDefault="001B0FF0" w:rsidP="00DD6E7D">
            <w:pPr>
              <w:jc w:val="right"/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Année</w:t>
            </w:r>
          </w:p>
          <w:p w:rsidR="005540D9" w:rsidRPr="00D10D17" w:rsidRDefault="001B0FF0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Domaine</w:t>
            </w:r>
            <w:r w:rsidR="004177F9">
              <w:rPr>
                <w:b/>
                <w:bCs/>
                <w:szCs w:val="22"/>
                <w:lang w:val="fr-FR"/>
              </w:rPr>
              <w:br/>
            </w:r>
            <w:r w:rsidRPr="00D10D17">
              <w:rPr>
                <w:b/>
                <w:bCs/>
                <w:szCs w:val="22"/>
                <w:lang w:val="fr-FR"/>
              </w:rPr>
              <w:t>technique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74C5A" w:rsidRPr="00D10D17" w:rsidRDefault="00974C5A" w:rsidP="00DD6E7D">
            <w:pPr>
              <w:jc w:val="center"/>
              <w:rPr>
                <w:szCs w:val="22"/>
                <w:lang w:val="fr-FR"/>
              </w:rPr>
            </w:pPr>
          </w:p>
          <w:p w:rsidR="00974C5A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2014</w:t>
            </w:r>
          </w:p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540D9" w:rsidRPr="00D10D17" w:rsidRDefault="005540D9" w:rsidP="00DD6E7D">
            <w:pPr>
              <w:jc w:val="center"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2016</w:t>
            </w: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Mécanique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Électricité/électronique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Chimie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1B0FF0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Biotechnologie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rPr>
                <w:lang w:val="fr-FR"/>
              </w:rPr>
            </w:pPr>
          </w:p>
        </w:tc>
      </w:tr>
      <w:tr w:rsidR="005540D9" w:rsidRPr="00D10D17" w:rsidTr="00CD3C88">
        <w:trPr>
          <w:cantSplit/>
        </w:trPr>
        <w:tc>
          <w:tcPr>
            <w:tcW w:w="2518" w:type="dxa"/>
            <w:shd w:val="clear" w:color="auto" w:fill="auto"/>
          </w:tcPr>
          <w:p w:rsidR="005540D9" w:rsidRPr="00D10D17" w:rsidRDefault="005540D9" w:rsidP="00DD6E7D">
            <w:pPr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Total</w:t>
            </w:r>
          </w:p>
        </w:tc>
        <w:tc>
          <w:tcPr>
            <w:tcW w:w="1360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1 358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1 265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1 112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1B0FF0" w:rsidP="00DD6E7D">
            <w:pPr>
              <w:ind w:right="260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1 005</w:t>
            </w:r>
          </w:p>
        </w:tc>
        <w:tc>
          <w:tcPr>
            <w:tcW w:w="1361" w:type="dxa"/>
            <w:shd w:val="clear" w:color="auto" w:fill="auto"/>
          </w:tcPr>
          <w:p w:rsidR="005540D9" w:rsidRPr="00D10D17" w:rsidRDefault="005540D9" w:rsidP="00DD6E7D">
            <w:pPr>
              <w:ind w:right="260"/>
              <w:jc w:val="right"/>
              <w:rPr>
                <w:i/>
                <w:lang w:val="fr-FR"/>
              </w:rPr>
            </w:pPr>
            <w:r w:rsidRPr="00D10D17">
              <w:rPr>
                <w:i/>
                <w:lang w:val="fr-FR"/>
              </w:rPr>
              <w:t>969</w:t>
            </w:r>
          </w:p>
        </w:tc>
      </w:tr>
    </w:tbl>
    <w:p w:rsidR="00974C5A" w:rsidRPr="00D10D17" w:rsidRDefault="00974C5A" w:rsidP="00DD6E7D">
      <w:pPr>
        <w:rPr>
          <w:b/>
          <w:szCs w:val="22"/>
          <w:lang w:val="fr-FR"/>
        </w:rPr>
      </w:pPr>
    </w:p>
    <w:p w:rsidR="00111787" w:rsidRPr="00D10D17" w:rsidRDefault="00974C5A" w:rsidP="00DD6E7D">
      <w:pPr>
        <w:rPr>
          <w:b/>
          <w:szCs w:val="22"/>
          <w:lang w:val="fr-FR"/>
        </w:rPr>
      </w:pPr>
      <w:r w:rsidRPr="00D10D17">
        <w:rPr>
          <w:b/>
          <w:szCs w:val="22"/>
          <w:lang w:val="fr-FR"/>
        </w:rPr>
        <w:t>Principaux offices/</w:t>
      </w:r>
      <w:r w:rsidR="006B2113" w:rsidRPr="00D10D17">
        <w:rPr>
          <w:b/>
          <w:szCs w:val="22"/>
          <w:lang w:val="fr-FR"/>
        </w:rPr>
        <w:t>É</w:t>
      </w:r>
      <w:r w:rsidRPr="00D10D17">
        <w:rPr>
          <w:b/>
          <w:szCs w:val="22"/>
          <w:lang w:val="fr-FR"/>
        </w:rPr>
        <w:t xml:space="preserve">tats </w:t>
      </w:r>
      <w:r w:rsidR="000C71EB" w:rsidRPr="00D10D17">
        <w:rPr>
          <w:b/>
          <w:szCs w:val="22"/>
          <w:lang w:val="fr-FR"/>
        </w:rPr>
        <w:t>faisant l</w:t>
      </w:r>
      <w:r w:rsidR="00111787" w:rsidRPr="00D10D17">
        <w:rPr>
          <w:b/>
          <w:szCs w:val="22"/>
          <w:lang w:val="fr-FR"/>
        </w:rPr>
        <w:t>’</w:t>
      </w:r>
      <w:r w:rsidR="000C71EB" w:rsidRPr="00D10D17">
        <w:rPr>
          <w:b/>
          <w:szCs w:val="22"/>
          <w:lang w:val="fr-FR"/>
        </w:rPr>
        <w:t>objet d</w:t>
      </w:r>
      <w:r w:rsidR="00111787" w:rsidRPr="00D10D17">
        <w:rPr>
          <w:b/>
          <w:szCs w:val="22"/>
          <w:lang w:val="fr-FR"/>
        </w:rPr>
        <w:t>’</w:t>
      </w:r>
      <w:r w:rsidR="000C71EB" w:rsidRPr="00D10D17">
        <w:rPr>
          <w:b/>
          <w:szCs w:val="22"/>
          <w:lang w:val="fr-FR"/>
        </w:rPr>
        <w:t>une</w:t>
      </w:r>
      <w:r w:rsidRPr="00D10D17">
        <w:rPr>
          <w:b/>
          <w:szCs w:val="22"/>
          <w:lang w:val="fr-FR"/>
        </w:rPr>
        <w:t xml:space="preserve"> revendi</w:t>
      </w:r>
      <w:r w:rsidR="000C71EB" w:rsidRPr="00D10D17">
        <w:rPr>
          <w:b/>
          <w:szCs w:val="22"/>
          <w:lang w:val="fr-FR"/>
        </w:rPr>
        <w:t>cation de priorité dans les</w:t>
      </w:r>
      <w:r w:rsidRPr="00D10D17">
        <w:rPr>
          <w:b/>
          <w:szCs w:val="22"/>
          <w:lang w:val="fr-FR"/>
        </w:rPr>
        <w:t xml:space="preserve"> demandes nationales</w:t>
      </w:r>
      <w:r w:rsidR="00111787" w:rsidRPr="00D10D17">
        <w:rPr>
          <w:b/>
          <w:szCs w:val="22"/>
          <w:lang w:val="fr-FR"/>
        </w:rPr>
        <w:t> :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5540D9" w:rsidP="00DD6E7D">
      <w:pPr>
        <w:rPr>
          <w:lang w:val="fr-FR"/>
        </w:rPr>
      </w:pPr>
      <w:r w:rsidRPr="00D10D17">
        <w:rPr>
          <w:lang w:val="fr-FR"/>
        </w:rPr>
        <w:t>WO, EP, US, DE, CN, CA</w:t>
      </w:r>
    </w:p>
    <w:p w:rsidR="00974C5A" w:rsidRPr="00D10D17" w:rsidRDefault="00974C5A" w:rsidP="00DD6E7D">
      <w:pPr>
        <w:rPr>
          <w:lang w:val="fr-FR"/>
        </w:rPr>
      </w:pPr>
    </w:p>
    <w:p w:rsidR="005540D9" w:rsidRPr="00D10D17" w:rsidRDefault="00E673CB" w:rsidP="00DD6E7D">
      <w:pPr>
        <w:rPr>
          <w:b/>
          <w:bCs/>
          <w:szCs w:val="22"/>
          <w:lang w:val="fr-FR"/>
        </w:rPr>
      </w:pPr>
      <w:r>
        <w:rPr>
          <w:b/>
          <w:bCs/>
          <w:szCs w:val="22"/>
          <w:lang w:val="fr-FR"/>
        </w:rPr>
        <w:t>Délai</w:t>
      </w:r>
      <w:r w:rsidR="00974C5A" w:rsidRPr="00D10D17">
        <w:rPr>
          <w:b/>
          <w:bCs/>
          <w:szCs w:val="22"/>
          <w:lang w:val="fr-FR"/>
        </w:rPr>
        <w:t xml:space="preserve"> moyen </w:t>
      </w:r>
      <w:r>
        <w:rPr>
          <w:b/>
          <w:bCs/>
          <w:szCs w:val="22"/>
          <w:lang w:val="fr-FR"/>
        </w:rPr>
        <w:t xml:space="preserve">d’instruction des demandes de </w:t>
      </w:r>
      <w:r w:rsidR="006B2113" w:rsidRPr="00D10D17">
        <w:rPr>
          <w:b/>
          <w:bCs/>
          <w:szCs w:val="22"/>
          <w:lang w:val="fr-FR"/>
        </w:rPr>
        <w:t xml:space="preserve">brevet </w:t>
      </w:r>
      <w:r w:rsidR="00974C5A" w:rsidRPr="00D10D17">
        <w:rPr>
          <w:b/>
          <w:bCs/>
          <w:szCs w:val="22"/>
          <w:lang w:val="fr-FR"/>
        </w:rPr>
        <w:t>national</w:t>
      </w:r>
      <w:r>
        <w:rPr>
          <w:b/>
          <w:bCs/>
          <w:szCs w:val="22"/>
          <w:lang w:val="fr-FR"/>
        </w:rPr>
        <w:t>es</w:t>
      </w:r>
      <w:r w:rsidR="00974C5A" w:rsidRPr="00D10D17">
        <w:rPr>
          <w:b/>
          <w:bCs/>
          <w:szCs w:val="22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118"/>
      </w:tblGrid>
      <w:tr w:rsidR="005540D9" w:rsidRPr="00D10D17" w:rsidTr="004177F9">
        <w:trPr>
          <w:cantSplit/>
        </w:trPr>
        <w:tc>
          <w:tcPr>
            <w:tcW w:w="2802" w:type="dxa"/>
            <w:shd w:val="clear" w:color="auto" w:fill="auto"/>
          </w:tcPr>
          <w:p w:rsidR="005540D9" w:rsidRPr="00D10D17" w:rsidRDefault="00974C5A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Indicateur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974C5A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À compter de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974C5A" w:rsidP="00DD6E7D">
            <w:pPr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Délai (mois)</w:t>
            </w:r>
          </w:p>
        </w:tc>
      </w:tr>
      <w:tr w:rsidR="005540D9" w:rsidRPr="00D10D17" w:rsidTr="004177F9">
        <w:trPr>
          <w:cantSplit/>
        </w:trPr>
        <w:tc>
          <w:tcPr>
            <w:tcW w:w="2802" w:type="dxa"/>
            <w:shd w:val="clear" w:color="auto" w:fill="auto"/>
          </w:tcPr>
          <w:p w:rsidR="005540D9" w:rsidRPr="00D10D17" w:rsidRDefault="006B2113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Jusqu</w:t>
            </w:r>
            <w:r w:rsidR="00111787" w:rsidRPr="00D10D17">
              <w:rPr>
                <w:szCs w:val="22"/>
                <w:lang w:val="fr-FR"/>
              </w:rPr>
              <w:t>’</w:t>
            </w:r>
            <w:r w:rsidRPr="00D10D17">
              <w:rPr>
                <w:szCs w:val="22"/>
                <w:lang w:val="fr-FR"/>
              </w:rPr>
              <w:t>à la r</w:t>
            </w:r>
            <w:r w:rsidR="00974C5A" w:rsidRPr="00D10D17">
              <w:rPr>
                <w:szCs w:val="22"/>
                <w:lang w:val="fr-FR"/>
              </w:rPr>
              <w:t>echerche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974C5A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Dépôt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5540D9" w:rsidP="00DD6E7D">
            <w:pPr>
              <w:ind w:right="2082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 xml:space="preserve">6 </w:t>
            </w:r>
          </w:p>
        </w:tc>
      </w:tr>
      <w:tr w:rsidR="005540D9" w:rsidRPr="00D10D17" w:rsidTr="004177F9">
        <w:trPr>
          <w:cantSplit/>
        </w:trPr>
        <w:tc>
          <w:tcPr>
            <w:tcW w:w="2802" w:type="dxa"/>
            <w:shd w:val="clear" w:color="auto" w:fill="auto"/>
          </w:tcPr>
          <w:p w:rsidR="005540D9" w:rsidRPr="00D10D17" w:rsidRDefault="00974C5A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Jusqu</w:t>
            </w:r>
            <w:r w:rsidR="00111787" w:rsidRPr="00D10D17">
              <w:rPr>
                <w:szCs w:val="22"/>
                <w:lang w:val="fr-FR"/>
              </w:rPr>
              <w:t>’</w:t>
            </w:r>
            <w:r w:rsidRPr="00D10D17">
              <w:rPr>
                <w:szCs w:val="22"/>
                <w:lang w:val="fr-FR"/>
              </w:rPr>
              <w:t>au premier examen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974C5A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Dépôt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5540D9" w:rsidP="00DD6E7D">
            <w:pPr>
              <w:ind w:right="2082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 xml:space="preserve">6 </w:t>
            </w:r>
          </w:p>
        </w:tc>
      </w:tr>
      <w:tr w:rsidR="005540D9" w:rsidRPr="00D10D17" w:rsidTr="004177F9">
        <w:trPr>
          <w:cantSplit/>
          <w:trHeight w:val="174"/>
        </w:trPr>
        <w:tc>
          <w:tcPr>
            <w:tcW w:w="2802" w:type="dxa"/>
            <w:shd w:val="clear" w:color="auto" w:fill="auto"/>
          </w:tcPr>
          <w:p w:rsidR="005540D9" w:rsidRPr="00D10D17" w:rsidRDefault="00974C5A" w:rsidP="00DD6E7D">
            <w:pPr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Jusqu</w:t>
            </w:r>
            <w:r w:rsidR="00111787" w:rsidRPr="00D10D17">
              <w:rPr>
                <w:szCs w:val="22"/>
                <w:lang w:val="fr-FR"/>
              </w:rPr>
              <w:t>’</w:t>
            </w:r>
            <w:r w:rsidRPr="00D10D17">
              <w:rPr>
                <w:szCs w:val="22"/>
                <w:lang w:val="fr-FR"/>
              </w:rPr>
              <w:t>à la délivrance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974C5A" w:rsidP="00DD6E7D">
            <w:pPr>
              <w:rPr>
                <w:lang w:val="fr-FR"/>
              </w:rPr>
            </w:pPr>
            <w:r w:rsidRPr="00D10D17">
              <w:rPr>
                <w:lang w:val="fr-FR"/>
              </w:rPr>
              <w:t>Dépôt</w:t>
            </w:r>
          </w:p>
        </w:tc>
        <w:tc>
          <w:tcPr>
            <w:tcW w:w="3118" w:type="dxa"/>
            <w:shd w:val="clear" w:color="auto" w:fill="auto"/>
          </w:tcPr>
          <w:p w:rsidR="005540D9" w:rsidRPr="00D10D17" w:rsidRDefault="005540D9" w:rsidP="00DD6E7D">
            <w:pPr>
              <w:ind w:right="2082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38</w:t>
            </w:r>
          </w:p>
        </w:tc>
      </w:tr>
    </w:tbl>
    <w:p w:rsidR="00974C5A" w:rsidRPr="00D10D17" w:rsidRDefault="00974C5A" w:rsidP="00DD6E7D">
      <w:pPr>
        <w:keepNext/>
        <w:keepLines/>
        <w:rPr>
          <w:bCs/>
          <w:szCs w:val="22"/>
          <w:lang w:val="fr-FR"/>
        </w:rPr>
      </w:pPr>
    </w:p>
    <w:p w:rsidR="005540D9" w:rsidRPr="00D10D17" w:rsidRDefault="00974C5A" w:rsidP="00DD6E7D">
      <w:pPr>
        <w:keepNext/>
        <w:keepLines/>
        <w:rPr>
          <w:b/>
          <w:bCs/>
          <w:szCs w:val="22"/>
          <w:lang w:val="fr-FR"/>
        </w:rPr>
      </w:pPr>
      <w:r w:rsidRPr="00D10D17">
        <w:rPr>
          <w:b/>
          <w:bCs/>
          <w:szCs w:val="22"/>
          <w:lang w:val="fr-FR"/>
        </w:rPr>
        <w:t xml:space="preserve">Demandes nationales en attente </w:t>
      </w:r>
      <w:r w:rsidR="00E673CB">
        <w:rPr>
          <w:b/>
          <w:bCs/>
          <w:szCs w:val="22"/>
          <w:lang w:val="fr-FR"/>
        </w:rPr>
        <w:t>de traitement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403"/>
      </w:tblGrid>
      <w:tr w:rsidR="005540D9" w:rsidRPr="00D10D17" w:rsidTr="00CD3C88">
        <w:trPr>
          <w:cantSplit/>
        </w:trPr>
        <w:tc>
          <w:tcPr>
            <w:tcW w:w="4643" w:type="dxa"/>
            <w:shd w:val="clear" w:color="auto" w:fill="auto"/>
          </w:tcPr>
          <w:p w:rsidR="005540D9" w:rsidRPr="00D10D17" w:rsidRDefault="00980F96" w:rsidP="00DD6E7D">
            <w:pPr>
              <w:keepNext/>
              <w:keepLines/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Évaluation</w:t>
            </w:r>
          </w:p>
        </w:tc>
        <w:tc>
          <w:tcPr>
            <w:tcW w:w="3403" w:type="dxa"/>
            <w:shd w:val="clear" w:color="auto" w:fill="auto"/>
          </w:tcPr>
          <w:p w:rsidR="005540D9" w:rsidRPr="00D10D17" w:rsidRDefault="00974C5A" w:rsidP="00DD6E7D">
            <w:pPr>
              <w:keepNext/>
              <w:keepLines/>
              <w:rPr>
                <w:b/>
                <w:bCs/>
                <w:szCs w:val="22"/>
                <w:lang w:val="fr-FR"/>
              </w:rPr>
            </w:pPr>
            <w:r w:rsidRPr="00D10D17">
              <w:rPr>
                <w:b/>
                <w:bCs/>
                <w:szCs w:val="22"/>
                <w:lang w:val="fr-FR"/>
              </w:rPr>
              <w:t>Nombre de demandes</w:t>
            </w:r>
          </w:p>
        </w:tc>
      </w:tr>
      <w:tr w:rsidR="005540D9" w:rsidRPr="00D10D17" w:rsidTr="00CD3C88">
        <w:trPr>
          <w:cantSplit/>
        </w:trPr>
        <w:tc>
          <w:tcPr>
            <w:tcW w:w="4643" w:type="dxa"/>
            <w:shd w:val="clear" w:color="auto" w:fill="auto"/>
          </w:tcPr>
          <w:p w:rsidR="005540D9" w:rsidRPr="00D10D17" w:rsidRDefault="00974C5A" w:rsidP="00DD6E7D">
            <w:pPr>
              <w:keepNext/>
              <w:keepLines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Toutes les demandes en instance</w:t>
            </w:r>
          </w:p>
        </w:tc>
        <w:tc>
          <w:tcPr>
            <w:tcW w:w="3403" w:type="dxa"/>
            <w:shd w:val="clear" w:color="auto" w:fill="auto"/>
          </w:tcPr>
          <w:p w:rsidR="005540D9" w:rsidRPr="00D10D17" w:rsidRDefault="00974C5A" w:rsidP="00DD6E7D">
            <w:pPr>
              <w:ind w:right="1309"/>
              <w:jc w:val="right"/>
              <w:rPr>
                <w:highlight w:val="yellow"/>
                <w:lang w:val="fr-FR"/>
              </w:rPr>
            </w:pPr>
            <w:r w:rsidRPr="00D10D17">
              <w:rPr>
                <w:lang w:val="fr-FR"/>
              </w:rPr>
              <w:t>3 300</w:t>
            </w:r>
          </w:p>
        </w:tc>
      </w:tr>
      <w:tr w:rsidR="005540D9" w:rsidRPr="00D10D17" w:rsidTr="00CD3C88">
        <w:trPr>
          <w:cantSplit/>
        </w:trPr>
        <w:tc>
          <w:tcPr>
            <w:tcW w:w="4643" w:type="dxa"/>
            <w:shd w:val="clear" w:color="auto" w:fill="auto"/>
          </w:tcPr>
          <w:p w:rsidR="005540D9" w:rsidRPr="00D10D17" w:rsidRDefault="00974C5A" w:rsidP="00DD6E7D">
            <w:pPr>
              <w:keepNext/>
              <w:keepLines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 xml:space="preserve">Demandes en attente de la recherche (taxes </w:t>
            </w:r>
            <w:r w:rsidR="006B2113" w:rsidRPr="00D10D17">
              <w:rPr>
                <w:szCs w:val="22"/>
                <w:lang w:val="fr-FR"/>
              </w:rPr>
              <w:t>correspondantes payées</w:t>
            </w:r>
            <w:r w:rsidRPr="00D10D17">
              <w:rPr>
                <w:szCs w:val="22"/>
                <w:lang w:val="fr-FR"/>
              </w:rPr>
              <w:t>)</w:t>
            </w:r>
          </w:p>
        </w:tc>
        <w:tc>
          <w:tcPr>
            <w:tcW w:w="3403" w:type="dxa"/>
            <w:shd w:val="clear" w:color="auto" w:fill="auto"/>
          </w:tcPr>
          <w:p w:rsidR="005540D9" w:rsidRPr="00D10D17" w:rsidRDefault="005540D9" w:rsidP="00DD6E7D">
            <w:pPr>
              <w:ind w:right="130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555</w:t>
            </w:r>
          </w:p>
        </w:tc>
      </w:tr>
      <w:tr w:rsidR="005540D9" w:rsidRPr="00D10D17" w:rsidTr="00CD3C88">
        <w:trPr>
          <w:cantSplit/>
        </w:trPr>
        <w:tc>
          <w:tcPr>
            <w:tcW w:w="4643" w:type="dxa"/>
            <w:shd w:val="clear" w:color="auto" w:fill="auto"/>
          </w:tcPr>
          <w:p w:rsidR="005540D9" w:rsidRPr="00D10D17" w:rsidRDefault="00974C5A" w:rsidP="00DD6E7D">
            <w:pPr>
              <w:keepLines/>
              <w:rPr>
                <w:szCs w:val="22"/>
                <w:lang w:val="fr-FR"/>
              </w:rPr>
            </w:pPr>
            <w:r w:rsidRPr="00D10D17">
              <w:rPr>
                <w:szCs w:val="22"/>
                <w:lang w:val="fr-FR"/>
              </w:rPr>
              <w:t>Demandes en attente du premier examen (</w:t>
            </w:r>
            <w:r w:rsidR="006B2113" w:rsidRPr="00D10D17">
              <w:rPr>
                <w:szCs w:val="22"/>
                <w:lang w:val="fr-FR"/>
              </w:rPr>
              <w:t>taxes correspondantes payées</w:t>
            </w:r>
            <w:r w:rsidRPr="00D10D17">
              <w:rPr>
                <w:szCs w:val="22"/>
                <w:lang w:val="fr-FR"/>
              </w:rPr>
              <w:t>)</w:t>
            </w:r>
          </w:p>
        </w:tc>
        <w:tc>
          <w:tcPr>
            <w:tcW w:w="3403" w:type="dxa"/>
            <w:shd w:val="clear" w:color="auto" w:fill="auto"/>
          </w:tcPr>
          <w:p w:rsidR="005540D9" w:rsidRPr="00D10D17" w:rsidRDefault="005540D9" w:rsidP="00DD6E7D">
            <w:pPr>
              <w:ind w:right="1309"/>
              <w:jc w:val="right"/>
              <w:rPr>
                <w:lang w:val="fr-FR"/>
              </w:rPr>
            </w:pPr>
            <w:r w:rsidRPr="00D10D17">
              <w:rPr>
                <w:lang w:val="fr-FR"/>
              </w:rPr>
              <w:t>555</w:t>
            </w:r>
          </w:p>
        </w:tc>
      </w:tr>
    </w:tbl>
    <w:p w:rsidR="00974C5A" w:rsidRPr="00D10D17" w:rsidRDefault="00974C5A" w:rsidP="00DD6E7D">
      <w:pPr>
        <w:pStyle w:val="SectionHeading"/>
        <w:rPr>
          <w:lang w:val="fr-FR"/>
        </w:rPr>
      </w:pPr>
      <w:r w:rsidRPr="00D10D17">
        <w:rPr>
          <w:lang w:val="fr-FR"/>
        </w:rPr>
        <w:t xml:space="preserve">7 – Appui </w:t>
      </w:r>
      <w:r w:rsidR="004177F9">
        <w:rPr>
          <w:lang w:val="fr-FR"/>
        </w:rPr>
        <w:t>né</w:t>
      </w:r>
      <w:r w:rsidR="00980F96" w:rsidRPr="00D10D17">
        <w:rPr>
          <w:lang w:val="fr-FR"/>
        </w:rPr>
        <w:t>cessaire</w:t>
      </w:r>
    </w:p>
    <w:p w:rsidR="00974C5A" w:rsidRPr="00D10D17" w:rsidRDefault="0039492C" w:rsidP="00DD6E7D">
      <w:pPr>
        <w:rPr>
          <w:lang w:val="fr-FR"/>
        </w:rPr>
      </w:pPr>
      <w:r>
        <w:rPr>
          <w:lang w:val="fr-FR"/>
        </w:rPr>
        <w:t>Sans objet</w:t>
      </w:r>
      <w:r w:rsidR="00974C5A" w:rsidRPr="00D10D17">
        <w:rPr>
          <w:lang w:val="fr-FR"/>
        </w:rPr>
        <w:t>.</w:t>
      </w:r>
    </w:p>
    <w:p w:rsidR="00974C5A" w:rsidRPr="00D10D17" w:rsidRDefault="00974C5A" w:rsidP="00DD6E7D">
      <w:pPr>
        <w:pStyle w:val="SectionHeading"/>
        <w:rPr>
          <w:lang w:val="fr-FR"/>
        </w:rPr>
      </w:pPr>
      <w:r w:rsidRPr="00D10D17">
        <w:rPr>
          <w:lang w:val="fr-FR"/>
        </w:rPr>
        <w:t>8 – A</w:t>
      </w:r>
      <w:r w:rsidR="004177F9">
        <w:rPr>
          <w:lang w:val="fr-FR"/>
        </w:rPr>
        <w:t>utre</w:t>
      </w:r>
    </w:p>
    <w:p w:rsidR="00974C5A" w:rsidRPr="00D10D17" w:rsidRDefault="0039492C" w:rsidP="00DD6E7D">
      <w:pPr>
        <w:rPr>
          <w:szCs w:val="22"/>
          <w:lang w:val="fr-FR"/>
        </w:rPr>
      </w:pPr>
      <w:r>
        <w:rPr>
          <w:szCs w:val="22"/>
          <w:lang w:val="fr-FR"/>
        </w:rPr>
        <w:t>Sans objet</w:t>
      </w:r>
      <w:r w:rsidR="00974C5A" w:rsidRPr="00D10D17">
        <w:rPr>
          <w:szCs w:val="22"/>
          <w:lang w:val="fr-FR"/>
        </w:rPr>
        <w:t>.</w:t>
      </w:r>
    </w:p>
    <w:p w:rsidR="00974C5A" w:rsidRPr="00D10D17" w:rsidRDefault="00974C5A" w:rsidP="00DD6E7D">
      <w:pPr>
        <w:pStyle w:val="SectionHeading"/>
        <w:rPr>
          <w:lang w:val="fr-FR"/>
        </w:rPr>
      </w:pPr>
      <w:r w:rsidRPr="00D10D17">
        <w:rPr>
          <w:lang w:val="fr-FR"/>
        </w:rPr>
        <w:t>9 – Évaluation par d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autres administrations</w:t>
      </w:r>
    </w:p>
    <w:p w:rsidR="00974C5A" w:rsidRPr="00D10D17" w:rsidRDefault="0039492C" w:rsidP="00DD6E7D">
      <w:pPr>
        <w:rPr>
          <w:lang w:val="fr-FR"/>
        </w:rPr>
      </w:pPr>
      <w:r>
        <w:rPr>
          <w:lang w:val="fr-FR"/>
        </w:rPr>
        <w:t>Sans objet</w:t>
      </w:r>
      <w:r w:rsidR="00974C5A" w:rsidRPr="00D10D17">
        <w:rPr>
          <w:lang w:val="fr-FR"/>
        </w:rPr>
        <w:t>.</w:t>
      </w: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974C5A" w:rsidRPr="00D10D17" w:rsidRDefault="00974C5A" w:rsidP="00DD6E7D">
      <w:pPr>
        <w:rPr>
          <w:lang w:val="fr-FR"/>
        </w:rPr>
      </w:pPr>
    </w:p>
    <w:p w:rsidR="00DD6E7D" w:rsidRPr="00D10D17" w:rsidRDefault="00974C5A">
      <w:pPr>
        <w:pStyle w:val="Endofdocument-Annex"/>
        <w:rPr>
          <w:lang w:val="fr-FR"/>
        </w:rPr>
      </w:pPr>
      <w:r w:rsidRPr="00D10D17">
        <w:rPr>
          <w:lang w:val="fr-FR"/>
        </w:rPr>
        <w:t>[Fin de l</w:t>
      </w:r>
      <w:r w:rsidR="00111787" w:rsidRPr="00D10D17">
        <w:rPr>
          <w:lang w:val="fr-FR"/>
        </w:rPr>
        <w:t>’</w:t>
      </w:r>
      <w:r w:rsidRPr="00D10D17">
        <w:rPr>
          <w:lang w:val="fr-FR"/>
        </w:rPr>
        <w:t>annexe et du document]</w:t>
      </w:r>
    </w:p>
    <w:sectPr w:rsidR="00DD6E7D" w:rsidRPr="00D10D17" w:rsidSect="0011178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47" w:rsidRDefault="00781C47">
      <w:r>
        <w:separator/>
      </w:r>
    </w:p>
  </w:endnote>
  <w:endnote w:type="continuationSeparator" w:id="0">
    <w:p w:rsidR="00781C47" w:rsidRDefault="00781C47" w:rsidP="003B38C1">
      <w:r>
        <w:separator/>
      </w:r>
    </w:p>
    <w:p w:rsidR="00781C47" w:rsidRPr="003B38C1" w:rsidRDefault="00781C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1C47" w:rsidRPr="003B38C1" w:rsidRDefault="00781C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47" w:rsidRDefault="00781C47">
      <w:r>
        <w:separator/>
      </w:r>
    </w:p>
  </w:footnote>
  <w:footnote w:type="continuationSeparator" w:id="0">
    <w:p w:rsidR="00781C47" w:rsidRDefault="00781C47" w:rsidP="008B60B2">
      <w:r>
        <w:separator/>
      </w:r>
    </w:p>
    <w:p w:rsidR="00781C47" w:rsidRPr="00ED77FB" w:rsidRDefault="00781C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1C47" w:rsidRPr="00ED77FB" w:rsidRDefault="00781C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47" w:rsidRDefault="00781C47" w:rsidP="00477D6B">
    <w:pPr>
      <w:jc w:val="right"/>
    </w:pPr>
    <w:bookmarkStart w:id="7" w:name="Code2"/>
    <w:bookmarkEnd w:id="7"/>
    <w:r>
      <w:t>PCT/CTC/30/12</w:t>
    </w:r>
  </w:p>
  <w:p w:rsidR="00781C47" w:rsidRDefault="00781C47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DD6E7D">
      <w:rPr>
        <w:noProof/>
      </w:rPr>
      <w:t>2</w:t>
    </w:r>
    <w:r>
      <w:fldChar w:fldCharType="end"/>
    </w:r>
  </w:p>
  <w:p w:rsidR="00781C47" w:rsidRDefault="00781C4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47" w:rsidRPr="00AA5F79" w:rsidRDefault="00781C47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/12</w:t>
    </w:r>
  </w:p>
  <w:p w:rsidR="00781C47" w:rsidRPr="00AA5F79" w:rsidRDefault="00781C47" w:rsidP="00477D6B">
    <w:pPr>
      <w:jc w:val="right"/>
      <w:rPr>
        <w:lang w:val="fr-FR"/>
      </w:rPr>
    </w:pPr>
    <w:r w:rsidRPr="00AA5F79">
      <w:rPr>
        <w:lang w:val="fr-FR"/>
      </w:rPr>
      <w:t>Annex</w:t>
    </w:r>
    <w:r>
      <w:rPr>
        <w:lang w:val="fr-FR"/>
      </w:rPr>
      <w:t>e, page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AF74BC">
      <w:rPr>
        <w:noProof/>
        <w:lang w:val="fr-FR"/>
      </w:rPr>
      <w:t>10</w:t>
    </w:r>
    <w:r>
      <w:fldChar w:fldCharType="end"/>
    </w:r>
  </w:p>
  <w:p w:rsidR="00781C47" w:rsidRPr="00AA5F79" w:rsidRDefault="00781C47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47" w:rsidRDefault="00781C47" w:rsidP="00AA5F79">
    <w:pPr>
      <w:pStyle w:val="Header"/>
      <w:jc w:val="right"/>
    </w:pPr>
    <w:r>
      <w:t>PCT/CTC/30/12</w:t>
    </w:r>
  </w:p>
  <w:p w:rsidR="00781C47" w:rsidRDefault="00781C47" w:rsidP="00AA5F79">
    <w:pPr>
      <w:pStyle w:val="Header"/>
      <w:jc w:val="right"/>
    </w:pPr>
    <w:r>
      <w:t>ANNEXE</w:t>
    </w:r>
  </w:p>
  <w:p w:rsidR="00781C47" w:rsidRDefault="00781C47" w:rsidP="00D10D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9F8D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F6F23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C650A4"/>
    <w:rsid w:val="00011582"/>
    <w:rsid w:val="0002015E"/>
    <w:rsid w:val="00043CAA"/>
    <w:rsid w:val="00075432"/>
    <w:rsid w:val="000968ED"/>
    <w:rsid w:val="000C71EB"/>
    <w:rsid w:val="000D4AF4"/>
    <w:rsid w:val="000F5E56"/>
    <w:rsid w:val="00101295"/>
    <w:rsid w:val="00111787"/>
    <w:rsid w:val="00135A2E"/>
    <w:rsid w:val="001362EE"/>
    <w:rsid w:val="00161E29"/>
    <w:rsid w:val="00182740"/>
    <w:rsid w:val="001832A6"/>
    <w:rsid w:val="001B0FF0"/>
    <w:rsid w:val="001C7FE7"/>
    <w:rsid w:val="001F55AC"/>
    <w:rsid w:val="0021217E"/>
    <w:rsid w:val="002319E6"/>
    <w:rsid w:val="00240086"/>
    <w:rsid w:val="00250A85"/>
    <w:rsid w:val="00260BE5"/>
    <w:rsid w:val="002634C4"/>
    <w:rsid w:val="00272C48"/>
    <w:rsid w:val="002928D3"/>
    <w:rsid w:val="002C563A"/>
    <w:rsid w:val="002D49B6"/>
    <w:rsid w:val="002F1FE6"/>
    <w:rsid w:val="002F4E68"/>
    <w:rsid w:val="00312F7F"/>
    <w:rsid w:val="0031495A"/>
    <w:rsid w:val="0034304E"/>
    <w:rsid w:val="003431BF"/>
    <w:rsid w:val="003444AB"/>
    <w:rsid w:val="0035027E"/>
    <w:rsid w:val="00361450"/>
    <w:rsid w:val="003673CF"/>
    <w:rsid w:val="00384273"/>
    <w:rsid w:val="003845C1"/>
    <w:rsid w:val="0039492C"/>
    <w:rsid w:val="00397766"/>
    <w:rsid w:val="003A6F89"/>
    <w:rsid w:val="003B38C1"/>
    <w:rsid w:val="003E03C3"/>
    <w:rsid w:val="003F6397"/>
    <w:rsid w:val="004177F9"/>
    <w:rsid w:val="00423E3E"/>
    <w:rsid w:val="004249FE"/>
    <w:rsid w:val="00427AF4"/>
    <w:rsid w:val="00431862"/>
    <w:rsid w:val="004349E8"/>
    <w:rsid w:val="00455033"/>
    <w:rsid w:val="00462610"/>
    <w:rsid w:val="004647DA"/>
    <w:rsid w:val="00474062"/>
    <w:rsid w:val="00477D6B"/>
    <w:rsid w:val="004831FD"/>
    <w:rsid w:val="004F74E6"/>
    <w:rsid w:val="005019FF"/>
    <w:rsid w:val="0053057A"/>
    <w:rsid w:val="00545DCF"/>
    <w:rsid w:val="005540D9"/>
    <w:rsid w:val="00560A29"/>
    <w:rsid w:val="00572BA9"/>
    <w:rsid w:val="005C40A3"/>
    <w:rsid w:val="005C6649"/>
    <w:rsid w:val="00605827"/>
    <w:rsid w:val="00611CB0"/>
    <w:rsid w:val="00646050"/>
    <w:rsid w:val="00662274"/>
    <w:rsid w:val="006713CA"/>
    <w:rsid w:val="00676C5C"/>
    <w:rsid w:val="006B2113"/>
    <w:rsid w:val="006B2CC5"/>
    <w:rsid w:val="00711707"/>
    <w:rsid w:val="00717ECA"/>
    <w:rsid w:val="00730F63"/>
    <w:rsid w:val="007417B9"/>
    <w:rsid w:val="0076212A"/>
    <w:rsid w:val="00781C47"/>
    <w:rsid w:val="007D1613"/>
    <w:rsid w:val="007E4C0E"/>
    <w:rsid w:val="00824D8B"/>
    <w:rsid w:val="00837953"/>
    <w:rsid w:val="0086532E"/>
    <w:rsid w:val="008707A7"/>
    <w:rsid w:val="00871706"/>
    <w:rsid w:val="00883A8C"/>
    <w:rsid w:val="008A123A"/>
    <w:rsid w:val="008B2CC1"/>
    <w:rsid w:val="008B50A2"/>
    <w:rsid w:val="008B60B2"/>
    <w:rsid w:val="008F1A79"/>
    <w:rsid w:val="008F2DB8"/>
    <w:rsid w:val="0090731E"/>
    <w:rsid w:val="00916EE2"/>
    <w:rsid w:val="00940F40"/>
    <w:rsid w:val="00966A22"/>
    <w:rsid w:val="0096722F"/>
    <w:rsid w:val="0097262E"/>
    <w:rsid w:val="00974C5A"/>
    <w:rsid w:val="00980843"/>
    <w:rsid w:val="00980F96"/>
    <w:rsid w:val="009D67D4"/>
    <w:rsid w:val="009E2791"/>
    <w:rsid w:val="009E3F6F"/>
    <w:rsid w:val="009F499F"/>
    <w:rsid w:val="009F6A3C"/>
    <w:rsid w:val="00A42DAF"/>
    <w:rsid w:val="00A441C5"/>
    <w:rsid w:val="00A45BD8"/>
    <w:rsid w:val="00A53845"/>
    <w:rsid w:val="00A869B7"/>
    <w:rsid w:val="00A93FC2"/>
    <w:rsid w:val="00AA5F79"/>
    <w:rsid w:val="00AB1E2E"/>
    <w:rsid w:val="00AC205C"/>
    <w:rsid w:val="00AE78B1"/>
    <w:rsid w:val="00AE7B44"/>
    <w:rsid w:val="00AF0A6B"/>
    <w:rsid w:val="00AF1630"/>
    <w:rsid w:val="00AF74BC"/>
    <w:rsid w:val="00B05A69"/>
    <w:rsid w:val="00B13261"/>
    <w:rsid w:val="00B91CD5"/>
    <w:rsid w:val="00B92424"/>
    <w:rsid w:val="00B9734B"/>
    <w:rsid w:val="00BA30E2"/>
    <w:rsid w:val="00BC5128"/>
    <w:rsid w:val="00BD078D"/>
    <w:rsid w:val="00C10BE7"/>
    <w:rsid w:val="00C11BFE"/>
    <w:rsid w:val="00C3299C"/>
    <w:rsid w:val="00C37448"/>
    <w:rsid w:val="00C37C03"/>
    <w:rsid w:val="00C4217F"/>
    <w:rsid w:val="00C5068F"/>
    <w:rsid w:val="00C650A4"/>
    <w:rsid w:val="00CD04F1"/>
    <w:rsid w:val="00CD3C88"/>
    <w:rsid w:val="00CE6C91"/>
    <w:rsid w:val="00CF0718"/>
    <w:rsid w:val="00D074C5"/>
    <w:rsid w:val="00D105D3"/>
    <w:rsid w:val="00D10D17"/>
    <w:rsid w:val="00D35066"/>
    <w:rsid w:val="00D45252"/>
    <w:rsid w:val="00D71B4D"/>
    <w:rsid w:val="00D75B2E"/>
    <w:rsid w:val="00D93D55"/>
    <w:rsid w:val="00DB3734"/>
    <w:rsid w:val="00DD60F6"/>
    <w:rsid w:val="00DD6E7D"/>
    <w:rsid w:val="00E005C1"/>
    <w:rsid w:val="00E15015"/>
    <w:rsid w:val="00E335FE"/>
    <w:rsid w:val="00E673CB"/>
    <w:rsid w:val="00E82D0C"/>
    <w:rsid w:val="00EC0A87"/>
    <w:rsid w:val="00EC4E49"/>
    <w:rsid w:val="00EC5E8B"/>
    <w:rsid w:val="00ED77FB"/>
    <w:rsid w:val="00EE45FA"/>
    <w:rsid w:val="00EE7CB9"/>
    <w:rsid w:val="00F07F34"/>
    <w:rsid w:val="00F57A5F"/>
    <w:rsid w:val="00F66152"/>
    <w:rsid w:val="00FA4CE0"/>
    <w:rsid w:val="00FD06A7"/>
    <w:rsid w:val="00FF1C6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540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5540D9"/>
    <w:rPr>
      <w:vertAlign w:val="superscript"/>
    </w:rPr>
  </w:style>
  <w:style w:type="character" w:customStyle="1" w:styleId="InsertedText">
    <w:name w:val="Inserted Text"/>
    <w:qFormat/>
    <w:rsid w:val="005540D9"/>
    <w:rPr>
      <w:color w:val="0000FF"/>
      <w:u w:val="single"/>
    </w:rPr>
  </w:style>
  <w:style w:type="paragraph" w:customStyle="1" w:styleId="SectionHeading">
    <w:name w:val="Section Heading"/>
    <w:basedOn w:val="Heading1"/>
    <w:link w:val="SectionHeadingChar"/>
    <w:qFormat/>
    <w:rsid w:val="005540D9"/>
    <w:pPr>
      <w:pBdr>
        <w:top w:val="single" w:sz="4" w:space="1" w:color="auto"/>
        <w:bottom w:val="single" w:sz="4" w:space="1" w:color="auto"/>
      </w:pBdr>
      <w:spacing w:before="360" w:after="200"/>
    </w:pPr>
    <w:rPr>
      <w:rFonts w:ascii="Arial Bold" w:hAnsi="Arial Bold"/>
    </w:rPr>
  </w:style>
  <w:style w:type="character" w:customStyle="1" w:styleId="SectionHeadingChar">
    <w:name w:val="Section Heading Char"/>
    <w:basedOn w:val="DefaultParagraphFont"/>
    <w:link w:val="SectionHeading"/>
    <w:rsid w:val="005540D9"/>
    <w:rPr>
      <w:rFonts w:ascii="Arial Bold" w:eastAsia="SimSun" w:hAnsi="Arial Bold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349E8"/>
  </w:style>
  <w:style w:type="paragraph" w:customStyle="1" w:styleId="mw-mmv-image-desc">
    <w:name w:val="mw-mmv-image-desc"/>
    <w:basedOn w:val="Normal"/>
    <w:rsid w:val="00554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  <w:lang w:val="fi-FI" w:eastAsia="fi-FI"/>
    </w:rPr>
  </w:style>
  <w:style w:type="table" w:styleId="TableGrid">
    <w:name w:val="Table Grid"/>
    <w:basedOn w:val="TableNormal"/>
    <w:uiPriority w:val="39"/>
    <w:rsid w:val="005540D9"/>
    <w:rPr>
      <w:rFonts w:asciiTheme="minorHAnsi" w:eastAsiaTheme="minorHAnsi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B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540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5540D9"/>
    <w:rPr>
      <w:vertAlign w:val="superscript"/>
    </w:rPr>
  </w:style>
  <w:style w:type="character" w:customStyle="1" w:styleId="InsertedText">
    <w:name w:val="Inserted Text"/>
    <w:qFormat/>
    <w:rsid w:val="005540D9"/>
    <w:rPr>
      <w:color w:val="0000FF"/>
      <w:u w:val="single"/>
    </w:rPr>
  </w:style>
  <w:style w:type="paragraph" w:customStyle="1" w:styleId="SectionHeading">
    <w:name w:val="Section Heading"/>
    <w:basedOn w:val="Heading1"/>
    <w:link w:val="SectionHeadingChar"/>
    <w:qFormat/>
    <w:rsid w:val="005540D9"/>
    <w:pPr>
      <w:pBdr>
        <w:top w:val="single" w:sz="4" w:space="1" w:color="auto"/>
        <w:bottom w:val="single" w:sz="4" w:space="1" w:color="auto"/>
      </w:pBdr>
      <w:spacing w:before="360" w:after="200"/>
    </w:pPr>
    <w:rPr>
      <w:rFonts w:ascii="Arial Bold" w:hAnsi="Arial Bold"/>
    </w:rPr>
  </w:style>
  <w:style w:type="character" w:customStyle="1" w:styleId="SectionHeadingChar">
    <w:name w:val="Section Heading Char"/>
    <w:basedOn w:val="DefaultParagraphFont"/>
    <w:link w:val="SectionHeading"/>
    <w:rsid w:val="005540D9"/>
    <w:rPr>
      <w:rFonts w:ascii="Arial Bold" w:eastAsia="SimSun" w:hAnsi="Arial Bold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349E8"/>
  </w:style>
  <w:style w:type="paragraph" w:customStyle="1" w:styleId="mw-mmv-image-desc">
    <w:name w:val="mw-mmv-image-desc"/>
    <w:basedOn w:val="Normal"/>
    <w:rsid w:val="005540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  <w:lang w:val="fi-FI" w:eastAsia="fi-FI"/>
    </w:rPr>
  </w:style>
  <w:style w:type="table" w:styleId="TableGrid">
    <w:name w:val="Table Grid"/>
    <w:basedOn w:val="TableNormal"/>
    <w:uiPriority w:val="39"/>
    <w:rsid w:val="005540D9"/>
    <w:rPr>
      <w:rFonts w:asciiTheme="minorHAnsi" w:eastAsiaTheme="minorHAnsi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B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A4BD-DA89-453C-BB79-83B7D8C8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11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PCT/CTC/30/12</vt:lpstr>
    </vt:vector>
  </TitlesOfParts>
  <Company>WIPO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PCT/CTC/30/12</dc:title>
  <dc:subject>Extension of Appointment of the Finnish Patent and Registration Office as an International Searching and Preliminary Examining Authority Under the PCT</dc:subject>
  <dc:creator>MARLOW Thomas</dc:creator>
  <cp:keywords>NGG/ko</cp:keywords>
  <cp:lastModifiedBy>MARLOW Thomas</cp:lastModifiedBy>
  <cp:revision>2</cp:revision>
  <cp:lastPrinted>2017-03-23T09:45:00Z</cp:lastPrinted>
  <dcterms:created xsi:type="dcterms:W3CDTF">2017-03-27T13:39:00Z</dcterms:created>
  <dcterms:modified xsi:type="dcterms:W3CDTF">2017-03-27T13:39:00Z</dcterms:modified>
</cp:coreProperties>
</file>