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893" w:rsidRPr="00B9373D" w:rsidRDefault="00472A6E" w:rsidP="00512BA1">
      <w:pPr>
        <w:spacing w:before="360" w:after="240"/>
        <w:ind w:right="-57"/>
        <w:jc w:val="right"/>
        <w:rPr>
          <w:lang w:val="es-419"/>
        </w:rPr>
      </w:pPr>
      <w:r w:rsidRPr="00B9373D">
        <w:rPr>
          <w:noProof/>
          <w:lang w:val="en-GB" w:eastAsia="en-GB"/>
        </w:rPr>
        <w:drawing>
          <wp:inline distT="0" distB="0" distL="0" distR="0">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D31893" w:rsidRPr="00B9373D" w:rsidRDefault="00141EDC" w:rsidP="00512BA1">
      <w:pPr>
        <w:pBdr>
          <w:top w:val="single" w:sz="4" w:space="9" w:color="auto"/>
        </w:pBdr>
        <w:jc w:val="right"/>
        <w:rPr>
          <w:rFonts w:ascii="Arial Black" w:hAnsi="Arial Black"/>
          <w:caps/>
          <w:sz w:val="15"/>
          <w:lang w:val="es-419"/>
        </w:rPr>
      </w:pPr>
      <w:r w:rsidRPr="00B9373D">
        <w:rPr>
          <w:rFonts w:ascii="Arial Black" w:hAnsi="Arial Black"/>
          <w:caps/>
          <w:sz w:val="15"/>
          <w:lang w:val="es-419"/>
        </w:rPr>
        <w:t>PCT</w:t>
      </w:r>
      <w:r w:rsidR="00512BA1" w:rsidRPr="00B9373D">
        <w:rPr>
          <w:rFonts w:ascii="Arial Black" w:hAnsi="Arial Black"/>
          <w:caps/>
          <w:sz w:val="15"/>
          <w:lang w:val="es-419"/>
        </w:rPr>
        <w:t>/</w:t>
      </w:r>
      <w:r w:rsidRPr="00B9373D">
        <w:rPr>
          <w:rFonts w:ascii="Arial Black" w:hAnsi="Arial Black"/>
          <w:caps/>
          <w:sz w:val="15"/>
          <w:lang w:val="es-419"/>
        </w:rPr>
        <w:t>WG/1</w:t>
      </w:r>
      <w:r w:rsidR="0037287C" w:rsidRPr="00B9373D">
        <w:rPr>
          <w:rFonts w:ascii="Arial Black" w:hAnsi="Arial Black"/>
          <w:caps/>
          <w:sz w:val="15"/>
          <w:lang w:val="es-419"/>
        </w:rPr>
        <w:t>4</w:t>
      </w:r>
      <w:r w:rsidR="00512BA1" w:rsidRPr="00B9373D">
        <w:rPr>
          <w:rFonts w:ascii="Arial Black" w:hAnsi="Arial Black"/>
          <w:caps/>
          <w:sz w:val="15"/>
          <w:lang w:val="es-419"/>
        </w:rPr>
        <w:t>/</w:t>
      </w:r>
      <w:bookmarkStart w:id="0" w:name="Code"/>
      <w:r w:rsidR="00B06F76" w:rsidRPr="00B9373D">
        <w:rPr>
          <w:rFonts w:ascii="Arial Black" w:hAnsi="Arial Black"/>
          <w:caps/>
          <w:sz w:val="15"/>
          <w:lang w:val="es-419"/>
        </w:rPr>
        <w:t>7</w:t>
      </w:r>
    </w:p>
    <w:bookmarkEnd w:id="0"/>
    <w:p w:rsidR="00D31893" w:rsidRPr="00B9373D" w:rsidRDefault="00472A6E" w:rsidP="00472A6E">
      <w:pPr>
        <w:jc w:val="right"/>
        <w:rPr>
          <w:lang w:val="es-419"/>
        </w:rPr>
      </w:pPr>
      <w:r w:rsidRPr="00B9373D">
        <w:rPr>
          <w:rFonts w:ascii="Arial Black" w:hAnsi="Arial Black"/>
          <w:caps/>
          <w:sz w:val="15"/>
          <w:lang w:val="es-419"/>
        </w:rPr>
        <w:t xml:space="preserve">ORIGINAL: </w:t>
      </w:r>
      <w:bookmarkStart w:id="1" w:name="Original"/>
      <w:r w:rsidR="00B06F76" w:rsidRPr="00B9373D">
        <w:rPr>
          <w:rFonts w:ascii="Arial Black" w:hAnsi="Arial Black"/>
          <w:caps/>
          <w:sz w:val="15"/>
          <w:lang w:val="es-419"/>
        </w:rPr>
        <w:t>INGLÉS</w:t>
      </w:r>
    </w:p>
    <w:p w:rsidR="00D31893" w:rsidRPr="00B9373D" w:rsidRDefault="00472A6E" w:rsidP="00472A6E">
      <w:pPr>
        <w:spacing w:after="1200"/>
        <w:jc w:val="right"/>
        <w:rPr>
          <w:lang w:val="es-419"/>
        </w:rPr>
      </w:pPr>
      <w:bookmarkStart w:id="2" w:name="_GoBack"/>
      <w:bookmarkEnd w:id="1"/>
      <w:bookmarkEnd w:id="2"/>
      <w:r w:rsidRPr="00B9373D">
        <w:rPr>
          <w:rFonts w:ascii="Arial Black" w:hAnsi="Arial Black"/>
          <w:caps/>
          <w:sz w:val="15"/>
          <w:lang w:val="es-419"/>
        </w:rPr>
        <w:t xml:space="preserve">fecha: </w:t>
      </w:r>
      <w:bookmarkStart w:id="3" w:name="Date"/>
      <w:r w:rsidR="00B06F76" w:rsidRPr="00B9373D">
        <w:rPr>
          <w:rFonts w:ascii="Arial Black" w:hAnsi="Arial Black"/>
          <w:caps/>
          <w:sz w:val="15"/>
          <w:lang w:val="es-419"/>
        </w:rPr>
        <w:t>12 DE MAYO DE 2021</w:t>
      </w:r>
    </w:p>
    <w:bookmarkEnd w:id="3"/>
    <w:p w:rsidR="00D31893" w:rsidRPr="00B9373D" w:rsidRDefault="00141EDC" w:rsidP="00F85931">
      <w:pPr>
        <w:pStyle w:val="Heading1"/>
        <w:spacing w:before="0" w:after="600"/>
        <w:rPr>
          <w:sz w:val="28"/>
          <w:szCs w:val="28"/>
          <w:lang w:val="es-419"/>
        </w:rPr>
      </w:pPr>
      <w:r w:rsidRPr="00B9373D">
        <w:rPr>
          <w:caps w:val="0"/>
          <w:sz w:val="28"/>
          <w:szCs w:val="28"/>
          <w:lang w:val="es-419"/>
        </w:rPr>
        <w:t>Grupo de Trabajo del Tratado de Cooperación en materia de Patentes (PCT)</w:t>
      </w:r>
    </w:p>
    <w:p w:rsidR="00D31893" w:rsidRPr="00B9373D" w:rsidRDefault="00BB68F0" w:rsidP="00BB68F0">
      <w:pPr>
        <w:rPr>
          <w:b/>
          <w:sz w:val="24"/>
          <w:szCs w:val="24"/>
          <w:lang w:val="es-419"/>
        </w:rPr>
      </w:pPr>
      <w:r w:rsidRPr="00B9373D">
        <w:rPr>
          <w:b/>
          <w:sz w:val="24"/>
          <w:szCs w:val="24"/>
          <w:lang w:val="es-419"/>
        </w:rPr>
        <w:t xml:space="preserve">Decimocuarta </w:t>
      </w:r>
      <w:r w:rsidR="00B06F76" w:rsidRPr="00B9373D">
        <w:rPr>
          <w:b/>
          <w:sz w:val="24"/>
          <w:szCs w:val="24"/>
          <w:lang w:val="es-419"/>
        </w:rPr>
        <w:t>reunión</w:t>
      </w:r>
    </w:p>
    <w:p w:rsidR="00D31893" w:rsidRPr="00B9373D" w:rsidRDefault="00141EDC" w:rsidP="00BB68F0">
      <w:pPr>
        <w:spacing w:after="720"/>
        <w:rPr>
          <w:b/>
          <w:sz w:val="24"/>
          <w:szCs w:val="24"/>
          <w:lang w:val="es-419"/>
        </w:rPr>
      </w:pPr>
      <w:r w:rsidRPr="00B9373D">
        <w:rPr>
          <w:b/>
          <w:sz w:val="24"/>
          <w:szCs w:val="24"/>
          <w:lang w:val="es-419"/>
        </w:rPr>
        <w:t xml:space="preserve">Ginebra, </w:t>
      </w:r>
      <w:r w:rsidR="00BB68F0" w:rsidRPr="00B9373D">
        <w:rPr>
          <w:b/>
          <w:sz w:val="24"/>
          <w:szCs w:val="24"/>
          <w:lang w:val="es-419"/>
        </w:rPr>
        <w:t>14 a 17 de junio de 2021</w:t>
      </w:r>
    </w:p>
    <w:p w:rsidR="00D31893" w:rsidRPr="00B9373D" w:rsidRDefault="0068302B" w:rsidP="0068302B">
      <w:pPr>
        <w:spacing w:after="360"/>
        <w:rPr>
          <w:caps/>
          <w:sz w:val="24"/>
          <w:lang w:val="es-419"/>
        </w:rPr>
      </w:pPr>
      <w:bookmarkStart w:id="4" w:name="TitleOfDoc"/>
      <w:r w:rsidRPr="00B9373D">
        <w:rPr>
          <w:caps/>
          <w:sz w:val="24"/>
          <w:lang w:val="es-419"/>
        </w:rPr>
        <w:t>SERVICIO DE LA OMPI DE TRANSFERENCIA DE TASAS: INFORME DE SITUACIÓN</w:t>
      </w:r>
    </w:p>
    <w:p w:rsidR="00D31893" w:rsidRPr="00B9373D" w:rsidRDefault="00B06F76" w:rsidP="00F85931">
      <w:pPr>
        <w:spacing w:after="960"/>
        <w:rPr>
          <w:i/>
          <w:lang w:val="es-419"/>
        </w:rPr>
      </w:pPr>
      <w:bookmarkStart w:id="5" w:name="Prepared"/>
      <w:bookmarkEnd w:id="4"/>
      <w:r w:rsidRPr="00B9373D">
        <w:rPr>
          <w:i/>
          <w:lang w:val="es-419"/>
        </w:rPr>
        <w:t>Documento preparado por la Secretaría</w:t>
      </w:r>
    </w:p>
    <w:bookmarkEnd w:id="5"/>
    <w:p w:rsidR="00D31893" w:rsidRPr="00B9373D" w:rsidRDefault="0068302B" w:rsidP="0068302B">
      <w:pPr>
        <w:pStyle w:val="Heading1"/>
        <w:rPr>
          <w:lang w:val="es-419"/>
        </w:rPr>
      </w:pPr>
      <w:r w:rsidRPr="00B9373D">
        <w:rPr>
          <w:lang w:val="es-419"/>
        </w:rPr>
        <w:t>RESUMEN</w:t>
      </w:r>
    </w:p>
    <w:p w:rsidR="00D31893" w:rsidRPr="00B9373D" w:rsidRDefault="0068302B" w:rsidP="00773CD1">
      <w:pPr>
        <w:pStyle w:val="ONUMFS"/>
        <w:rPr>
          <w:lang w:val="es-419"/>
        </w:rPr>
      </w:pPr>
      <w:r w:rsidRPr="00B9373D">
        <w:rPr>
          <w:lang w:val="es-419"/>
        </w:rPr>
        <w:t xml:space="preserve">En el presente documento se ofrece información actualizada sobre la participación de las Oficinas en el servicio de la OMPI de transferencia de tasas, </w:t>
      </w:r>
      <w:r w:rsidR="00E54842" w:rsidRPr="00B9373D">
        <w:rPr>
          <w:lang w:val="es-419"/>
        </w:rPr>
        <w:t>que</w:t>
      </w:r>
      <w:r w:rsidRPr="00B9373D">
        <w:rPr>
          <w:lang w:val="es-419"/>
        </w:rPr>
        <w:t xml:space="preserve"> actualmente </w:t>
      </w:r>
      <w:r w:rsidR="00E54842" w:rsidRPr="00B9373D">
        <w:rPr>
          <w:lang w:val="es-419"/>
        </w:rPr>
        <w:t>abarca más de </w:t>
      </w:r>
      <w:r w:rsidRPr="00B9373D">
        <w:rPr>
          <w:lang w:val="es-419"/>
        </w:rPr>
        <w:t>60 Oficinas de PI.</w:t>
      </w:r>
      <w:r w:rsidR="00E54842" w:rsidRPr="00B9373D">
        <w:rPr>
          <w:lang w:val="es-419"/>
        </w:rPr>
        <w:t xml:space="preserve"> </w:t>
      </w:r>
      <w:r w:rsidRPr="00B9373D">
        <w:rPr>
          <w:lang w:val="es-419"/>
        </w:rPr>
        <w:t xml:space="preserve">La Oficina Internacional ha invitado a otras Oficinas a participar, ya que ello </w:t>
      </w:r>
      <w:r w:rsidR="00E54842" w:rsidRPr="00B9373D">
        <w:rPr>
          <w:lang w:val="es-419"/>
        </w:rPr>
        <w:t>supondría mayores</w:t>
      </w:r>
      <w:r w:rsidRPr="00B9373D">
        <w:rPr>
          <w:lang w:val="es-419"/>
        </w:rPr>
        <w:t xml:space="preserve"> </w:t>
      </w:r>
      <w:r w:rsidR="00E54842" w:rsidRPr="00B9373D">
        <w:rPr>
          <w:lang w:val="es-419"/>
        </w:rPr>
        <w:t>ventajas</w:t>
      </w:r>
      <w:r w:rsidRPr="00B9373D">
        <w:rPr>
          <w:lang w:val="es-419"/>
        </w:rPr>
        <w:t xml:space="preserve"> para el servicio </w:t>
      </w:r>
      <w:r w:rsidR="00E54842" w:rsidRPr="00B9373D">
        <w:rPr>
          <w:lang w:val="es-419"/>
        </w:rPr>
        <w:t xml:space="preserve">de la OMPI </w:t>
      </w:r>
      <w:r w:rsidRPr="00B9373D">
        <w:rPr>
          <w:lang w:val="es-419"/>
        </w:rPr>
        <w:t>de transferencia de tasas.</w:t>
      </w:r>
      <w:r w:rsidR="00E54842" w:rsidRPr="00B9373D">
        <w:rPr>
          <w:lang w:val="es-419"/>
        </w:rPr>
        <w:t xml:space="preserve"> </w:t>
      </w:r>
      <w:r w:rsidR="00005970" w:rsidRPr="00B9373D">
        <w:rPr>
          <w:lang w:val="es-419"/>
        </w:rPr>
        <w:t xml:space="preserve">Se anima a las Oficinas participantes a intercambiar notificaciones e información sobre las tasas en formato XML de conformidad con la DTD publicada, ya que ello permitiría avanzar hacia la provisión </w:t>
      </w:r>
      <w:r w:rsidR="00E54842" w:rsidRPr="00B9373D">
        <w:rPr>
          <w:lang w:val="es-419"/>
        </w:rPr>
        <w:t xml:space="preserve">(casi en tiempo real) </w:t>
      </w:r>
      <w:r w:rsidR="00005970" w:rsidRPr="00B9373D">
        <w:rPr>
          <w:lang w:val="es-419"/>
        </w:rPr>
        <w:t xml:space="preserve">de información </w:t>
      </w:r>
      <w:r w:rsidR="00E54842" w:rsidRPr="00B9373D">
        <w:rPr>
          <w:lang w:val="es-419"/>
        </w:rPr>
        <w:t>acerca de</w:t>
      </w:r>
      <w:r w:rsidR="00005970" w:rsidRPr="00B9373D">
        <w:rPr>
          <w:lang w:val="es-419"/>
        </w:rPr>
        <w:t xml:space="preserve"> los pagos y</w:t>
      </w:r>
      <w:r w:rsidR="00E54842" w:rsidRPr="00B9373D">
        <w:rPr>
          <w:lang w:val="es-419"/>
        </w:rPr>
        <w:t xml:space="preserve"> las</w:t>
      </w:r>
      <w:r w:rsidR="00005970" w:rsidRPr="00B9373D">
        <w:rPr>
          <w:lang w:val="es-419"/>
        </w:rPr>
        <w:t xml:space="preserve"> transferencias de tasas.</w:t>
      </w:r>
      <w:r w:rsidR="00E54842" w:rsidRPr="00B9373D">
        <w:rPr>
          <w:lang w:val="es-419"/>
        </w:rPr>
        <w:t xml:space="preserve"> </w:t>
      </w:r>
    </w:p>
    <w:p w:rsidR="00D31893" w:rsidRPr="00B9373D" w:rsidRDefault="00D52211" w:rsidP="00D52211">
      <w:pPr>
        <w:pStyle w:val="Heading1"/>
        <w:rPr>
          <w:lang w:val="es-419"/>
        </w:rPr>
      </w:pPr>
      <w:r w:rsidRPr="00B9373D">
        <w:rPr>
          <w:lang w:val="es-419"/>
        </w:rPr>
        <w:t>ANTECEDENTES</w:t>
      </w:r>
    </w:p>
    <w:p w:rsidR="00D31893" w:rsidRPr="00B9373D" w:rsidRDefault="00D52211" w:rsidP="00773CD1">
      <w:pPr>
        <w:pStyle w:val="ONUMFS"/>
        <w:rPr>
          <w:lang w:val="es-419"/>
        </w:rPr>
      </w:pPr>
      <w:r w:rsidRPr="00B9373D">
        <w:rPr>
          <w:lang w:val="es-419"/>
        </w:rPr>
        <w:t>En abril de 2018 se inició un</w:t>
      </w:r>
      <w:r w:rsidR="00E54842" w:rsidRPr="00B9373D">
        <w:rPr>
          <w:lang w:val="es-419"/>
        </w:rPr>
        <w:t xml:space="preserve"> proyecto piloto de </w:t>
      </w:r>
      <w:r w:rsidRPr="00B9373D">
        <w:rPr>
          <w:lang w:val="es-419"/>
        </w:rPr>
        <w:t xml:space="preserve">“estructura de compensación por saldos netos” para la transferencia de tasas del PCT entre las Oficinas </w:t>
      </w:r>
      <w:r w:rsidR="00E54842" w:rsidRPr="00B9373D">
        <w:rPr>
          <w:lang w:val="es-419"/>
        </w:rPr>
        <w:t>por conducto</w:t>
      </w:r>
      <w:r w:rsidRPr="00B9373D">
        <w:rPr>
          <w:lang w:val="es-419"/>
        </w:rPr>
        <w:t xml:space="preserve"> de la Oficina Internacional.</w:t>
      </w:r>
      <w:r w:rsidR="00E54842" w:rsidRPr="00B9373D">
        <w:rPr>
          <w:lang w:val="es-419"/>
        </w:rPr>
        <w:t xml:space="preserve"> </w:t>
      </w:r>
      <w:r w:rsidR="002F5559" w:rsidRPr="00B9373D">
        <w:rPr>
          <w:lang w:val="es-419"/>
        </w:rPr>
        <w:t xml:space="preserve">El proyecto piloto tenía como objetivo reducir las comisiones por transferencias bancarias y los riesgos derivados de las fluctuaciones </w:t>
      </w:r>
      <w:r w:rsidR="00E54842" w:rsidRPr="00B9373D">
        <w:rPr>
          <w:lang w:val="es-419"/>
        </w:rPr>
        <w:t>en</w:t>
      </w:r>
      <w:r w:rsidR="002F5559" w:rsidRPr="00B9373D">
        <w:rPr>
          <w:lang w:val="es-419"/>
        </w:rPr>
        <w:t xml:space="preserve"> los tipos de cambio, así como simplificar la tramitación de transacciones.</w:t>
      </w:r>
      <w:r w:rsidR="00E54842" w:rsidRPr="00B9373D">
        <w:rPr>
          <w:lang w:val="es-419"/>
        </w:rPr>
        <w:t xml:space="preserve"> </w:t>
      </w:r>
      <w:r w:rsidR="002F5559" w:rsidRPr="00B9373D">
        <w:rPr>
          <w:lang w:val="es-419"/>
        </w:rPr>
        <w:t>La transferencia de tasas a través de la Oficina Internacional también permite a esta examinar las solicitudes internacionales respecto de las cuales transmite la copia para la búsqueda a la Administración encargada de la búsqueda internacional (</w:t>
      </w:r>
      <w:r w:rsidR="00E54842" w:rsidRPr="00B9373D">
        <w:rPr>
          <w:lang w:val="es-419"/>
        </w:rPr>
        <w:t>en lo sucesivo “</w:t>
      </w:r>
      <w:r w:rsidR="002F5559" w:rsidRPr="00B9373D">
        <w:rPr>
          <w:lang w:val="es-419"/>
        </w:rPr>
        <w:t>ISA</w:t>
      </w:r>
      <w:r w:rsidR="00E54842" w:rsidRPr="00B9373D">
        <w:rPr>
          <w:lang w:val="es-419"/>
        </w:rPr>
        <w:t>”, por sus siglas en inglés</w:t>
      </w:r>
      <w:r w:rsidR="002F5559" w:rsidRPr="00B9373D">
        <w:rPr>
          <w:lang w:val="es-419"/>
        </w:rPr>
        <w:t>) mediante el servicio eSearchCopy</w:t>
      </w:r>
      <w:r w:rsidR="00E54842" w:rsidRPr="00B9373D">
        <w:rPr>
          <w:lang w:val="es-419"/>
        </w:rPr>
        <w:t xml:space="preserve"> con el fin de asegurarse de</w:t>
      </w:r>
      <w:r w:rsidR="002F5559" w:rsidRPr="00B9373D">
        <w:rPr>
          <w:lang w:val="es-419"/>
        </w:rPr>
        <w:t xml:space="preserve"> que el solicitante ha</w:t>
      </w:r>
      <w:r w:rsidR="00E54842" w:rsidRPr="00B9373D">
        <w:rPr>
          <w:lang w:val="es-419"/>
        </w:rPr>
        <w:t>ya</w:t>
      </w:r>
      <w:r w:rsidR="002F5559" w:rsidRPr="00B9373D">
        <w:rPr>
          <w:lang w:val="es-419"/>
        </w:rPr>
        <w:t xml:space="preserve"> pagado todas las tasas antes de la transmisión.</w:t>
      </w:r>
      <w:r w:rsidR="00E54842" w:rsidRPr="00B9373D">
        <w:rPr>
          <w:lang w:val="es-419"/>
        </w:rPr>
        <w:t xml:space="preserve"> </w:t>
      </w:r>
    </w:p>
    <w:p w:rsidR="00D31893" w:rsidRPr="00B9373D" w:rsidRDefault="00C50BCE" w:rsidP="00773CD1">
      <w:pPr>
        <w:pStyle w:val="ONUMFS"/>
        <w:rPr>
          <w:lang w:val="es-419"/>
        </w:rPr>
      </w:pPr>
      <w:r w:rsidRPr="00B9373D">
        <w:rPr>
          <w:lang w:val="es-419"/>
        </w:rPr>
        <w:lastRenderedPageBreak/>
        <w:t xml:space="preserve">Tras el éxito del proyecto piloto, el 1 de julio de 2020 entraron en vigor las modificaciones introducidas en el Reglamento del PCT y las Instrucciones Administrativas a fin de formalizar las transferencias de tasas que tuvieron lugar en el marco de </w:t>
      </w:r>
      <w:r w:rsidR="00676A86" w:rsidRPr="00B9373D">
        <w:rPr>
          <w:lang w:val="es-419"/>
        </w:rPr>
        <w:t>dicha</w:t>
      </w:r>
      <w:r w:rsidRPr="00B9373D">
        <w:rPr>
          <w:lang w:val="es-419"/>
        </w:rPr>
        <w:t xml:space="preserve"> estructura piloto, creándose así el servicio de la OMPI de transferencia de tasas (“el </w:t>
      </w:r>
      <w:r w:rsidR="00676A86" w:rsidRPr="00B9373D">
        <w:rPr>
          <w:lang w:val="es-419"/>
        </w:rPr>
        <w:t>s</w:t>
      </w:r>
      <w:r w:rsidRPr="00B9373D">
        <w:rPr>
          <w:lang w:val="es-419"/>
        </w:rPr>
        <w:t xml:space="preserve">ervicio de </w:t>
      </w:r>
      <w:r w:rsidR="00676A86" w:rsidRPr="00B9373D">
        <w:rPr>
          <w:lang w:val="es-419"/>
        </w:rPr>
        <w:t>t</w:t>
      </w:r>
      <w:r w:rsidRPr="00B9373D">
        <w:rPr>
          <w:lang w:val="es-419"/>
        </w:rPr>
        <w:t xml:space="preserve">ransferencia de </w:t>
      </w:r>
      <w:r w:rsidR="00676A86" w:rsidRPr="00B9373D">
        <w:rPr>
          <w:lang w:val="es-419"/>
        </w:rPr>
        <w:t>t</w:t>
      </w:r>
      <w:r w:rsidRPr="00B9373D">
        <w:rPr>
          <w:lang w:val="es-419"/>
        </w:rPr>
        <w:t>asas”).</w:t>
      </w:r>
      <w:r w:rsidR="00E54842" w:rsidRPr="00B9373D">
        <w:rPr>
          <w:lang w:val="es-419"/>
        </w:rPr>
        <w:t xml:space="preserve"> </w:t>
      </w:r>
      <w:r w:rsidR="00F812D3" w:rsidRPr="00B9373D">
        <w:rPr>
          <w:lang w:val="es-419"/>
        </w:rPr>
        <w:t>En el Anexo G de las Instrucciones Administrativas se facilita información detallada para que las Oficinas notifiquen la recepción de los pagos e información relativa a las tasas y para la transferencia de los importes de las tasas en el marco del servicio de transferencia.</w:t>
      </w:r>
    </w:p>
    <w:p w:rsidR="00D31893" w:rsidRPr="00B9373D" w:rsidRDefault="00F812D3" w:rsidP="00F812D3">
      <w:pPr>
        <w:pStyle w:val="Heading1"/>
        <w:rPr>
          <w:lang w:val="es-419"/>
        </w:rPr>
      </w:pPr>
      <w:r w:rsidRPr="00B9373D">
        <w:rPr>
          <w:lang w:val="es-419"/>
        </w:rPr>
        <w:t>OFICINAS RECEPTORAS Y ADMINISTRACIONES INTERNACIONALES PARTICIPANTES</w:t>
      </w:r>
    </w:p>
    <w:p w:rsidR="00D31893" w:rsidRPr="00B9373D" w:rsidRDefault="00F812D3" w:rsidP="00773CD1">
      <w:pPr>
        <w:pStyle w:val="ONUMFS"/>
        <w:rPr>
          <w:lang w:val="es-419"/>
        </w:rPr>
      </w:pPr>
      <w:r w:rsidRPr="00B9373D">
        <w:rPr>
          <w:lang w:val="es-419"/>
        </w:rPr>
        <w:t xml:space="preserve">Con arreglo a lo dispuesto en el párrafo 7 del Anexo G de las Instrucciones Administrativas, </w:t>
      </w:r>
      <w:r w:rsidR="00A72CAC" w:rsidRPr="00B9373D">
        <w:rPr>
          <w:lang w:val="es-419"/>
        </w:rPr>
        <w:t>el 20 de noviembre de 2020</w:t>
      </w:r>
      <w:r w:rsidR="00A72CAC">
        <w:rPr>
          <w:lang w:val="es-419"/>
        </w:rPr>
        <w:t xml:space="preserve"> </w:t>
      </w:r>
      <w:r w:rsidRPr="00B9373D">
        <w:rPr>
          <w:lang w:val="es-419"/>
        </w:rPr>
        <w:t xml:space="preserve">la Oficina Internacional publicó en la Gaceta del PCT una lista de las transferencias de tasas </w:t>
      </w:r>
      <w:r w:rsidR="00676A86" w:rsidRPr="00B9373D">
        <w:rPr>
          <w:lang w:val="es-419"/>
        </w:rPr>
        <w:t>para</w:t>
      </w:r>
      <w:r w:rsidRPr="00B9373D">
        <w:rPr>
          <w:lang w:val="es-419"/>
        </w:rPr>
        <w:t xml:space="preserve"> las Oficinas participantes que se han adherido al servicio de transferencia de tasas.</w:t>
      </w:r>
      <w:r w:rsidR="00E54842" w:rsidRPr="00B9373D">
        <w:rPr>
          <w:lang w:val="es-419"/>
        </w:rPr>
        <w:t xml:space="preserve"> </w:t>
      </w:r>
      <w:r w:rsidR="00F136F1" w:rsidRPr="00B9373D">
        <w:rPr>
          <w:lang w:val="es-419"/>
        </w:rPr>
        <w:t>Entre el 21 de noviembre de 2020 y el 31 de marzo de 2021, tres Oficinas más notificaron a la Oficina Internacional su adhesión al servicio; el 8 de abril de 2021, la Oficina Internacional publicó en la Gaceta del PCT una lista de las tasas correspondientes a esas Oficinas.</w:t>
      </w:r>
      <w:r w:rsidR="00E54842" w:rsidRPr="00B9373D">
        <w:rPr>
          <w:lang w:val="es-419"/>
        </w:rPr>
        <w:t xml:space="preserve"> </w:t>
      </w:r>
      <w:r w:rsidR="00FA1D43" w:rsidRPr="00B9373D">
        <w:rPr>
          <w:lang w:val="es-419"/>
        </w:rPr>
        <w:t>Además, la Oficina Internacional ha recibido tasas de búsqueda de las Oficinas receptoras (</w:t>
      </w:r>
      <w:r w:rsidR="00676A86" w:rsidRPr="00B9373D">
        <w:rPr>
          <w:lang w:val="es-419"/>
        </w:rPr>
        <w:t>en lo sucesivo “</w:t>
      </w:r>
      <w:r w:rsidR="00FA1D43" w:rsidRPr="00B9373D">
        <w:rPr>
          <w:lang w:val="es-419"/>
        </w:rPr>
        <w:t>RO</w:t>
      </w:r>
      <w:r w:rsidR="00676A86" w:rsidRPr="00B9373D">
        <w:rPr>
          <w:lang w:val="es-419"/>
        </w:rPr>
        <w:t>”</w:t>
      </w:r>
      <w:r w:rsidR="00FA1D43" w:rsidRPr="00B9373D">
        <w:rPr>
          <w:lang w:val="es-419"/>
        </w:rPr>
        <w:t xml:space="preserve">, por sus siglas en inglés) de Kazajstán y Portugal, y la </w:t>
      </w:r>
      <w:r w:rsidR="00676A86" w:rsidRPr="00B9373D">
        <w:rPr>
          <w:lang w:val="es-419"/>
        </w:rPr>
        <w:t>RO</w:t>
      </w:r>
      <w:r w:rsidR="00FA1D43" w:rsidRPr="00B9373D">
        <w:rPr>
          <w:lang w:val="es-419"/>
        </w:rPr>
        <w:t xml:space="preserve"> de Croacia ha enviado una notificación para adherirse en el futuro.</w:t>
      </w:r>
      <w:r w:rsidR="00E54842" w:rsidRPr="00B9373D">
        <w:rPr>
          <w:lang w:val="es-419"/>
        </w:rPr>
        <w:t xml:space="preserve"> </w:t>
      </w:r>
      <w:r w:rsidR="00FA1D43" w:rsidRPr="00B9373D">
        <w:rPr>
          <w:lang w:val="es-419"/>
        </w:rPr>
        <w:t>La Oficina Internacional tiene previsto publicar trimestralmente en la Gaceta del PCT información sobre las nuevas Oficinas participantes y las transferencias de tasas correspondientes a esas Oficinas que forma</w:t>
      </w:r>
      <w:r w:rsidR="00676A86" w:rsidRPr="00B9373D">
        <w:rPr>
          <w:lang w:val="es-419"/>
        </w:rPr>
        <w:t xml:space="preserve">n </w:t>
      </w:r>
      <w:r w:rsidR="00FA1D43" w:rsidRPr="00B9373D">
        <w:rPr>
          <w:lang w:val="es-419"/>
        </w:rPr>
        <w:t>parte del servicio de transferencia de tasas.</w:t>
      </w:r>
      <w:r w:rsidR="00B06F76" w:rsidRPr="00B9373D">
        <w:rPr>
          <w:lang w:val="es-419"/>
        </w:rPr>
        <w:t xml:space="preserve"> </w:t>
      </w:r>
    </w:p>
    <w:p w:rsidR="00D31893" w:rsidRPr="00B9373D" w:rsidRDefault="00FA1D43" w:rsidP="00773CD1">
      <w:pPr>
        <w:pStyle w:val="ONUMFS"/>
        <w:rPr>
          <w:lang w:val="es-419"/>
        </w:rPr>
      </w:pPr>
      <w:r w:rsidRPr="00B9373D">
        <w:rPr>
          <w:lang w:val="es-419"/>
        </w:rPr>
        <w:t xml:space="preserve">Desde el 30 de abril de 2021, 62 Oficinas participan en el servicio de transferencia de tasas en calidad de </w:t>
      </w:r>
      <w:r w:rsidR="0031478B" w:rsidRPr="00B9373D">
        <w:rPr>
          <w:lang w:val="es-419"/>
        </w:rPr>
        <w:t>RO</w:t>
      </w:r>
      <w:r w:rsidRPr="00B9373D">
        <w:rPr>
          <w:lang w:val="es-419"/>
        </w:rPr>
        <w:t xml:space="preserve"> y transfieren las tasas de búsqueda</w:t>
      </w:r>
      <w:r w:rsidR="00BF488B" w:rsidRPr="00B9373D">
        <w:rPr>
          <w:lang w:val="es-419"/>
        </w:rPr>
        <w:t xml:space="preserve"> pagaderas</w:t>
      </w:r>
      <w:r w:rsidRPr="00B9373D">
        <w:rPr>
          <w:lang w:val="es-419"/>
        </w:rPr>
        <w:t xml:space="preserve">, al menos, </w:t>
      </w:r>
      <w:r w:rsidR="00BF488B" w:rsidRPr="00B9373D">
        <w:rPr>
          <w:lang w:val="es-419"/>
        </w:rPr>
        <w:t>a</w:t>
      </w:r>
      <w:r w:rsidRPr="00B9373D">
        <w:rPr>
          <w:lang w:val="es-419"/>
        </w:rPr>
        <w:t xml:space="preserve"> algunas de sus respectivas </w:t>
      </w:r>
      <w:r w:rsidR="00BF488B" w:rsidRPr="00B9373D">
        <w:rPr>
          <w:lang w:val="es-419"/>
        </w:rPr>
        <w:t>ISA</w:t>
      </w:r>
      <w:r w:rsidRPr="00B9373D">
        <w:rPr>
          <w:lang w:val="es-419"/>
        </w:rPr>
        <w:t xml:space="preserve"> </w:t>
      </w:r>
      <w:r w:rsidR="00BF488B" w:rsidRPr="00B9373D">
        <w:rPr>
          <w:lang w:val="es-419"/>
        </w:rPr>
        <w:t>por conducto</w:t>
      </w:r>
      <w:r w:rsidRPr="00B9373D">
        <w:rPr>
          <w:lang w:val="es-419"/>
        </w:rPr>
        <w:t xml:space="preserve"> de la Oficina Internacional.</w:t>
      </w:r>
      <w:r w:rsidR="00E54842" w:rsidRPr="00B9373D">
        <w:rPr>
          <w:lang w:val="es-419"/>
        </w:rPr>
        <w:t xml:space="preserve"> </w:t>
      </w:r>
      <w:r w:rsidRPr="00B9373D">
        <w:rPr>
          <w:lang w:val="es-419"/>
        </w:rPr>
        <w:t xml:space="preserve">Trece Oficinas participan en el servicio de transferencia de tasas en calidad de Administración encargada de la búsqueda internacional y del examen preliminar internacional, y reciben tasas de búsqueda de, al menos, algunas </w:t>
      </w:r>
      <w:r w:rsidR="00AF2FDF" w:rsidRPr="00B9373D">
        <w:rPr>
          <w:lang w:val="es-419"/>
        </w:rPr>
        <w:t>RO</w:t>
      </w:r>
      <w:r w:rsidRPr="00B9373D">
        <w:rPr>
          <w:lang w:val="es-419"/>
        </w:rPr>
        <w:t xml:space="preserve"> a través de la Oficina Internacional.</w:t>
      </w:r>
      <w:r w:rsidR="00E54842" w:rsidRPr="00B9373D">
        <w:rPr>
          <w:lang w:val="es-419"/>
        </w:rPr>
        <w:t xml:space="preserve"> </w:t>
      </w:r>
      <w:r w:rsidR="00416E83" w:rsidRPr="00B9373D">
        <w:rPr>
          <w:lang w:val="es-419"/>
        </w:rPr>
        <w:t xml:space="preserve">A continuación se enumeran las Oficinas que participan en calidad de </w:t>
      </w:r>
      <w:r w:rsidR="00AF2FDF" w:rsidRPr="00B9373D">
        <w:rPr>
          <w:lang w:val="es-419"/>
        </w:rPr>
        <w:t>ISA</w:t>
      </w:r>
      <w:r w:rsidR="00416E83" w:rsidRPr="00B9373D">
        <w:rPr>
          <w:lang w:val="es-419"/>
        </w:rPr>
        <w:t>: Oficina Austríaca de Patentes, IP Australia, Instituto Nacional de la Propiedad Industrial</w:t>
      </w:r>
      <w:r w:rsidR="00340603" w:rsidRPr="00B9373D">
        <w:rPr>
          <w:lang w:val="es-419"/>
        </w:rPr>
        <w:t xml:space="preserve"> del Brasil</w:t>
      </w:r>
      <w:r w:rsidR="00416E83" w:rsidRPr="00B9373D">
        <w:rPr>
          <w:lang w:val="es-419"/>
        </w:rPr>
        <w:t xml:space="preserve">, </w:t>
      </w:r>
      <w:r w:rsidR="000F3148" w:rsidRPr="00B9373D">
        <w:rPr>
          <w:lang w:val="es-419"/>
        </w:rPr>
        <w:t xml:space="preserve">Oficina Española de Patentes y Marcas, Oficina de Patentes y Marcas de los Estados Unidos de América, </w:t>
      </w:r>
      <w:r w:rsidR="00416E83" w:rsidRPr="00B9373D">
        <w:rPr>
          <w:lang w:val="es-419"/>
        </w:rPr>
        <w:t xml:space="preserve">Oficina Europea de Patentes, Oficina de Patentes de Israel, Oficina Japonesa de Patentes, </w:t>
      </w:r>
      <w:r w:rsidR="00340603" w:rsidRPr="00B9373D">
        <w:rPr>
          <w:lang w:val="es-419"/>
        </w:rPr>
        <w:t xml:space="preserve">Instituto Nórdico de Patentes, </w:t>
      </w:r>
      <w:r w:rsidR="000F3148" w:rsidRPr="00B9373D">
        <w:rPr>
          <w:lang w:val="es-419"/>
        </w:rPr>
        <w:t xml:space="preserve">Servicio Federal de la Propiedad Intelectual de la Federación de Rusia (ROSPATENT), Oficina de Propiedad Intelectual de Singapur, Oficina Sueca de Propiedad Intelectual y </w:t>
      </w:r>
      <w:r w:rsidR="00416E83" w:rsidRPr="00B9373D">
        <w:rPr>
          <w:lang w:val="es-419"/>
        </w:rPr>
        <w:t>Oficina Surcoreana de Propiedad Intelectual.</w:t>
      </w:r>
      <w:r w:rsidR="00E54842" w:rsidRPr="00B9373D">
        <w:rPr>
          <w:lang w:val="es-419"/>
        </w:rPr>
        <w:t xml:space="preserve"> </w:t>
      </w:r>
      <w:r w:rsidR="00416E83" w:rsidRPr="00B9373D">
        <w:rPr>
          <w:lang w:val="es-419"/>
        </w:rPr>
        <w:t xml:space="preserve">Cuatro de las diez </w:t>
      </w:r>
      <w:r w:rsidR="00AF2FDF" w:rsidRPr="00B9373D">
        <w:rPr>
          <w:lang w:val="es-419"/>
        </w:rPr>
        <w:t>ISA</w:t>
      </w:r>
      <w:r w:rsidR="00416E83" w:rsidRPr="00B9373D">
        <w:rPr>
          <w:lang w:val="es-419"/>
        </w:rPr>
        <w:t xml:space="preserve"> restantes (las Oficinas de PI de </w:t>
      </w:r>
      <w:r w:rsidR="00AB7473" w:rsidRPr="00B9373D">
        <w:rPr>
          <w:lang w:val="es-419"/>
        </w:rPr>
        <w:t xml:space="preserve">Filipinas, </w:t>
      </w:r>
      <w:r w:rsidR="00416E83" w:rsidRPr="00B9373D">
        <w:rPr>
          <w:lang w:val="es-419"/>
        </w:rPr>
        <w:t xml:space="preserve">Finlandia, Turquía y Ucrania) </w:t>
      </w:r>
      <w:r w:rsidR="00AB7473" w:rsidRPr="00B9373D">
        <w:rPr>
          <w:lang w:val="es-419"/>
        </w:rPr>
        <w:t>son competentes</w:t>
      </w:r>
      <w:r w:rsidR="00416E83" w:rsidRPr="00B9373D">
        <w:rPr>
          <w:lang w:val="es-419"/>
        </w:rPr>
        <w:t xml:space="preserve"> únicamente </w:t>
      </w:r>
      <w:r w:rsidR="00AB7473" w:rsidRPr="00B9373D">
        <w:rPr>
          <w:lang w:val="es-419"/>
        </w:rPr>
        <w:t xml:space="preserve">en relación con </w:t>
      </w:r>
      <w:r w:rsidR="00416E83" w:rsidRPr="00B9373D">
        <w:rPr>
          <w:lang w:val="es-419"/>
        </w:rPr>
        <w:t xml:space="preserve">sus </w:t>
      </w:r>
      <w:r w:rsidR="00AB7473" w:rsidRPr="00B9373D">
        <w:rPr>
          <w:lang w:val="es-419"/>
        </w:rPr>
        <w:t xml:space="preserve">respectivos </w:t>
      </w:r>
      <w:r w:rsidR="00416E83" w:rsidRPr="00B9373D">
        <w:rPr>
          <w:lang w:val="es-419"/>
        </w:rPr>
        <w:t>nacionales y residentes.</w:t>
      </w:r>
      <w:r w:rsidR="00E54842" w:rsidRPr="00B9373D">
        <w:rPr>
          <w:lang w:val="es-419"/>
        </w:rPr>
        <w:t xml:space="preserve"> </w:t>
      </w:r>
      <w:r w:rsidR="00602FE8" w:rsidRPr="00B9373D">
        <w:rPr>
          <w:lang w:val="es-419"/>
        </w:rPr>
        <w:t xml:space="preserve">En lo que </w:t>
      </w:r>
      <w:r w:rsidR="00AB7473" w:rsidRPr="00B9373D">
        <w:rPr>
          <w:lang w:val="es-419"/>
        </w:rPr>
        <w:t>atañe</w:t>
      </w:r>
      <w:r w:rsidR="00602FE8" w:rsidRPr="00B9373D">
        <w:rPr>
          <w:lang w:val="es-419"/>
        </w:rPr>
        <w:t xml:space="preserve"> a las demás </w:t>
      </w:r>
      <w:r w:rsidR="00AB7473" w:rsidRPr="00B9373D">
        <w:rPr>
          <w:lang w:val="es-419"/>
        </w:rPr>
        <w:t>ISA</w:t>
      </w:r>
      <w:r w:rsidR="00602FE8" w:rsidRPr="00B9373D">
        <w:rPr>
          <w:lang w:val="es-419"/>
        </w:rPr>
        <w:t xml:space="preserve"> que no participan en el servicio, la Oficina Internacional está examinando con la Administración en cuestión su posible participación o </w:t>
      </w:r>
      <w:r w:rsidR="00AB7473" w:rsidRPr="00B9373D">
        <w:rPr>
          <w:lang w:val="es-419"/>
        </w:rPr>
        <w:t xml:space="preserve">la </w:t>
      </w:r>
      <w:r w:rsidR="00602FE8" w:rsidRPr="00B9373D">
        <w:rPr>
          <w:lang w:val="es-419"/>
        </w:rPr>
        <w:t>invitar</w:t>
      </w:r>
      <w:r w:rsidR="00AB7473" w:rsidRPr="00B9373D">
        <w:rPr>
          <w:lang w:val="es-419"/>
        </w:rPr>
        <w:t>á</w:t>
      </w:r>
      <w:r w:rsidR="00602FE8" w:rsidRPr="00B9373D">
        <w:rPr>
          <w:lang w:val="es-419"/>
        </w:rPr>
        <w:t xml:space="preserve"> a adherirse al servicio una vez que se hayan aclarado ciertas cuestiones bancarias y </w:t>
      </w:r>
      <w:r w:rsidR="00AB7473" w:rsidRPr="00B9373D">
        <w:rPr>
          <w:lang w:val="es-419"/>
        </w:rPr>
        <w:t>relacionadas con</w:t>
      </w:r>
      <w:r w:rsidR="00602FE8" w:rsidRPr="00B9373D">
        <w:rPr>
          <w:lang w:val="es-419"/>
        </w:rPr>
        <w:t xml:space="preserve"> la divisa.</w:t>
      </w:r>
    </w:p>
    <w:p w:rsidR="00D31893" w:rsidRPr="00B9373D" w:rsidRDefault="00602FE8" w:rsidP="00602FE8">
      <w:pPr>
        <w:pStyle w:val="Heading1"/>
        <w:rPr>
          <w:lang w:val="es-419"/>
        </w:rPr>
      </w:pPr>
      <w:r w:rsidRPr="00B9373D">
        <w:rPr>
          <w:lang w:val="es-419"/>
        </w:rPr>
        <w:t>TRANSFERENCIA DE LAS TASAS DE BÚSQUEDA</w:t>
      </w:r>
    </w:p>
    <w:p w:rsidR="00773CD1" w:rsidRPr="00B9373D" w:rsidRDefault="00096824" w:rsidP="00773CD1">
      <w:pPr>
        <w:pStyle w:val="ONUMFS"/>
        <w:rPr>
          <w:lang w:val="es-419"/>
        </w:rPr>
      </w:pPr>
      <w:r w:rsidRPr="00B9373D">
        <w:rPr>
          <w:lang w:val="es-419"/>
        </w:rPr>
        <w:t xml:space="preserve">En el cuadro 1 se muestra el número de tasas de búsqueda transferidas </w:t>
      </w:r>
      <w:r w:rsidR="00AB7473" w:rsidRPr="00B9373D">
        <w:rPr>
          <w:lang w:val="es-419"/>
        </w:rPr>
        <w:t>por conducto</w:t>
      </w:r>
      <w:r w:rsidRPr="00B9373D">
        <w:rPr>
          <w:lang w:val="es-419"/>
        </w:rPr>
        <w:t xml:space="preserve"> de la Oficina Internacional desde 2018 en </w:t>
      </w:r>
      <w:r w:rsidR="00AB7473" w:rsidRPr="00B9373D">
        <w:rPr>
          <w:lang w:val="es-419"/>
        </w:rPr>
        <w:t>la</w:t>
      </w:r>
      <w:r w:rsidRPr="00B9373D">
        <w:rPr>
          <w:lang w:val="es-419"/>
        </w:rPr>
        <w:t xml:space="preserve">s </w:t>
      </w:r>
      <w:r w:rsidR="00AB7473" w:rsidRPr="00B9373D">
        <w:rPr>
          <w:lang w:val="es-419"/>
        </w:rPr>
        <w:t>cuales</w:t>
      </w:r>
      <w:r w:rsidRPr="00B9373D">
        <w:rPr>
          <w:lang w:val="es-419"/>
        </w:rPr>
        <w:t xml:space="preserve"> la </w:t>
      </w:r>
      <w:r w:rsidR="00AB7473" w:rsidRPr="00B9373D">
        <w:rPr>
          <w:lang w:val="es-419"/>
        </w:rPr>
        <w:t xml:space="preserve">ISA </w:t>
      </w:r>
      <w:r w:rsidRPr="00B9373D">
        <w:rPr>
          <w:lang w:val="es-419"/>
        </w:rPr>
        <w:t xml:space="preserve">es una Oficina distinta de la </w:t>
      </w:r>
      <w:r w:rsidR="00AB7473" w:rsidRPr="00B9373D">
        <w:rPr>
          <w:lang w:val="es-419"/>
        </w:rPr>
        <w:t>RO</w:t>
      </w:r>
      <w:r w:rsidRPr="00B9373D">
        <w:rPr>
          <w:lang w:val="es-419"/>
        </w:rPr>
        <w:t>. En los últimos tres años, el porcentaje de tasas de búsqueda que se transfieren a través de la Oficina Internacional ha aumentado hasta el 97,7%.</w:t>
      </w:r>
    </w:p>
    <w:tbl>
      <w:tblPr>
        <w:tblStyle w:val="TableGrid"/>
        <w:tblW w:w="0" w:type="auto"/>
        <w:tblLook w:val="0620" w:firstRow="1" w:lastRow="0" w:firstColumn="0" w:lastColumn="0" w:noHBand="1" w:noVBand="1"/>
        <w:tblCaption w:val="Number and Percentage of Search Fees in Pilot or WIPO Fee Transfer Service"/>
        <w:tblDescription w:val="This table shows the number and percentage of fees that are part of the WIPO Fee Transfer Service or earlier pilot for 2018, 2019, 2020, excluding the fees where the receiving Office also acts as the International Searching Authority.  The percentage of these fees has risen from 60.5% in 2018 to 97.7% in 2020."/>
      </w:tblPr>
      <w:tblGrid>
        <w:gridCol w:w="2258"/>
        <w:gridCol w:w="2350"/>
        <w:gridCol w:w="1579"/>
        <w:gridCol w:w="1579"/>
        <w:gridCol w:w="1579"/>
      </w:tblGrid>
      <w:tr w:rsidR="00B06F76" w:rsidRPr="00B9373D" w:rsidTr="005533A9">
        <w:trPr>
          <w:trHeight w:val="449"/>
          <w:tblHeader/>
        </w:trPr>
        <w:tc>
          <w:tcPr>
            <w:tcW w:w="4608" w:type="dxa"/>
            <w:gridSpan w:val="2"/>
          </w:tcPr>
          <w:p w:rsidR="00B06F76" w:rsidRPr="00B9373D" w:rsidRDefault="00B06F76" w:rsidP="005533A9">
            <w:pPr>
              <w:keepNext/>
              <w:keepLines/>
              <w:rPr>
                <w:lang w:val="es-419"/>
              </w:rPr>
            </w:pPr>
          </w:p>
        </w:tc>
        <w:tc>
          <w:tcPr>
            <w:tcW w:w="1579" w:type="dxa"/>
          </w:tcPr>
          <w:p w:rsidR="00B06F76" w:rsidRPr="00B9373D" w:rsidRDefault="00B06F76" w:rsidP="005533A9">
            <w:pPr>
              <w:keepNext/>
              <w:keepLines/>
              <w:rPr>
                <w:lang w:val="es-419"/>
              </w:rPr>
            </w:pPr>
            <w:r w:rsidRPr="00B9373D">
              <w:rPr>
                <w:lang w:val="es-419"/>
              </w:rPr>
              <w:t>2018</w:t>
            </w:r>
          </w:p>
        </w:tc>
        <w:tc>
          <w:tcPr>
            <w:tcW w:w="1579" w:type="dxa"/>
          </w:tcPr>
          <w:p w:rsidR="00B06F76" w:rsidRPr="00B9373D" w:rsidRDefault="00B06F76" w:rsidP="005533A9">
            <w:pPr>
              <w:keepNext/>
              <w:keepLines/>
              <w:rPr>
                <w:lang w:val="es-419"/>
              </w:rPr>
            </w:pPr>
            <w:r w:rsidRPr="00B9373D">
              <w:rPr>
                <w:lang w:val="es-419"/>
              </w:rPr>
              <w:t>2019</w:t>
            </w:r>
          </w:p>
        </w:tc>
        <w:tc>
          <w:tcPr>
            <w:tcW w:w="1579" w:type="dxa"/>
          </w:tcPr>
          <w:p w:rsidR="00B06F76" w:rsidRPr="00B9373D" w:rsidRDefault="00B06F76" w:rsidP="005533A9">
            <w:pPr>
              <w:keepNext/>
              <w:keepLines/>
              <w:rPr>
                <w:lang w:val="es-419"/>
              </w:rPr>
            </w:pPr>
            <w:r w:rsidRPr="00B9373D">
              <w:rPr>
                <w:lang w:val="es-419"/>
              </w:rPr>
              <w:t>2020</w:t>
            </w:r>
          </w:p>
        </w:tc>
      </w:tr>
      <w:tr w:rsidR="00B06F76" w:rsidRPr="00B9373D" w:rsidTr="005533A9">
        <w:trPr>
          <w:trHeight w:val="1264"/>
        </w:trPr>
        <w:tc>
          <w:tcPr>
            <w:tcW w:w="2258" w:type="dxa"/>
            <w:vMerge w:val="restart"/>
          </w:tcPr>
          <w:p w:rsidR="00B06F76" w:rsidRPr="00B9373D" w:rsidRDefault="00096824" w:rsidP="005533A9">
            <w:pPr>
              <w:keepNext/>
              <w:keepLines/>
              <w:rPr>
                <w:lang w:val="es-419"/>
              </w:rPr>
            </w:pPr>
            <w:r w:rsidRPr="00B9373D">
              <w:rPr>
                <w:lang w:val="es-419"/>
              </w:rPr>
              <w:t>Búsqueda internacional realizada por Oficina distinta de la RO</w:t>
            </w:r>
          </w:p>
        </w:tc>
        <w:tc>
          <w:tcPr>
            <w:tcW w:w="2350" w:type="dxa"/>
          </w:tcPr>
          <w:p w:rsidR="00B06F76" w:rsidRPr="00B9373D" w:rsidRDefault="00B06F76" w:rsidP="005533A9">
            <w:pPr>
              <w:keepNext/>
              <w:keepLines/>
              <w:rPr>
                <w:lang w:val="es-419"/>
              </w:rPr>
            </w:pPr>
            <w:r w:rsidRPr="00B9373D">
              <w:rPr>
                <w:lang w:val="es-419"/>
              </w:rPr>
              <w:t xml:space="preserve">RO </w:t>
            </w:r>
            <w:r w:rsidR="00193FCB" w:rsidRPr="00B9373D">
              <w:rPr>
                <w:lang w:val="es-419"/>
              </w:rPr>
              <w:t>transfiere la tasa de búsqueda a través de la Oficina Internacional</w:t>
            </w:r>
          </w:p>
        </w:tc>
        <w:tc>
          <w:tcPr>
            <w:tcW w:w="1579" w:type="dxa"/>
          </w:tcPr>
          <w:p w:rsidR="00B06F76" w:rsidRPr="00B9373D" w:rsidRDefault="00B06F76" w:rsidP="005533A9">
            <w:pPr>
              <w:keepNext/>
              <w:keepLines/>
              <w:rPr>
                <w:lang w:val="es-419"/>
              </w:rPr>
            </w:pPr>
            <w:r w:rsidRPr="00B9373D">
              <w:rPr>
                <w:lang w:val="es-419"/>
              </w:rPr>
              <w:t>38</w:t>
            </w:r>
            <w:r w:rsidR="00AB7473" w:rsidRPr="00B9373D">
              <w:rPr>
                <w:lang w:val="es-419"/>
              </w:rPr>
              <w:t>.</w:t>
            </w:r>
            <w:r w:rsidRPr="00B9373D">
              <w:rPr>
                <w:lang w:val="es-419"/>
              </w:rPr>
              <w:t>231</w:t>
            </w:r>
          </w:p>
        </w:tc>
        <w:tc>
          <w:tcPr>
            <w:tcW w:w="1579" w:type="dxa"/>
          </w:tcPr>
          <w:p w:rsidR="00B06F76" w:rsidRPr="00B9373D" w:rsidRDefault="00B06F76" w:rsidP="005533A9">
            <w:pPr>
              <w:keepNext/>
              <w:keepLines/>
              <w:rPr>
                <w:lang w:val="es-419"/>
              </w:rPr>
            </w:pPr>
            <w:r w:rsidRPr="00B9373D">
              <w:rPr>
                <w:lang w:val="es-419"/>
              </w:rPr>
              <w:t>43</w:t>
            </w:r>
            <w:r w:rsidR="00AB7473" w:rsidRPr="00B9373D">
              <w:rPr>
                <w:lang w:val="es-419"/>
              </w:rPr>
              <w:t>.</w:t>
            </w:r>
            <w:r w:rsidRPr="00B9373D">
              <w:rPr>
                <w:lang w:val="es-419"/>
              </w:rPr>
              <w:t>688</w:t>
            </w:r>
          </w:p>
        </w:tc>
        <w:tc>
          <w:tcPr>
            <w:tcW w:w="1579" w:type="dxa"/>
          </w:tcPr>
          <w:p w:rsidR="00B06F76" w:rsidRPr="00B9373D" w:rsidRDefault="00B06F76" w:rsidP="005533A9">
            <w:pPr>
              <w:keepNext/>
              <w:keepLines/>
              <w:rPr>
                <w:lang w:val="es-419"/>
              </w:rPr>
            </w:pPr>
            <w:r w:rsidRPr="00B9373D">
              <w:rPr>
                <w:lang w:val="es-419"/>
              </w:rPr>
              <w:t>58</w:t>
            </w:r>
            <w:r w:rsidR="00AB7473" w:rsidRPr="00B9373D">
              <w:rPr>
                <w:lang w:val="es-419"/>
              </w:rPr>
              <w:t>.</w:t>
            </w:r>
            <w:r w:rsidRPr="00B9373D">
              <w:rPr>
                <w:lang w:val="es-419"/>
              </w:rPr>
              <w:t>186</w:t>
            </w:r>
          </w:p>
        </w:tc>
      </w:tr>
      <w:tr w:rsidR="00B06F76" w:rsidRPr="00B9373D" w:rsidTr="005533A9">
        <w:trPr>
          <w:trHeight w:val="984"/>
        </w:trPr>
        <w:tc>
          <w:tcPr>
            <w:tcW w:w="2258" w:type="dxa"/>
            <w:vMerge/>
          </w:tcPr>
          <w:p w:rsidR="00B06F76" w:rsidRPr="00B9373D" w:rsidRDefault="00B06F76" w:rsidP="005533A9">
            <w:pPr>
              <w:keepNext/>
              <w:keepLines/>
              <w:rPr>
                <w:lang w:val="es-419"/>
              </w:rPr>
            </w:pPr>
          </w:p>
        </w:tc>
        <w:tc>
          <w:tcPr>
            <w:tcW w:w="2350" w:type="dxa"/>
          </w:tcPr>
          <w:p w:rsidR="00B06F76" w:rsidRPr="00B9373D" w:rsidRDefault="00B06F76" w:rsidP="005533A9">
            <w:pPr>
              <w:keepNext/>
              <w:keepLines/>
              <w:rPr>
                <w:lang w:val="es-419"/>
              </w:rPr>
            </w:pPr>
            <w:r w:rsidRPr="00B9373D">
              <w:rPr>
                <w:lang w:val="es-419"/>
              </w:rPr>
              <w:t xml:space="preserve">RO </w:t>
            </w:r>
            <w:r w:rsidR="00193FCB" w:rsidRPr="00B9373D">
              <w:rPr>
                <w:lang w:val="es-419"/>
              </w:rPr>
              <w:t>transfiere la tasa de búsqueda directamente a la ISA</w:t>
            </w:r>
          </w:p>
        </w:tc>
        <w:tc>
          <w:tcPr>
            <w:tcW w:w="1579" w:type="dxa"/>
          </w:tcPr>
          <w:p w:rsidR="00B06F76" w:rsidRPr="00B9373D" w:rsidRDefault="00B06F76" w:rsidP="005533A9">
            <w:pPr>
              <w:keepNext/>
              <w:keepLines/>
              <w:rPr>
                <w:lang w:val="es-419"/>
              </w:rPr>
            </w:pPr>
            <w:r w:rsidRPr="00B9373D">
              <w:rPr>
                <w:lang w:val="es-419"/>
              </w:rPr>
              <w:t>24</w:t>
            </w:r>
            <w:r w:rsidR="00AB7473" w:rsidRPr="00B9373D">
              <w:rPr>
                <w:lang w:val="es-419"/>
              </w:rPr>
              <w:t>.</w:t>
            </w:r>
            <w:r w:rsidRPr="00B9373D">
              <w:rPr>
                <w:lang w:val="es-419"/>
              </w:rPr>
              <w:t>966</w:t>
            </w:r>
          </w:p>
        </w:tc>
        <w:tc>
          <w:tcPr>
            <w:tcW w:w="1579" w:type="dxa"/>
          </w:tcPr>
          <w:p w:rsidR="00B06F76" w:rsidRPr="00B9373D" w:rsidRDefault="00B06F76" w:rsidP="005533A9">
            <w:pPr>
              <w:keepNext/>
              <w:keepLines/>
              <w:rPr>
                <w:lang w:val="es-419"/>
              </w:rPr>
            </w:pPr>
            <w:r w:rsidRPr="00B9373D">
              <w:rPr>
                <w:lang w:val="es-419"/>
              </w:rPr>
              <w:t>19</w:t>
            </w:r>
            <w:r w:rsidR="00AB7473" w:rsidRPr="00B9373D">
              <w:rPr>
                <w:lang w:val="es-419"/>
              </w:rPr>
              <w:t>.</w:t>
            </w:r>
            <w:r w:rsidRPr="00B9373D">
              <w:rPr>
                <w:lang w:val="es-419"/>
              </w:rPr>
              <w:t>135</w:t>
            </w:r>
          </w:p>
        </w:tc>
        <w:tc>
          <w:tcPr>
            <w:tcW w:w="1579" w:type="dxa"/>
          </w:tcPr>
          <w:p w:rsidR="00B06F76" w:rsidRPr="00B9373D" w:rsidRDefault="00B06F76" w:rsidP="005533A9">
            <w:pPr>
              <w:keepNext/>
              <w:keepLines/>
              <w:rPr>
                <w:lang w:val="es-419"/>
              </w:rPr>
            </w:pPr>
            <w:r w:rsidRPr="00B9373D">
              <w:rPr>
                <w:lang w:val="es-419"/>
              </w:rPr>
              <w:t>1</w:t>
            </w:r>
            <w:r w:rsidR="00AB7473" w:rsidRPr="00B9373D">
              <w:rPr>
                <w:lang w:val="es-419"/>
              </w:rPr>
              <w:t>.</w:t>
            </w:r>
            <w:r w:rsidRPr="00B9373D">
              <w:rPr>
                <w:lang w:val="es-419"/>
              </w:rPr>
              <w:t>374</w:t>
            </w:r>
          </w:p>
        </w:tc>
      </w:tr>
      <w:tr w:rsidR="00B06F76" w:rsidRPr="00B9373D" w:rsidTr="005533A9">
        <w:trPr>
          <w:trHeight w:val="403"/>
        </w:trPr>
        <w:tc>
          <w:tcPr>
            <w:tcW w:w="2258" w:type="dxa"/>
            <w:vMerge/>
          </w:tcPr>
          <w:p w:rsidR="00B06F76" w:rsidRPr="00B9373D" w:rsidRDefault="00B06F76" w:rsidP="005533A9">
            <w:pPr>
              <w:keepNext/>
              <w:keepLines/>
              <w:rPr>
                <w:lang w:val="es-419"/>
              </w:rPr>
            </w:pPr>
          </w:p>
        </w:tc>
        <w:tc>
          <w:tcPr>
            <w:tcW w:w="2350" w:type="dxa"/>
          </w:tcPr>
          <w:p w:rsidR="00B06F76" w:rsidRPr="00B9373D" w:rsidRDefault="00096824" w:rsidP="005533A9">
            <w:pPr>
              <w:keepNext/>
              <w:keepLines/>
              <w:rPr>
                <w:lang w:val="es-419"/>
              </w:rPr>
            </w:pPr>
            <w:r w:rsidRPr="00B9373D">
              <w:rPr>
                <w:lang w:val="es-419"/>
              </w:rPr>
              <w:t>Total parcial</w:t>
            </w:r>
          </w:p>
        </w:tc>
        <w:tc>
          <w:tcPr>
            <w:tcW w:w="1579" w:type="dxa"/>
          </w:tcPr>
          <w:p w:rsidR="00B06F76" w:rsidRPr="00B9373D" w:rsidRDefault="00B06F76" w:rsidP="005533A9">
            <w:pPr>
              <w:keepNext/>
              <w:keepLines/>
              <w:rPr>
                <w:lang w:val="es-419"/>
              </w:rPr>
            </w:pPr>
            <w:r w:rsidRPr="00B9373D">
              <w:rPr>
                <w:lang w:val="es-419"/>
              </w:rPr>
              <w:t>63</w:t>
            </w:r>
            <w:r w:rsidR="00AB7473" w:rsidRPr="00B9373D">
              <w:rPr>
                <w:lang w:val="es-419"/>
              </w:rPr>
              <w:t>.</w:t>
            </w:r>
            <w:r w:rsidRPr="00B9373D">
              <w:rPr>
                <w:lang w:val="es-419"/>
              </w:rPr>
              <w:t>197</w:t>
            </w:r>
          </w:p>
        </w:tc>
        <w:tc>
          <w:tcPr>
            <w:tcW w:w="1579" w:type="dxa"/>
          </w:tcPr>
          <w:p w:rsidR="00B06F76" w:rsidRPr="00B9373D" w:rsidRDefault="00B06F76" w:rsidP="005533A9">
            <w:pPr>
              <w:keepNext/>
              <w:keepLines/>
              <w:rPr>
                <w:lang w:val="es-419"/>
              </w:rPr>
            </w:pPr>
            <w:r w:rsidRPr="00B9373D">
              <w:rPr>
                <w:lang w:val="es-419"/>
              </w:rPr>
              <w:t>62</w:t>
            </w:r>
            <w:r w:rsidR="00AB7473" w:rsidRPr="00B9373D">
              <w:rPr>
                <w:lang w:val="es-419"/>
              </w:rPr>
              <w:t>.</w:t>
            </w:r>
            <w:r w:rsidRPr="00B9373D">
              <w:rPr>
                <w:lang w:val="es-419"/>
              </w:rPr>
              <w:t>823</w:t>
            </w:r>
          </w:p>
        </w:tc>
        <w:tc>
          <w:tcPr>
            <w:tcW w:w="1579" w:type="dxa"/>
          </w:tcPr>
          <w:p w:rsidR="00B06F76" w:rsidRPr="00B9373D" w:rsidRDefault="00B06F76" w:rsidP="005533A9">
            <w:pPr>
              <w:keepNext/>
              <w:keepLines/>
              <w:rPr>
                <w:lang w:val="es-419"/>
              </w:rPr>
            </w:pPr>
            <w:r w:rsidRPr="00B9373D">
              <w:rPr>
                <w:lang w:val="es-419"/>
              </w:rPr>
              <w:t>59</w:t>
            </w:r>
            <w:r w:rsidR="00AB7473" w:rsidRPr="00B9373D">
              <w:rPr>
                <w:lang w:val="es-419"/>
              </w:rPr>
              <w:t>.</w:t>
            </w:r>
            <w:r w:rsidRPr="00B9373D">
              <w:rPr>
                <w:lang w:val="es-419"/>
              </w:rPr>
              <w:t>560</w:t>
            </w:r>
          </w:p>
        </w:tc>
      </w:tr>
      <w:tr w:rsidR="00B06F76" w:rsidRPr="00B9373D" w:rsidTr="005533A9">
        <w:trPr>
          <w:trHeight w:val="707"/>
        </w:trPr>
        <w:tc>
          <w:tcPr>
            <w:tcW w:w="4608" w:type="dxa"/>
            <w:gridSpan w:val="2"/>
          </w:tcPr>
          <w:p w:rsidR="00B06F76" w:rsidRPr="00B9373D" w:rsidRDefault="00096824" w:rsidP="005533A9">
            <w:pPr>
              <w:keepNext/>
              <w:keepLines/>
              <w:rPr>
                <w:lang w:val="es-419"/>
              </w:rPr>
            </w:pPr>
            <w:r w:rsidRPr="00B9373D">
              <w:rPr>
                <w:lang w:val="es-419"/>
              </w:rPr>
              <w:t xml:space="preserve">Búsqueda internacional realizada por </w:t>
            </w:r>
            <w:r w:rsidR="00A72CAC">
              <w:rPr>
                <w:lang w:val="es-419"/>
              </w:rPr>
              <w:t xml:space="preserve">la </w:t>
            </w:r>
            <w:r w:rsidRPr="00B9373D">
              <w:rPr>
                <w:lang w:val="es-419"/>
              </w:rPr>
              <w:t>misma Oficina que la RO (ISA=RO)</w:t>
            </w:r>
          </w:p>
        </w:tc>
        <w:tc>
          <w:tcPr>
            <w:tcW w:w="1579" w:type="dxa"/>
          </w:tcPr>
          <w:p w:rsidR="00B06F76" w:rsidRPr="00B9373D" w:rsidRDefault="00B06F76" w:rsidP="005533A9">
            <w:pPr>
              <w:keepNext/>
              <w:keepLines/>
              <w:rPr>
                <w:lang w:val="es-419"/>
              </w:rPr>
            </w:pPr>
            <w:r w:rsidRPr="00B9373D">
              <w:rPr>
                <w:lang w:val="es-419"/>
              </w:rPr>
              <w:t>189</w:t>
            </w:r>
            <w:r w:rsidR="00AB7473" w:rsidRPr="00B9373D">
              <w:rPr>
                <w:lang w:val="es-419"/>
              </w:rPr>
              <w:t>.</w:t>
            </w:r>
            <w:r w:rsidRPr="00B9373D">
              <w:rPr>
                <w:lang w:val="es-419"/>
              </w:rPr>
              <w:t>562</w:t>
            </w:r>
          </w:p>
        </w:tc>
        <w:tc>
          <w:tcPr>
            <w:tcW w:w="1579" w:type="dxa"/>
          </w:tcPr>
          <w:p w:rsidR="00B06F76" w:rsidRPr="00B9373D" w:rsidRDefault="00B06F76" w:rsidP="005533A9">
            <w:pPr>
              <w:keepNext/>
              <w:keepLines/>
              <w:rPr>
                <w:lang w:val="es-419"/>
              </w:rPr>
            </w:pPr>
            <w:r w:rsidRPr="00B9373D">
              <w:rPr>
                <w:lang w:val="es-419"/>
              </w:rPr>
              <w:t>202</w:t>
            </w:r>
            <w:r w:rsidR="00AB7473" w:rsidRPr="00B9373D">
              <w:rPr>
                <w:lang w:val="es-419"/>
              </w:rPr>
              <w:t>.</w:t>
            </w:r>
            <w:r w:rsidRPr="00B9373D">
              <w:rPr>
                <w:lang w:val="es-419"/>
              </w:rPr>
              <w:t>550</w:t>
            </w:r>
          </w:p>
        </w:tc>
        <w:tc>
          <w:tcPr>
            <w:tcW w:w="1579" w:type="dxa"/>
          </w:tcPr>
          <w:p w:rsidR="00B06F76" w:rsidRPr="00B9373D" w:rsidRDefault="00B06F76" w:rsidP="005533A9">
            <w:pPr>
              <w:keepNext/>
              <w:keepLines/>
              <w:rPr>
                <w:lang w:val="es-419"/>
              </w:rPr>
            </w:pPr>
            <w:r w:rsidRPr="00B9373D">
              <w:rPr>
                <w:lang w:val="es-419"/>
              </w:rPr>
              <w:t>205</w:t>
            </w:r>
            <w:r w:rsidR="00AB7473" w:rsidRPr="00B9373D">
              <w:rPr>
                <w:lang w:val="es-419"/>
              </w:rPr>
              <w:t>.</w:t>
            </w:r>
            <w:r w:rsidRPr="00B9373D">
              <w:rPr>
                <w:lang w:val="es-419"/>
              </w:rPr>
              <w:t>767</w:t>
            </w:r>
          </w:p>
        </w:tc>
      </w:tr>
      <w:tr w:rsidR="00B06F76" w:rsidRPr="00B9373D" w:rsidTr="005533A9">
        <w:trPr>
          <w:trHeight w:val="703"/>
        </w:trPr>
        <w:tc>
          <w:tcPr>
            <w:tcW w:w="4608" w:type="dxa"/>
            <w:gridSpan w:val="2"/>
          </w:tcPr>
          <w:p w:rsidR="00B06F76" w:rsidRPr="00B9373D" w:rsidRDefault="00096824" w:rsidP="005533A9">
            <w:pPr>
              <w:keepNext/>
              <w:keepLines/>
              <w:rPr>
                <w:lang w:val="es-419"/>
              </w:rPr>
            </w:pPr>
            <w:r w:rsidRPr="00B9373D">
              <w:rPr>
                <w:lang w:val="es-419"/>
              </w:rPr>
              <w:t>Número total de transferencias de tasas de búsqueda</w:t>
            </w:r>
          </w:p>
        </w:tc>
        <w:tc>
          <w:tcPr>
            <w:tcW w:w="1579" w:type="dxa"/>
          </w:tcPr>
          <w:p w:rsidR="00B06F76" w:rsidRPr="00B9373D" w:rsidRDefault="00B06F76" w:rsidP="005533A9">
            <w:pPr>
              <w:keepNext/>
              <w:keepLines/>
              <w:rPr>
                <w:lang w:val="es-419"/>
              </w:rPr>
            </w:pPr>
            <w:r w:rsidRPr="00B9373D">
              <w:rPr>
                <w:lang w:val="es-419"/>
              </w:rPr>
              <w:t>252</w:t>
            </w:r>
            <w:r w:rsidR="00AB7473" w:rsidRPr="00B9373D">
              <w:rPr>
                <w:lang w:val="es-419"/>
              </w:rPr>
              <w:t>.</w:t>
            </w:r>
            <w:r w:rsidRPr="00B9373D">
              <w:rPr>
                <w:lang w:val="es-419"/>
              </w:rPr>
              <w:t>759</w:t>
            </w:r>
          </w:p>
        </w:tc>
        <w:tc>
          <w:tcPr>
            <w:tcW w:w="1579" w:type="dxa"/>
          </w:tcPr>
          <w:p w:rsidR="00B06F76" w:rsidRPr="00B9373D" w:rsidRDefault="00B06F76" w:rsidP="005533A9">
            <w:pPr>
              <w:keepNext/>
              <w:keepLines/>
              <w:rPr>
                <w:lang w:val="es-419"/>
              </w:rPr>
            </w:pPr>
            <w:r w:rsidRPr="00B9373D">
              <w:rPr>
                <w:lang w:val="es-419"/>
              </w:rPr>
              <w:t>265</w:t>
            </w:r>
            <w:r w:rsidR="00AB7473" w:rsidRPr="00B9373D">
              <w:rPr>
                <w:lang w:val="es-419"/>
              </w:rPr>
              <w:t>.</w:t>
            </w:r>
            <w:r w:rsidRPr="00B9373D">
              <w:rPr>
                <w:lang w:val="es-419"/>
              </w:rPr>
              <w:t>373</w:t>
            </w:r>
          </w:p>
        </w:tc>
        <w:tc>
          <w:tcPr>
            <w:tcW w:w="1579" w:type="dxa"/>
          </w:tcPr>
          <w:p w:rsidR="00B06F76" w:rsidRPr="00B9373D" w:rsidRDefault="00B06F76" w:rsidP="005533A9">
            <w:pPr>
              <w:keepNext/>
              <w:keepLines/>
              <w:rPr>
                <w:lang w:val="es-419"/>
              </w:rPr>
            </w:pPr>
            <w:r w:rsidRPr="00B9373D">
              <w:rPr>
                <w:lang w:val="es-419"/>
              </w:rPr>
              <w:t>265</w:t>
            </w:r>
            <w:r w:rsidR="00AB7473" w:rsidRPr="00B9373D">
              <w:rPr>
                <w:lang w:val="es-419"/>
              </w:rPr>
              <w:t>.</w:t>
            </w:r>
            <w:r w:rsidRPr="00B9373D">
              <w:rPr>
                <w:lang w:val="es-419"/>
              </w:rPr>
              <w:t>327</w:t>
            </w:r>
          </w:p>
        </w:tc>
      </w:tr>
      <w:tr w:rsidR="00B06F76" w:rsidRPr="00B9373D" w:rsidTr="005533A9">
        <w:trPr>
          <w:trHeight w:val="982"/>
        </w:trPr>
        <w:tc>
          <w:tcPr>
            <w:tcW w:w="4608" w:type="dxa"/>
            <w:gridSpan w:val="2"/>
          </w:tcPr>
          <w:p w:rsidR="00B06F76" w:rsidRPr="00B9373D" w:rsidRDefault="00096824" w:rsidP="005533A9">
            <w:pPr>
              <w:keepNext/>
              <w:keepLines/>
              <w:rPr>
                <w:lang w:val="es-419"/>
              </w:rPr>
            </w:pPr>
            <w:r w:rsidRPr="00B9373D">
              <w:rPr>
                <w:lang w:val="es-419"/>
              </w:rPr>
              <w:t>Porcentaje de tasas de búsqueda transferidas a través de la Oficina Internacional, sin incluir ISA=RO</w:t>
            </w:r>
          </w:p>
        </w:tc>
        <w:tc>
          <w:tcPr>
            <w:tcW w:w="1579" w:type="dxa"/>
          </w:tcPr>
          <w:p w:rsidR="00B06F76" w:rsidRPr="00B9373D" w:rsidRDefault="00B06F76" w:rsidP="005533A9">
            <w:pPr>
              <w:keepNext/>
              <w:keepLines/>
              <w:rPr>
                <w:lang w:val="es-419"/>
              </w:rPr>
            </w:pPr>
            <w:r w:rsidRPr="00B9373D">
              <w:rPr>
                <w:lang w:val="es-419"/>
              </w:rPr>
              <w:t>60</w:t>
            </w:r>
            <w:r w:rsidR="00AB7473" w:rsidRPr="00B9373D">
              <w:rPr>
                <w:lang w:val="es-419"/>
              </w:rPr>
              <w:t>,</w:t>
            </w:r>
            <w:r w:rsidRPr="00B9373D">
              <w:rPr>
                <w:lang w:val="es-419"/>
              </w:rPr>
              <w:t>5%</w:t>
            </w:r>
          </w:p>
        </w:tc>
        <w:tc>
          <w:tcPr>
            <w:tcW w:w="1579" w:type="dxa"/>
          </w:tcPr>
          <w:p w:rsidR="00B06F76" w:rsidRPr="00B9373D" w:rsidRDefault="00B06F76" w:rsidP="005533A9">
            <w:pPr>
              <w:keepNext/>
              <w:keepLines/>
              <w:rPr>
                <w:lang w:val="es-419"/>
              </w:rPr>
            </w:pPr>
            <w:r w:rsidRPr="00B9373D">
              <w:rPr>
                <w:lang w:val="es-419"/>
              </w:rPr>
              <w:t>69</w:t>
            </w:r>
            <w:r w:rsidR="00AB7473" w:rsidRPr="00B9373D">
              <w:rPr>
                <w:lang w:val="es-419"/>
              </w:rPr>
              <w:t>,</w:t>
            </w:r>
            <w:r w:rsidRPr="00B9373D">
              <w:rPr>
                <w:lang w:val="es-419"/>
              </w:rPr>
              <w:t>5%</w:t>
            </w:r>
          </w:p>
        </w:tc>
        <w:tc>
          <w:tcPr>
            <w:tcW w:w="1579" w:type="dxa"/>
          </w:tcPr>
          <w:p w:rsidR="00B06F76" w:rsidRPr="00B9373D" w:rsidRDefault="00B06F76" w:rsidP="005533A9">
            <w:pPr>
              <w:keepNext/>
              <w:keepLines/>
              <w:rPr>
                <w:lang w:val="es-419"/>
              </w:rPr>
            </w:pPr>
            <w:r w:rsidRPr="00B9373D">
              <w:rPr>
                <w:lang w:val="es-419"/>
              </w:rPr>
              <w:t>97</w:t>
            </w:r>
            <w:r w:rsidR="00AB7473" w:rsidRPr="00B9373D">
              <w:rPr>
                <w:lang w:val="es-419"/>
              </w:rPr>
              <w:t>,</w:t>
            </w:r>
            <w:r w:rsidRPr="00B9373D">
              <w:rPr>
                <w:lang w:val="es-419"/>
              </w:rPr>
              <w:t>7%</w:t>
            </w:r>
          </w:p>
        </w:tc>
      </w:tr>
    </w:tbl>
    <w:p w:rsidR="00D31893" w:rsidRPr="00B9373D" w:rsidRDefault="00096824" w:rsidP="005533A9">
      <w:pPr>
        <w:pStyle w:val="ONUMFS"/>
        <w:numPr>
          <w:ilvl w:val="0"/>
          <w:numId w:val="0"/>
        </w:numPr>
        <w:rPr>
          <w:lang w:val="es-419"/>
        </w:rPr>
      </w:pPr>
      <w:r w:rsidRPr="00B9373D">
        <w:rPr>
          <w:lang w:val="es-419"/>
        </w:rPr>
        <w:t xml:space="preserve">Cuadro 1: Número de transferencias de tasas de búsqueda </w:t>
      </w:r>
      <w:r w:rsidR="00193FCB" w:rsidRPr="00B9373D">
        <w:rPr>
          <w:lang w:val="es-419"/>
        </w:rPr>
        <w:t xml:space="preserve">por conducto de </w:t>
      </w:r>
      <w:r w:rsidRPr="00B9373D">
        <w:rPr>
          <w:lang w:val="es-419"/>
        </w:rPr>
        <w:t xml:space="preserve">la Oficina Internacional y directamente a la </w:t>
      </w:r>
      <w:r w:rsidR="00193FCB" w:rsidRPr="00B9373D">
        <w:rPr>
          <w:lang w:val="es-419"/>
        </w:rPr>
        <w:t>ISA</w:t>
      </w:r>
      <w:r w:rsidRPr="00B9373D">
        <w:rPr>
          <w:lang w:val="es-419"/>
        </w:rPr>
        <w:t xml:space="preserve"> desde 2018</w:t>
      </w:r>
    </w:p>
    <w:p w:rsidR="00D31893" w:rsidRPr="00B9373D" w:rsidRDefault="00096824" w:rsidP="00096824">
      <w:pPr>
        <w:pStyle w:val="Heading1"/>
        <w:rPr>
          <w:lang w:val="es-419"/>
        </w:rPr>
      </w:pPr>
      <w:r w:rsidRPr="00B9373D">
        <w:rPr>
          <w:lang w:val="es-419"/>
        </w:rPr>
        <w:t>DIVISAS ACEPTADAS PARA LAS TASAS DE BÚSQUEDA EN EL MARCO DEL SERVICIO DE TRANSFERENCIA DE TASAS</w:t>
      </w:r>
    </w:p>
    <w:p w:rsidR="00D31893" w:rsidRPr="00B9373D" w:rsidRDefault="00096824" w:rsidP="00773CD1">
      <w:pPr>
        <w:pStyle w:val="ONUMFS"/>
        <w:rPr>
          <w:lang w:val="es-419"/>
        </w:rPr>
      </w:pPr>
      <w:r w:rsidRPr="00B9373D">
        <w:rPr>
          <w:lang w:val="es-419"/>
        </w:rPr>
        <w:t xml:space="preserve">En el marco del servicio de transferencia de tasas se </w:t>
      </w:r>
      <w:r w:rsidR="00193FCB" w:rsidRPr="00B9373D">
        <w:rPr>
          <w:lang w:val="es-419"/>
        </w:rPr>
        <w:t xml:space="preserve">permite a las RO recaudar </w:t>
      </w:r>
      <w:r w:rsidRPr="00B9373D">
        <w:rPr>
          <w:lang w:val="es-419"/>
        </w:rPr>
        <w:t xml:space="preserve">las tasas de búsqueda en cualquier moneda para la que se haya determinado un importe equivalente en virtud de la Regla </w:t>
      </w:r>
      <w:proofErr w:type="gramStart"/>
      <w:r w:rsidRPr="00B9373D">
        <w:rPr>
          <w:lang w:val="es-419"/>
        </w:rPr>
        <w:t>16.1.d)ii</w:t>
      </w:r>
      <w:proofErr w:type="gramEnd"/>
      <w:r w:rsidRPr="00B9373D">
        <w:rPr>
          <w:lang w:val="es-419"/>
        </w:rPr>
        <w:t>).</w:t>
      </w:r>
      <w:r w:rsidR="00E54842" w:rsidRPr="00B9373D">
        <w:rPr>
          <w:lang w:val="es-419"/>
        </w:rPr>
        <w:t xml:space="preserve"> </w:t>
      </w:r>
      <w:r w:rsidR="00C17C93" w:rsidRPr="00B9373D">
        <w:rPr>
          <w:lang w:val="es-419"/>
        </w:rPr>
        <w:t xml:space="preserve">Sin embargo, las </w:t>
      </w:r>
      <w:r w:rsidR="00193FCB" w:rsidRPr="00B9373D">
        <w:rPr>
          <w:lang w:val="es-419"/>
        </w:rPr>
        <w:t>RO</w:t>
      </w:r>
      <w:r w:rsidR="00C17C93" w:rsidRPr="00B9373D">
        <w:rPr>
          <w:lang w:val="es-419"/>
        </w:rPr>
        <w:t xml:space="preserve"> deben escoger una </w:t>
      </w:r>
      <w:r w:rsidR="00193FCB" w:rsidRPr="00B9373D">
        <w:rPr>
          <w:lang w:val="es-419"/>
        </w:rPr>
        <w:t>moneda</w:t>
      </w:r>
      <w:r w:rsidR="00C17C93" w:rsidRPr="00B9373D">
        <w:rPr>
          <w:lang w:val="es-419"/>
        </w:rPr>
        <w:t xml:space="preserve"> para transferir las tasas a la Oficina Internacional respecto de cada ISA. </w:t>
      </w:r>
      <w:r w:rsidR="00193FCB" w:rsidRPr="00B9373D">
        <w:rPr>
          <w:lang w:val="es-419"/>
        </w:rPr>
        <w:t>En la medida de lo</w:t>
      </w:r>
      <w:r w:rsidR="00C17C93" w:rsidRPr="00B9373D">
        <w:rPr>
          <w:lang w:val="es-419"/>
        </w:rPr>
        <w:t xml:space="preserve"> posible, las </w:t>
      </w:r>
      <w:r w:rsidR="00193FCB" w:rsidRPr="00B9373D">
        <w:rPr>
          <w:lang w:val="es-419"/>
        </w:rPr>
        <w:t>RO</w:t>
      </w:r>
      <w:r w:rsidR="00C17C93" w:rsidRPr="00B9373D">
        <w:rPr>
          <w:lang w:val="es-419"/>
        </w:rPr>
        <w:t xml:space="preserve"> deberían utilizar una sola moneda para </w:t>
      </w:r>
      <w:r w:rsidR="00193FCB" w:rsidRPr="00B9373D">
        <w:rPr>
          <w:lang w:val="es-419"/>
        </w:rPr>
        <w:t>transferir las</w:t>
      </w:r>
      <w:r w:rsidR="00C17C93" w:rsidRPr="00B9373D">
        <w:rPr>
          <w:lang w:val="es-419"/>
        </w:rPr>
        <w:t xml:space="preserve"> tasas de búsqueda, d</w:t>
      </w:r>
      <w:r w:rsidR="00193FCB" w:rsidRPr="00B9373D">
        <w:rPr>
          <w:lang w:val="es-419"/>
        </w:rPr>
        <w:t xml:space="preserve">e presentación internacional y </w:t>
      </w:r>
      <w:r w:rsidR="00C17C93" w:rsidRPr="00B9373D">
        <w:rPr>
          <w:lang w:val="es-419"/>
        </w:rPr>
        <w:t xml:space="preserve">de tramitación a la Oficina Internacional, </w:t>
      </w:r>
      <w:r w:rsidR="00193FCB" w:rsidRPr="00B9373D">
        <w:rPr>
          <w:lang w:val="es-419"/>
        </w:rPr>
        <w:t>a</w:t>
      </w:r>
      <w:r w:rsidR="00C17C93" w:rsidRPr="00B9373D">
        <w:rPr>
          <w:lang w:val="es-419"/>
        </w:rPr>
        <w:t xml:space="preserve"> fin de reducir los gastos y simplificar los procedimientos bancarios tanto en la </w:t>
      </w:r>
      <w:r w:rsidR="00193FCB" w:rsidRPr="00B9373D">
        <w:rPr>
          <w:lang w:val="es-419"/>
        </w:rPr>
        <w:t>RO</w:t>
      </w:r>
      <w:r w:rsidR="00C17C93" w:rsidRPr="00B9373D">
        <w:rPr>
          <w:lang w:val="es-419"/>
        </w:rPr>
        <w:t xml:space="preserve"> como en la Oficina Internacional, mediante una </w:t>
      </w:r>
      <w:r w:rsidR="00193FCB" w:rsidRPr="00B9373D">
        <w:rPr>
          <w:lang w:val="es-419"/>
        </w:rPr>
        <w:t xml:space="preserve">única </w:t>
      </w:r>
      <w:r w:rsidR="00C17C93" w:rsidRPr="00B9373D">
        <w:rPr>
          <w:lang w:val="es-419"/>
        </w:rPr>
        <w:t>transferencia que</w:t>
      </w:r>
      <w:r w:rsidR="00193FCB" w:rsidRPr="00B9373D">
        <w:rPr>
          <w:lang w:val="es-419"/>
        </w:rPr>
        <w:t xml:space="preserve"> incluya</w:t>
      </w:r>
      <w:r w:rsidR="00C17C93" w:rsidRPr="00B9373D">
        <w:rPr>
          <w:lang w:val="es-419"/>
        </w:rPr>
        <w:t xml:space="preserve"> todas las tasas.</w:t>
      </w:r>
      <w:r w:rsidR="00E54842" w:rsidRPr="00B9373D">
        <w:rPr>
          <w:lang w:val="es-419"/>
        </w:rPr>
        <w:t xml:space="preserve"> </w:t>
      </w:r>
      <w:r w:rsidR="00F96435" w:rsidRPr="00B9373D">
        <w:rPr>
          <w:lang w:val="es-419"/>
        </w:rPr>
        <w:t>Sin embargo</w:t>
      </w:r>
      <w:r w:rsidR="00137A52" w:rsidRPr="00B9373D">
        <w:rPr>
          <w:lang w:val="es-419"/>
        </w:rPr>
        <w:t xml:space="preserve">, algunas </w:t>
      </w:r>
      <w:r w:rsidR="00193FCB" w:rsidRPr="00B9373D">
        <w:rPr>
          <w:lang w:val="es-419"/>
        </w:rPr>
        <w:t>RO</w:t>
      </w:r>
      <w:r w:rsidR="00137A52" w:rsidRPr="00B9373D">
        <w:rPr>
          <w:lang w:val="es-419"/>
        </w:rPr>
        <w:t xml:space="preserve"> siguen enviando las tasas de búsqueda y de presentación o tramitación en </w:t>
      </w:r>
      <w:r w:rsidR="00193FCB" w:rsidRPr="00B9373D">
        <w:rPr>
          <w:lang w:val="es-419"/>
        </w:rPr>
        <w:t>distintas</w:t>
      </w:r>
      <w:r w:rsidR="00137A52" w:rsidRPr="00B9373D">
        <w:rPr>
          <w:lang w:val="es-419"/>
        </w:rPr>
        <w:t xml:space="preserve"> monedas para ajustarse a requisitos </w:t>
      </w:r>
      <w:r w:rsidR="00193FCB" w:rsidRPr="00B9373D">
        <w:rPr>
          <w:lang w:val="es-419"/>
        </w:rPr>
        <w:t xml:space="preserve">internos en materia </w:t>
      </w:r>
      <w:r w:rsidR="00137A52" w:rsidRPr="00B9373D">
        <w:rPr>
          <w:lang w:val="es-419"/>
        </w:rPr>
        <w:t>de tesorería.</w:t>
      </w:r>
      <w:r w:rsidR="00E54842" w:rsidRPr="00B9373D">
        <w:rPr>
          <w:lang w:val="es-419"/>
        </w:rPr>
        <w:t xml:space="preserve"> </w:t>
      </w:r>
      <w:r w:rsidR="00137A52" w:rsidRPr="00B9373D">
        <w:rPr>
          <w:lang w:val="es-419"/>
        </w:rPr>
        <w:t xml:space="preserve">En el marco del servicio de transferencia de tasas, la Oficina Internacional acepta las tasas de las </w:t>
      </w:r>
      <w:r w:rsidR="00193FCB" w:rsidRPr="00B9373D">
        <w:rPr>
          <w:lang w:val="es-419"/>
        </w:rPr>
        <w:t>RO</w:t>
      </w:r>
      <w:r w:rsidR="00137A52" w:rsidRPr="00B9373D">
        <w:rPr>
          <w:lang w:val="es-419"/>
        </w:rPr>
        <w:t xml:space="preserve"> participantes en 14 monedas y transfiere las tasas de búsqueda a las </w:t>
      </w:r>
      <w:r w:rsidR="00193FCB" w:rsidRPr="00B9373D">
        <w:rPr>
          <w:lang w:val="es-419"/>
        </w:rPr>
        <w:t>ISA</w:t>
      </w:r>
      <w:r w:rsidR="00137A52" w:rsidRPr="00B9373D">
        <w:rPr>
          <w:lang w:val="es-419"/>
        </w:rPr>
        <w:t xml:space="preserve"> participantes en </w:t>
      </w:r>
      <w:r w:rsidR="00193FCB" w:rsidRPr="00B9373D">
        <w:rPr>
          <w:lang w:val="es-419"/>
        </w:rPr>
        <w:t>8</w:t>
      </w:r>
      <w:r w:rsidR="00137A52" w:rsidRPr="00B9373D">
        <w:rPr>
          <w:lang w:val="es-419"/>
        </w:rPr>
        <w:t xml:space="preserve"> monedas.</w:t>
      </w:r>
      <w:r w:rsidR="00E54842" w:rsidRPr="00B9373D">
        <w:rPr>
          <w:lang w:val="es-419"/>
        </w:rPr>
        <w:t xml:space="preserve"> </w:t>
      </w:r>
      <w:r w:rsidR="00137A52" w:rsidRPr="00B9373D">
        <w:rPr>
          <w:lang w:val="es-419"/>
        </w:rPr>
        <w:t xml:space="preserve">La Oficina Internacional transfiere las tasas de búsqueda a cada </w:t>
      </w:r>
      <w:r w:rsidR="00DA4629" w:rsidRPr="00B9373D">
        <w:rPr>
          <w:lang w:val="es-419"/>
        </w:rPr>
        <w:t>ISA</w:t>
      </w:r>
      <w:r w:rsidR="00137A52" w:rsidRPr="00B9373D">
        <w:rPr>
          <w:lang w:val="es-419"/>
        </w:rPr>
        <w:t xml:space="preserve"> en </w:t>
      </w:r>
      <w:r w:rsidR="00DA4629" w:rsidRPr="00B9373D">
        <w:rPr>
          <w:lang w:val="es-419"/>
        </w:rPr>
        <w:t xml:space="preserve">la </w:t>
      </w:r>
      <w:r w:rsidR="00137A52" w:rsidRPr="00B9373D">
        <w:rPr>
          <w:lang w:val="es-419"/>
        </w:rPr>
        <w:t>moneda fijada y por el importe aplicable en la fecha de presentación internacional de la solicitud, excepto en el caso de la Oficina de Patentes de Israel, que ha solicitado recibir las tasas de búsqueda en dólares de los Estados Unidos.</w:t>
      </w:r>
      <w:r w:rsidR="00E54842" w:rsidRPr="00B9373D">
        <w:rPr>
          <w:lang w:val="es-419"/>
        </w:rPr>
        <w:t xml:space="preserve"> </w:t>
      </w:r>
    </w:p>
    <w:p w:rsidR="00D31893" w:rsidRPr="00B9373D" w:rsidRDefault="00D26886" w:rsidP="00D26886">
      <w:pPr>
        <w:pStyle w:val="Heading1"/>
        <w:rPr>
          <w:lang w:val="es-419"/>
        </w:rPr>
      </w:pPr>
      <w:r w:rsidRPr="00B9373D">
        <w:rPr>
          <w:lang w:val="es-419"/>
        </w:rPr>
        <w:t xml:space="preserve">REDUCCIÓN DE </w:t>
      </w:r>
      <w:r w:rsidR="00502A50">
        <w:rPr>
          <w:lang w:val="es-419"/>
        </w:rPr>
        <w:t>PETICIONES DE REEMBOLSO</w:t>
      </w:r>
      <w:r w:rsidRPr="00B9373D">
        <w:rPr>
          <w:lang w:val="es-419"/>
        </w:rPr>
        <w:t xml:space="preserve"> EN VIRTUD DE LA REGLA 16.1.</w:t>
      </w:r>
      <w:r w:rsidR="00DA4629" w:rsidRPr="00B9373D">
        <w:rPr>
          <w:caps w:val="0"/>
          <w:lang w:val="es-419"/>
        </w:rPr>
        <w:t>e</w:t>
      </w:r>
      <w:r w:rsidRPr="00B9373D">
        <w:rPr>
          <w:lang w:val="es-419"/>
        </w:rPr>
        <w:t>)</w:t>
      </w:r>
    </w:p>
    <w:p w:rsidR="00D31893" w:rsidRPr="00B9373D" w:rsidRDefault="00376012" w:rsidP="00773CD1">
      <w:pPr>
        <w:pStyle w:val="ONUMFS"/>
        <w:rPr>
          <w:lang w:val="es-419"/>
        </w:rPr>
      </w:pPr>
      <w:r w:rsidRPr="00B9373D">
        <w:rPr>
          <w:lang w:val="es-419"/>
        </w:rPr>
        <w:t>Uno de los objetivos del servicio de transferencia de tasas es reducir el riesgo para la Oficina Internacional en relación con el cambio de divisas extranjeras según lo dispuesto en la Regla 16.1.e).</w:t>
      </w:r>
      <w:r w:rsidR="00E54842" w:rsidRPr="00B9373D">
        <w:rPr>
          <w:lang w:val="es-419"/>
        </w:rPr>
        <w:t xml:space="preserve"> </w:t>
      </w:r>
      <w:r w:rsidR="00DA4629" w:rsidRPr="00B9373D">
        <w:rPr>
          <w:lang w:val="es-419"/>
        </w:rPr>
        <w:t>Con arreglo a</w:t>
      </w:r>
      <w:r w:rsidRPr="00B9373D">
        <w:rPr>
          <w:lang w:val="es-419"/>
        </w:rPr>
        <w:t xml:space="preserve"> esta disposición, la Oficina Internacional debe reembolsar a las </w:t>
      </w:r>
      <w:r w:rsidR="00DA4629" w:rsidRPr="00B9373D">
        <w:rPr>
          <w:lang w:val="es-419"/>
        </w:rPr>
        <w:t>ISA</w:t>
      </w:r>
      <w:r w:rsidRPr="00B9373D">
        <w:rPr>
          <w:lang w:val="es-419"/>
        </w:rPr>
        <w:t xml:space="preserve"> la pérdida generada por la diferencia entre el importe de la tasa de búsqueda en la moneda fijada y en la moneda determinada tras su conversión a la moneda fijada.</w:t>
      </w:r>
      <w:r w:rsidR="00E54842" w:rsidRPr="00B9373D">
        <w:rPr>
          <w:lang w:val="es-419"/>
        </w:rPr>
        <w:t xml:space="preserve"> </w:t>
      </w:r>
      <w:r w:rsidR="00285EEF" w:rsidRPr="00B9373D">
        <w:rPr>
          <w:lang w:val="es-419"/>
        </w:rPr>
        <w:t xml:space="preserve">Las </w:t>
      </w:r>
      <w:r w:rsidR="00DA4629" w:rsidRPr="00B9373D">
        <w:rPr>
          <w:lang w:val="es-419"/>
        </w:rPr>
        <w:t>ISA</w:t>
      </w:r>
      <w:r w:rsidR="00285EEF" w:rsidRPr="00B9373D">
        <w:rPr>
          <w:lang w:val="es-419"/>
        </w:rPr>
        <w:t xml:space="preserve"> también deben pagar a la Oficina Internacional la ganancia derivada de esa misma diferencia.</w:t>
      </w:r>
      <w:r w:rsidR="00E54842" w:rsidRPr="00B9373D">
        <w:rPr>
          <w:lang w:val="es-419"/>
        </w:rPr>
        <w:t xml:space="preserve"> </w:t>
      </w:r>
      <w:r w:rsidR="00285EEF" w:rsidRPr="00B9373D">
        <w:rPr>
          <w:lang w:val="es-419"/>
        </w:rPr>
        <w:t>En el trámite para realizar es</w:t>
      </w:r>
      <w:r w:rsidR="00DA4629" w:rsidRPr="00B9373D">
        <w:rPr>
          <w:lang w:val="es-419"/>
        </w:rPr>
        <w:t>o</w:t>
      </w:r>
      <w:r w:rsidR="00285EEF" w:rsidRPr="00B9373D">
        <w:rPr>
          <w:lang w:val="es-419"/>
        </w:rPr>
        <w:t xml:space="preserve">s pagos se exige que las </w:t>
      </w:r>
      <w:r w:rsidR="00DA4629" w:rsidRPr="00B9373D">
        <w:rPr>
          <w:lang w:val="es-419"/>
        </w:rPr>
        <w:t>ISA</w:t>
      </w:r>
      <w:r w:rsidR="00285EEF" w:rsidRPr="00B9373D">
        <w:rPr>
          <w:lang w:val="es-419"/>
        </w:rPr>
        <w:t xml:space="preserve"> presenten </w:t>
      </w:r>
      <w:r w:rsidR="00502A50">
        <w:rPr>
          <w:lang w:val="es-419"/>
        </w:rPr>
        <w:t>peticiones de reembolso</w:t>
      </w:r>
      <w:r w:rsidR="00285EEF" w:rsidRPr="00B9373D">
        <w:rPr>
          <w:lang w:val="es-419"/>
        </w:rPr>
        <w:t xml:space="preserve"> a la Oficina Internacional, lo que implica un trabajo importante de revisión de las reclamaciones.</w:t>
      </w:r>
      <w:r w:rsidR="00E54842" w:rsidRPr="00B9373D">
        <w:rPr>
          <w:lang w:val="es-419"/>
        </w:rPr>
        <w:t xml:space="preserve"> </w:t>
      </w:r>
      <w:r w:rsidR="00E94AFB" w:rsidRPr="00B9373D">
        <w:rPr>
          <w:lang w:val="es-419"/>
        </w:rPr>
        <w:t xml:space="preserve">Las cinco Oficinas que han presentado </w:t>
      </w:r>
      <w:r w:rsidR="00502A50">
        <w:rPr>
          <w:lang w:val="es-419"/>
        </w:rPr>
        <w:t xml:space="preserve">dichas peticiones </w:t>
      </w:r>
      <w:r w:rsidR="00E94AFB" w:rsidRPr="00B9373D">
        <w:rPr>
          <w:lang w:val="es-419"/>
        </w:rPr>
        <w:t xml:space="preserve">desde 2017 actualmente participan en el servicio de transferencia de tasas en calidad de </w:t>
      </w:r>
      <w:r w:rsidR="00DA4629" w:rsidRPr="00B9373D">
        <w:rPr>
          <w:lang w:val="es-419"/>
        </w:rPr>
        <w:t>ISA</w:t>
      </w:r>
      <w:r w:rsidR="00E94AFB" w:rsidRPr="00B9373D">
        <w:rPr>
          <w:lang w:val="es-419"/>
        </w:rPr>
        <w:t xml:space="preserve">. Aunque estas Oficinas son </w:t>
      </w:r>
      <w:r w:rsidR="00DA4629" w:rsidRPr="00B9373D">
        <w:rPr>
          <w:lang w:val="es-419"/>
        </w:rPr>
        <w:t>ISA</w:t>
      </w:r>
      <w:r w:rsidR="00E94AFB" w:rsidRPr="00B9373D">
        <w:rPr>
          <w:lang w:val="es-419"/>
        </w:rPr>
        <w:t xml:space="preserve"> competentes </w:t>
      </w:r>
      <w:r w:rsidR="00DA4629" w:rsidRPr="00B9373D">
        <w:rPr>
          <w:lang w:val="es-419"/>
        </w:rPr>
        <w:t>respecto de</w:t>
      </w:r>
      <w:r w:rsidR="00E94AFB" w:rsidRPr="00B9373D">
        <w:rPr>
          <w:lang w:val="es-419"/>
        </w:rPr>
        <w:t xml:space="preserve"> algunas </w:t>
      </w:r>
      <w:r w:rsidR="00DA4629" w:rsidRPr="00B9373D">
        <w:rPr>
          <w:lang w:val="es-419"/>
        </w:rPr>
        <w:t>RO</w:t>
      </w:r>
      <w:r w:rsidR="00E94AFB" w:rsidRPr="00B9373D">
        <w:rPr>
          <w:lang w:val="es-419"/>
        </w:rPr>
        <w:t xml:space="preserve"> que no participan en el servicio de transferencia de tasas, los importes reembolsados con arreglo a esta disposición deberían ser </w:t>
      </w:r>
      <w:r w:rsidR="00D80888" w:rsidRPr="00B9373D">
        <w:rPr>
          <w:lang w:val="es-419"/>
        </w:rPr>
        <w:t>mínimos</w:t>
      </w:r>
      <w:r w:rsidR="00E94AFB" w:rsidRPr="00B9373D">
        <w:rPr>
          <w:lang w:val="es-419"/>
        </w:rPr>
        <w:t xml:space="preserve">, </w:t>
      </w:r>
      <w:r w:rsidR="00DA4629" w:rsidRPr="00B9373D">
        <w:rPr>
          <w:lang w:val="es-419"/>
        </w:rPr>
        <w:t xml:space="preserve">en comparación </w:t>
      </w:r>
      <w:r w:rsidR="00E94AFB" w:rsidRPr="00B9373D">
        <w:rPr>
          <w:lang w:val="es-419"/>
        </w:rPr>
        <w:t xml:space="preserve">con </w:t>
      </w:r>
      <w:r w:rsidR="005F7E0D" w:rsidRPr="00B9373D">
        <w:rPr>
          <w:lang w:val="es-419"/>
        </w:rPr>
        <w:t xml:space="preserve">aquellos </w:t>
      </w:r>
      <w:r w:rsidR="00DA4629" w:rsidRPr="00B9373D">
        <w:rPr>
          <w:lang w:val="es-419"/>
        </w:rPr>
        <w:t xml:space="preserve">importes que, en años recientes, </w:t>
      </w:r>
      <w:r w:rsidR="00E94AFB" w:rsidRPr="00B9373D">
        <w:rPr>
          <w:lang w:val="es-419"/>
        </w:rPr>
        <w:t>han superado los 500.000 francos suizos.</w:t>
      </w:r>
      <w:r w:rsidR="00E54842" w:rsidRPr="00B9373D">
        <w:rPr>
          <w:lang w:val="es-419"/>
        </w:rPr>
        <w:t xml:space="preserve"> </w:t>
      </w:r>
    </w:p>
    <w:p w:rsidR="00D31893" w:rsidRPr="00B9373D" w:rsidRDefault="00E94AFB" w:rsidP="00E94AFB">
      <w:pPr>
        <w:pStyle w:val="Heading1"/>
        <w:rPr>
          <w:lang w:val="es-419"/>
        </w:rPr>
      </w:pPr>
      <w:r w:rsidRPr="00B9373D">
        <w:rPr>
          <w:lang w:val="es-419"/>
        </w:rPr>
        <w:t>FUTURA PARTICIPACIÓN DE OFICINAS RECEPTORAS</w:t>
      </w:r>
    </w:p>
    <w:p w:rsidR="00D31893" w:rsidRPr="00B9373D" w:rsidRDefault="00057863" w:rsidP="00773CD1">
      <w:pPr>
        <w:pStyle w:val="ONUMFS"/>
        <w:rPr>
          <w:lang w:val="es-419"/>
        </w:rPr>
      </w:pPr>
      <w:r w:rsidRPr="00B9373D">
        <w:rPr>
          <w:lang w:val="es-419"/>
        </w:rPr>
        <w:t xml:space="preserve">Si bien el servicio de transferencia de tasas abarca en este momento la mayoría de las </w:t>
      </w:r>
      <w:r w:rsidR="0089644E" w:rsidRPr="00B9373D">
        <w:rPr>
          <w:lang w:val="es-419"/>
        </w:rPr>
        <w:t>ISA</w:t>
      </w:r>
      <w:r w:rsidRPr="00B9373D">
        <w:rPr>
          <w:lang w:val="es-419"/>
        </w:rPr>
        <w:t xml:space="preserve"> y </w:t>
      </w:r>
      <w:r w:rsidR="0089644E" w:rsidRPr="00B9373D">
        <w:rPr>
          <w:lang w:val="es-419"/>
        </w:rPr>
        <w:t>RO</w:t>
      </w:r>
      <w:r w:rsidRPr="00B9373D">
        <w:rPr>
          <w:lang w:val="es-419"/>
        </w:rPr>
        <w:t xml:space="preserve">, incluidas las </w:t>
      </w:r>
      <w:r w:rsidR="0089644E" w:rsidRPr="00B9373D">
        <w:rPr>
          <w:lang w:val="es-419"/>
        </w:rPr>
        <w:t xml:space="preserve">ISA </w:t>
      </w:r>
      <w:r w:rsidRPr="00B9373D">
        <w:rPr>
          <w:lang w:val="es-419"/>
        </w:rPr>
        <w:t xml:space="preserve">que reciben el mayor volumen de tasas de búsqueda procedentes de otras </w:t>
      </w:r>
      <w:r w:rsidR="0089644E" w:rsidRPr="00B9373D">
        <w:rPr>
          <w:lang w:val="es-419"/>
        </w:rPr>
        <w:t>RO</w:t>
      </w:r>
      <w:r w:rsidRPr="00B9373D">
        <w:rPr>
          <w:lang w:val="es-419"/>
        </w:rPr>
        <w:t xml:space="preserve">, no se </w:t>
      </w:r>
      <w:r w:rsidR="0089644E" w:rsidRPr="00B9373D">
        <w:rPr>
          <w:lang w:val="es-419"/>
        </w:rPr>
        <w:t xml:space="preserve">podrá </w:t>
      </w:r>
      <w:r w:rsidRPr="00B9373D">
        <w:rPr>
          <w:lang w:val="es-419"/>
        </w:rPr>
        <w:t xml:space="preserve">sacar todo el </w:t>
      </w:r>
      <w:r w:rsidR="005F7E0D" w:rsidRPr="00B9373D">
        <w:rPr>
          <w:lang w:val="es-419"/>
        </w:rPr>
        <w:t xml:space="preserve">provecho </w:t>
      </w:r>
      <w:r w:rsidR="0089644E" w:rsidRPr="00B9373D">
        <w:rPr>
          <w:lang w:val="es-419"/>
        </w:rPr>
        <w:t xml:space="preserve">al </w:t>
      </w:r>
      <w:r w:rsidRPr="00B9373D">
        <w:rPr>
          <w:lang w:val="es-419"/>
        </w:rPr>
        <w:t xml:space="preserve">servicio hasta que todas las </w:t>
      </w:r>
      <w:r w:rsidR="0089644E" w:rsidRPr="00B9373D">
        <w:rPr>
          <w:lang w:val="es-419"/>
        </w:rPr>
        <w:t xml:space="preserve">ISA y RO </w:t>
      </w:r>
      <w:r w:rsidRPr="00B9373D">
        <w:rPr>
          <w:lang w:val="es-419"/>
        </w:rPr>
        <w:t>se hayan adherido.</w:t>
      </w:r>
      <w:r w:rsidR="00E54842" w:rsidRPr="00B9373D">
        <w:rPr>
          <w:lang w:val="es-419"/>
        </w:rPr>
        <w:t xml:space="preserve"> </w:t>
      </w:r>
      <w:r w:rsidRPr="00B9373D">
        <w:rPr>
          <w:lang w:val="es-419"/>
        </w:rPr>
        <w:t xml:space="preserve">Sin la participación de todas las </w:t>
      </w:r>
      <w:r w:rsidR="0089644E" w:rsidRPr="00B9373D">
        <w:rPr>
          <w:lang w:val="es-419"/>
        </w:rPr>
        <w:t>RO</w:t>
      </w:r>
      <w:r w:rsidRPr="00B9373D">
        <w:rPr>
          <w:lang w:val="es-419"/>
        </w:rPr>
        <w:t xml:space="preserve"> que han especificado que la </w:t>
      </w:r>
      <w:r w:rsidR="0089644E" w:rsidRPr="00B9373D">
        <w:rPr>
          <w:lang w:val="es-419"/>
        </w:rPr>
        <w:t xml:space="preserve">ISA </w:t>
      </w:r>
      <w:r w:rsidRPr="00B9373D">
        <w:rPr>
          <w:lang w:val="es-419"/>
        </w:rPr>
        <w:t xml:space="preserve">en cuestión es competente para la búsqueda de solicitudes internacionales, dicha </w:t>
      </w:r>
      <w:r w:rsidR="00725270" w:rsidRPr="00B9373D">
        <w:rPr>
          <w:lang w:val="es-419"/>
        </w:rPr>
        <w:t xml:space="preserve">ISA </w:t>
      </w:r>
      <w:r w:rsidRPr="00B9373D">
        <w:rPr>
          <w:lang w:val="es-419"/>
        </w:rPr>
        <w:t xml:space="preserve">seguirá recibiendo directamente las tasas de búsqueda de las </w:t>
      </w:r>
      <w:r w:rsidR="00725270" w:rsidRPr="00B9373D">
        <w:rPr>
          <w:lang w:val="es-419"/>
        </w:rPr>
        <w:t xml:space="preserve">RO </w:t>
      </w:r>
      <w:r w:rsidRPr="00B9373D">
        <w:rPr>
          <w:lang w:val="es-419"/>
        </w:rPr>
        <w:t>no participantes, para lo cual necesitará un procedimiento distinto en función de la</w:t>
      </w:r>
      <w:r w:rsidR="00725270" w:rsidRPr="00B9373D">
        <w:rPr>
          <w:lang w:val="es-419"/>
        </w:rPr>
        <w:t xml:space="preserve"> RO</w:t>
      </w:r>
      <w:r w:rsidRPr="00B9373D">
        <w:rPr>
          <w:lang w:val="es-419"/>
        </w:rPr>
        <w:t xml:space="preserve">. </w:t>
      </w:r>
      <w:r w:rsidR="00133A0D">
        <w:rPr>
          <w:lang w:val="es-419"/>
        </w:rPr>
        <w:t>N</w:t>
      </w:r>
      <w:r w:rsidR="00133A0D" w:rsidRPr="00B9373D">
        <w:rPr>
          <w:lang w:val="es-419"/>
        </w:rPr>
        <w:t xml:space="preserve">o se podrán eliminar </w:t>
      </w:r>
      <w:r w:rsidR="00133A0D">
        <w:rPr>
          <w:lang w:val="es-419"/>
        </w:rPr>
        <w:t>l</w:t>
      </w:r>
      <w:r w:rsidRPr="00B9373D">
        <w:rPr>
          <w:lang w:val="es-419"/>
        </w:rPr>
        <w:t xml:space="preserve">os costos e ineficiencias </w:t>
      </w:r>
      <w:r w:rsidR="00725270" w:rsidRPr="00B9373D">
        <w:rPr>
          <w:lang w:val="es-419"/>
        </w:rPr>
        <w:t xml:space="preserve">que deberán soportar </w:t>
      </w:r>
      <w:r w:rsidRPr="00B9373D">
        <w:rPr>
          <w:lang w:val="es-419"/>
        </w:rPr>
        <w:t xml:space="preserve">la Oficina Internacional y las </w:t>
      </w:r>
      <w:r w:rsidR="00725270" w:rsidRPr="00B9373D">
        <w:rPr>
          <w:lang w:val="es-419"/>
        </w:rPr>
        <w:t>ISA a raíz de</w:t>
      </w:r>
      <w:r w:rsidRPr="00B9373D">
        <w:rPr>
          <w:lang w:val="es-419"/>
        </w:rPr>
        <w:t xml:space="preserve"> mantener dos procedimientos para la gestión de las tasas de búsqueda.</w:t>
      </w:r>
      <w:r w:rsidR="00E54842" w:rsidRPr="00B9373D">
        <w:rPr>
          <w:lang w:val="es-419"/>
        </w:rPr>
        <w:t xml:space="preserve"> </w:t>
      </w:r>
      <w:r w:rsidRPr="00B9373D">
        <w:rPr>
          <w:lang w:val="es-419"/>
        </w:rPr>
        <w:t xml:space="preserve">Además, </w:t>
      </w:r>
      <w:r w:rsidR="00725270" w:rsidRPr="00B9373D">
        <w:rPr>
          <w:lang w:val="es-419"/>
        </w:rPr>
        <w:t>cuando la</w:t>
      </w:r>
      <w:r w:rsidRPr="00B9373D">
        <w:rPr>
          <w:lang w:val="es-419"/>
        </w:rPr>
        <w:t xml:space="preserve"> moneda </w:t>
      </w:r>
      <w:r w:rsidR="00725270" w:rsidRPr="00B9373D">
        <w:rPr>
          <w:lang w:val="es-419"/>
        </w:rPr>
        <w:t xml:space="preserve">determinada </w:t>
      </w:r>
      <w:r w:rsidRPr="00B9373D">
        <w:rPr>
          <w:lang w:val="es-419"/>
        </w:rPr>
        <w:t xml:space="preserve">para que la </w:t>
      </w:r>
      <w:r w:rsidR="00725270" w:rsidRPr="00B9373D">
        <w:rPr>
          <w:lang w:val="es-419"/>
        </w:rPr>
        <w:t xml:space="preserve">RO </w:t>
      </w:r>
      <w:r w:rsidRPr="00B9373D">
        <w:rPr>
          <w:lang w:val="es-419"/>
        </w:rPr>
        <w:t xml:space="preserve">no participante </w:t>
      </w:r>
      <w:r w:rsidR="00725270" w:rsidRPr="00B9373D">
        <w:rPr>
          <w:lang w:val="es-419"/>
        </w:rPr>
        <w:t xml:space="preserve">perciba </w:t>
      </w:r>
      <w:r w:rsidRPr="00B9373D">
        <w:rPr>
          <w:lang w:val="es-419"/>
        </w:rPr>
        <w:t xml:space="preserve">la tasa de búsqueda sea diferente de la moneda fijada, </w:t>
      </w:r>
      <w:r w:rsidR="00725270" w:rsidRPr="00B9373D">
        <w:rPr>
          <w:lang w:val="es-419"/>
        </w:rPr>
        <w:t xml:space="preserve">se tendrá que seguir aplicando el procedimiento </w:t>
      </w:r>
      <w:r w:rsidRPr="00B9373D">
        <w:rPr>
          <w:lang w:val="es-419"/>
        </w:rPr>
        <w:t>para la realización de pagos en virtud de la Regla 16.1.e) debido a diferencias en la conversión de monedas.</w:t>
      </w:r>
      <w:r w:rsidR="00E54842" w:rsidRPr="00B9373D">
        <w:rPr>
          <w:lang w:val="es-419"/>
        </w:rPr>
        <w:t xml:space="preserve"> </w:t>
      </w:r>
      <w:r w:rsidR="00CE6C3D" w:rsidRPr="00B9373D">
        <w:rPr>
          <w:lang w:val="es-419"/>
        </w:rPr>
        <w:t xml:space="preserve">De las 118 Oficinas que actúan en calidad de </w:t>
      </w:r>
      <w:r w:rsidR="00725270" w:rsidRPr="00B9373D">
        <w:rPr>
          <w:lang w:val="es-419"/>
        </w:rPr>
        <w:t>RO</w:t>
      </w:r>
      <w:r w:rsidR="00CE6C3D" w:rsidRPr="00B9373D">
        <w:rPr>
          <w:lang w:val="es-419"/>
        </w:rPr>
        <w:t>, más de 50 aún no participan en el servicio de transferencia de tasas.</w:t>
      </w:r>
      <w:r w:rsidR="00E54842" w:rsidRPr="00B9373D">
        <w:rPr>
          <w:lang w:val="es-419"/>
        </w:rPr>
        <w:t xml:space="preserve"> </w:t>
      </w:r>
      <w:r w:rsidR="00CE6C3D" w:rsidRPr="00B9373D">
        <w:rPr>
          <w:lang w:val="es-419"/>
        </w:rPr>
        <w:t xml:space="preserve">La Oficina Internacional ha invitado a casi todas las </w:t>
      </w:r>
      <w:r w:rsidR="00725270" w:rsidRPr="00B9373D">
        <w:rPr>
          <w:lang w:val="es-419"/>
        </w:rPr>
        <w:t>RO</w:t>
      </w:r>
      <w:r w:rsidR="00CE6C3D" w:rsidRPr="00B9373D">
        <w:rPr>
          <w:lang w:val="es-419"/>
        </w:rPr>
        <w:t xml:space="preserve"> que han recibido una solicitud internacional desde 2016 en la cual se especifica que es competente una </w:t>
      </w:r>
      <w:r w:rsidR="00725270" w:rsidRPr="00B9373D">
        <w:rPr>
          <w:lang w:val="es-419"/>
        </w:rPr>
        <w:t>ISA</w:t>
      </w:r>
      <w:r w:rsidR="00CE6C3D" w:rsidRPr="00B9373D">
        <w:rPr>
          <w:lang w:val="es-419"/>
        </w:rPr>
        <w:t xml:space="preserve"> que participa en el servicio de transferencia de tasas, y tiene previsto hacer un seguimiento de esas invitaciones y tratar de encontrar soluciones a cualquier problema que pueda impedir la adhesión de una </w:t>
      </w:r>
      <w:r w:rsidR="00725270" w:rsidRPr="00B9373D">
        <w:rPr>
          <w:lang w:val="es-419"/>
        </w:rPr>
        <w:t>RO</w:t>
      </w:r>
      <w:r w:rsidR="00CE6C3D" w:rsidRPr="00B9373D">
        <w:rPr>
          <w:lang w:val="es-419"/>
        </w:rPr>
        <w:t>.</w:t>
      </w:r>
      <w:r w:rsidR="00E54842" w:rsidRPr="00B9373D">
        <w:rPr>
          <w:lang w:val="es-419"/>
        </w:rPr>
        <w:t xml:space="preserve"> </w:t>
      </w:r>
      <w:r w:rsidR="00CE6C3D" w:rsidRPr="00B9373D">
        <w:rPr>
          <w:lang w:val="es-419"/>
        </w:rPr>
        <w:t xml:space="preserve">Las </w:t>
      </w:r>
      <w:r w:rsidR="00725270" w:rsidRPr="00B9373D">
        <w:rPr>
          <w:lang w:val="es-419"/>
        </w:rPr>
        <w:t>RO</w:t>
      </w:r>
      <w:r w:rsidR="00CE6C3D" w:rsidRPr="00B9373D">
        <w:rPr>
          <w:lang w:val="es-419"/>
        </w:rPr>
        <w:t xml:space="preserve"> que aún no participan en el servicio pueden ponerse en contacto con la Oficina Internacional a través de las direcciones </w:t>
      </w:r>
      <w:hyperlink r:id="rId9" w:history="1">
        <w:r w:rsidR="00CE6C3D" w:rsidRPr="00B9373D">
          <w:rPr>
            <w:rStyle w:val="Hyperlink"/>
            <w:color w:val="auto"/>
            <w:lang w:val="es-419"/>
          </w:rPr>
          <w:t>income.pct@wipo.int</w:t>
        </w:r>
      </w:hyperlink>
      <w:r w:rsidR="00CE6C3D" w:rsidRPr="00B9373D">
        <w:rPr>
          <w:lang w:val="es-419"/>
        </w:rPr>
        <w:t xml:space="preserve"> y </w:t>
      </w:r>
      <w:hyperlink r:id="rId10" w:history="1">
        <w:r w:rsidR="00CE6C3D" w:rsidRPr="00B9373D">
          <w:rPr>
            <w:rStyle w:val="Hyperlink"/>
            <w:color w:val="auto"/>
            <w:lang w:val="es-419"/>
          </w:rPr>
          <w:t>fee.pct@wipo.int</w:t>
        </w:r>
      </w:hyperlink>
      <w:r w:rsidR="00CE6C3D" w:rsidRPr="00B9373D">
        <w:rPr>
          <w:lang w:val="es-419"/>
        </w:rPr>
        <w:t xml:space="preserve"> para examinar </w:t>
      </w:r>
      <w:r w:rsidR="00725270" w:rsidRPr="00B9373D">
        <w:rPr>
          <w:lang w:val="es-419"/>
        </w:rPr>
        <w:t xml:space="preserve">el modo en que podrían </w:t>
      </w:r>
      <w:r w:rsidR="00CE6C3D" w:rsidRPr="00B9373D">
        <w:rPr>
          <w:lang w:val="es-419"/>
        </w:rPr>
        <w:t>adherirse al servicio.</w:t>
      </w:r>
    </w:p>
    <w:p w:rsidR="00D31893" w:rsidRPr="00B9373D" w:rsidRDefault="00CE6C3D" w:rsidP="00773CD1">
      <w:pPr>
        <w:pStyle w:val="ONUMFS"/>
        <w:rPr>
          <w:lang w:val="es-419"/>
        </w:rPr>
      </w:pPr>
      <w:r w:rsidRPr="00B9373D">
        <w:rPr>
          <w:lang w:val="es-419"/>
        </w:rPr>
        <w:t xml:space="preserve">Varias </w:t>
      </w:r>
      <w:r w:rsidR="00725270" w:rsidRPr="00B9373D">
        <w:rPr>
          <w:lang w:val="es-419"/>
        </w:rPr>
        <w:t>ISA</w:t>
      </w:r>
      <w:r w:rsidRPr="00B9373D">
        <w:rPr>
          <w:lang w:val="es-419"/>
        </w:rPr>
        <w:t xml:space="preserve"> han indicado que desearían que todas las </w:t>
      </w:r>
      <w:r w:rsidR="004D02F7" w:rsidRPr="00B9373D">
        <w:rPr>
          <w:lang w:val="es-419"/>
        </w:rPr>
        <w:t>RO</w:t>
      </w:r>
      <w:r w:rsidRPr="00B9373D">
        <w:rPr>
          <w:lang w:val="es-419"/>
        </w:rPr>
        <w:t xml:space="preserve"> respecto de las cuales son competentes para actuar </w:t>
      </w:r>
      <w:r w:rsidR="004D02F7" w:rsidRPr="00B9373D">
        <w:rPr>
          <w:lang w:val="es-419"/>
        </w:rPr>
        <w:t>en calidad de ISA</w:t>
      </w:r>
      <w:r w:rsidRPr="00B9373D">
        <w:rPr>
          <w:lang w:val="es-419"/>
        </w:rPr>
        <w:t xml:space="preserve"> tuvieran la obligación de transmitir las tasas solo a través del servicio de transferencia de tasas y no directamente.</w:t>
      </w:r>
      <w:r w:rsidR="00E54842" w:rsidRPr="00B9373D">
        <w:rPr>
          <w:lang w:val="es-419"/>
        </w:rPr>
        <w:t xml:space="preserve"> </w:t>
      </w:r>
      <w:r w:rsidR="00F75D47" w:rsidRPr="00B9373D">
        <w:rPr>
          <w:lang w:val="es-419"/>
        </w:rPr>
        <w:t xml:space="preserve">Esto puede </w:t>
      </w:r>
      <w:r w:rsidR="004D02F7" w:rsidRPr="00B9373D">
        <w:rPr>
          <w:lang w:val="es-419"/>
        </w:rPr>
        <w:t>lograrse</w:t>
      </w:r>
      <w:r w:rsidR="00F75D47" w:rsidRPr="00B9373D">
        <w:rPr>
          <w:lang w:val="es-419"/>
        </w:rPr>
        <w:t xml:space="preserve"> modificando el Anexo A de los acuerdos </w:t>
      </w:r>
      <w:r w:rsidR="004D02F7" w:rsidRPr="00B9373D">
        <w:rPr>
          <w:lang w:val="es-419"/>
        </w:rPr>
        <w:t>que tienen suscritos</w:t>
      </w:r>
      <w:r w:rsidR="00F75D47" w:rsidRPr="00B9373D">
        <w:rPr>
          <w:lang w:val="es-419"/>
        </w:rPr>
        <w:t xml:space="preserve"> con la Oficina Internacional en virtud del </w:t>
      </w:r>
      <w:r w:rsidR="0037202D" w:rsidRPr="00B9373D">
        <w:rPr>
          <w:lang w:val="es-419"/>
        </w:rPr>
        <w:t>A</w:t>
      </w:r>
      <w:r w:rsidR="00F75D47" w:rsidRPr="00B9373D">
        <w:rPr>
          <w:lang w:val="es-419"/>
        </w:rPr>
        <w:t xml:space="preserve">rtículo </w:t>
      </w:r>
      <w:proofErr w:type="gramStart"/>
      <w:r w:rsidR="00F75D47" w:rsidRPr="00B9373D">
        <w:rPr>
          <w:lang w:val="es-419"/>
        </w:rPr>
        <w:t>16.3)b</w:t>
      </w:r>
      <w:proofErr w:type="gramEnd"/>
      <w:r w:rsidR="00F75D47" w:rsidRPr="00B9373D">
        <w:rPr>
          <w:lang w:val="es-419"/>
        </w:rPr>
        <w:t xml:space="preserve">) a fin de </w:t>
      </w:r>
      <w:r w:rsidR="004D02F7" w:rsidRPr="00B9373D">
        <w:rPr>
          <w:lang w:val="es-419"/>
        </w:rPr>
        <w:t>incluir</w:t>
      </w:r>
      <w:r w:rsidR="00F75D47" w:rsidRPr="00B9373D">
        <w:rPr>
          <w:lang w:val="es-419"/>
        </w:rPr>
        <w:t xml:space="preserve"> el uso del servicio como un requisito para poder especificar que una determinada </w:t>
      </w:r>
      <w:r w:rsidR="004D02F7" w:rsidRPr="00B9373D">
        <w:rPr>
          <w:lang w:val="es-419"/>
        </w:rPr>
        <w:t>ISA</w:t>
      </w:r>
      <w:r w:rsidR="00F75D47" w:rsidRPr="00B9373D">
        <w:rPr>
          <w:lang w:val="es-419"/>
        </w:rPr>
        <w:t xml:space="preserve"> es competente, sin necesidad de modificar las Instrucciones Administrativas.</w:t>
      </w:r>
      <w:r w:rsidR="00E54842" w:rsidRPr="00B9373D">
        <w:rPr>
          <w:lang w:val="es-419"/>
        </w:rPr>
        <w:t xml:space="preserve"> </w:t>
      </w:r>
      <w:r w:rsidR="00F75D47" w:rsidRPr="00B9373D">
        <w:rPr>
          <w:lang w:val="es-419"/>
        </w:rPr>
        <w:t xml:space="preserve">Dado que </w:t>
      </w:r>
      <w:r w:rsidR="004D02F7" w:rsidRPr="00B9373D">
        <w:rPr>
          <w:lang w:val="es-419"/>
        </w:rPr>
        <w:t>ello supondría una</w:t>
      </w:r>
      <w:r w:rsidR="00F75D47" w:rsidRPr="00B9373D">
        <w:rPr>
          <w:lang w:val="es-419"/>
        </w:rPr>
        <w:t xml:space="preserve"> reducción </w:t>
      </w:r>
      <w:r w:rsidR="004D02F7" w:rsidRPr="00B9373D">
        <w:rPr>
          <w:lang w:val="es-419"/>
        </w:rPr>
        <w:t>de sus posibles</w:t>
      </w:r>
      <w:r w:rsidR="00F75D47" w:rsidRPr="00B9373D">
        <w:rPr>
          <w:lang w:val="es-419"/>
        </w:rPr>
        <w:t xml:space="preserve"> competencia</w:t>
      </w:r>
      <w:r w:rsidR="004D02F7" w:rsidRPr="00B9373D">
        <w:rPr>
          <w:lang w:val="es-419"/>
        </w:rPr>
        <w:t>s</w:t>
      </w:r>
      <w:r w:rsidR="00F75D47" w:rsidRPr="00B9373D">
        <w:rPr>
          <w:lang w:val="es-419"/>
        </w:rPr>
        <w:t xml:space="preserve">, </w:t>
      </w:r>
      <w:r w:rsidR="00133A0D" w:rsidRPr="00B9373D">
        <w:rPr>
          <w:lang w:val="es-419"/>
        </w:rPr>
        <w:t xml:space="preserve">el director general </w:t>
      </w:r>
      <w:r w:rsidR="00133A0D">
        <w:rPr>
          <w:lang w:val="es-419"/>
        </w:rPr>
        <w:t xml:space="preserve">tendría que convenir en </w:t>
      </w:r>
      <w:r w:rsidR="00F75D47" w:rsidRPr="00B9373D">
        <w:rPr>
          <w:lang w:val="es-419"/>
        </w:rPr>
        <w:t xml:space="preserve">la modificación en virtud del </w:t>
      </w:r>
      <w:r w:rsidR="0037202D" w:rsidRPr="00B9373D">
        <w:rPr>
          <w:lang w:val="es-419"/>
        </w:rPr>
        <w:t>A</w:t>
      </w:r>
      <w:r w:rsidR="00F75D47" w:rsidRPr="00B9373D">
        <w:rPr>
          <w:lang w:val="es-419"/>
        </w:rPr>
        <w:t>rtículo 11.2</w:t>
      </w:r>
      <w:r w:rsidR="004D02F7" w:rsidRPr="00B9373D">
        <w:rPr>
          <w:lang w:val="es-419"/>
        </w:rPr>
        <w:t>)</w:t>
      </w:r>
      <w:r w:rsidR="00F75D47" w:rsidRPr="00B9373D">
        <w:rPr>
          <w:lang w:val="es-419"/>
        </w:rPr>
        <w:t xml:space="preserve"> del acuerdo correspondiente.</w:t>
      </w:r>
      <w:r w:rsidR="00E54842" w:rsidRPr="00B9373D">
        <w:rPr>
          <w:lang w:val="es-419"/>
        </w:rPr>
        <w:t xml:space="preserve"> </w:t>
      </w:r>
      <w:r w:rsidR="00F75D47" w:rsidRPr="00B9373D">
        <w:rPr>
          <w:lang w:val="es-419"/>
        </w:rPr>
        <w:t xml:space="preserve">Dicho esto, el director general estaría dispuesto a </w:t>
      </w:r>
      <w:r w:rsidR="000C06B9">
        <w:rPr>
          <w:lang w:val="es-419"/>
        </w:rPr>
        <w:t>convenir en</w:t>
      </w:r>
      <w:r w:rsidR="00F75D47" w:rsidRPr="00B9373D">
        <w:rPr>
          <w:lang w:val="es-419"/>
        </w:rPr>
        <w:t xml:space="preserve"> tales modificaciones siempre que se avisara con suficiente antelación para que las </w:t>
      </w:r>
      <w:r w:rsidR="004D02F7" w:rsidRPr="00B9373D">
        <w:rPr>
          <w:lang w:val="es-419"/>
        </w:rPr>
        <w:t>RO</w:t>
      </w:r>
      <w:r w:rsidR="00F75D47" w:rsidRPr="00B9373D">
        <w:rPr>
          <w:lang w:val="es-419"/>
        </w:rPr>
        <w:t xml:space="preserve"> pudieran adoptar las disposiciones oportunas a tal efecto y que no </w:t>
      </w:r>
      <w:r w:rsidR="004D02F7" w:rsidRPr="00B9373D">
        <w:rPr>
          <w:lang w:val="es-419"/>
        </w:rPr>
        <w:t xml:space="preserve">se </w:t>
      </w:r>
      <w:r w:rsidR="00F75D47" w:rsidRPr="00B9373D">
        <w:rPr>
          <w:lang w:val="es-419"/>
        </w:rPr>
        <w:t xml:space="preserve">dejara a ninguna de ellas sin la posibilidad de especificar como competente a una </w:t>
      </w:r>
      <w:r w:rsidR="004D02F7" w:rsidRPr="00B9373D">
        <w:rPr>
          <w:lang w:val="es-419"/>
        </w:rPr>
        <w:t>ISA</w:t>
      </w:r>
      <w:r w:rsidR="00F75D47" w:rsidRPr="00B9373D">
        <w:rPr>
          <w:lang w:val="es-419"/>
        </w:rPr>
        <w:t>.</w:t>
      </w:r>
    </w:p>
    <w:p w:rsidR="00D31893" w:rsidRPr="00B9373D" w:rsidRDefault="00ED5FB8" w:rsidP="00ED5FB8">
      <w:pPr>
        <w:pStyle w:val="Heading1"/>
        <w:rPr>
          <w:lang w:val="es-419"/>
        </w:rPr>
      </w:pPr>
      <w:r w:rsidRPr="00B9373D">
        <w:rPr>
          <w:lang w:val="es-419"/>
        </w:rPr>
        <w:t>INTERCAMBIO DE INFORMACIÓN SOBRE TASAS</w:t>
      </w:r>
    </w:p>
    <w:p w:rsidR="00D31893" w:rsidRPr="00B9373D" w:rsidRDefault="00555CA7" w:rsidP="00773CD1">
      <w:pPr>
        <w:pStyle w:val="ONUMFS"/>
        <w:rPr>
          <w:lang w:val="es-419"/>
        </w:rPr>
      </w:pPr>
      <w:r w:rsidRPr="00B9373D">
        <w:rPr>
          <w:lang w:val="es-419"/>
        </w:rPr>
        <w:t xml:space="preserve">Cuando la transferencia de una tasa se efectúa en el marco del servicio de transferencia de tasas, el párrafo 9 del Anexo G </w:t>
      </w:r>
      <w:r w:rsidR="004D02F7" w:rsidRPr="00B9373D">
        <w:rPr>
          <w:lang w:val="es-419"/>
        </w:rPr>
        <w:t>prevé</w:t>
      </w:r>
      <w:r w:rsidRPr="00B9373D">
        <w:rPr>
          <w:lang w:val="es-419"/>
        </w:rPr>
        <w:t xml:space="preserve"> el procedimiento </w:t>
      </w:r>
      <w:r w:rsidR="004D02F7" w:rsidRPr="00B9373D">
        <w:rPr>
          <w:lang w:val="es-419"/>
        </w:rPr>
        <w:t xml:space="preserve">dispuesto </w:t>
      </w:r>
      <w:r w:rsidRPr="00B9373D">
        <w:rPr>
          <w:lang w:val="es-419"/>
        </w:rPr>
        <w:t>en la Regla 96.2.b) para que la Oficina que recauda la tasa (“la Oficina que percibe tasas” en dicha Regla) notifique a la Oficina Internacional la percepción de la misma.</w:t>
      </w:r>
      <w:r w:rsidR="00E54842" w:rsidRPr="00B9373D">
        <w:rPr>
          <w:lang w:val="es-419"/>
        </w:rPr>
        <w:t xml:space="preserve"> </w:t>
      </w:r>
      <w:r w:rsidR="004607F3" w:rsidRPr="00B9373D">
        <w:rPr>
          <w:lang w:val="es-419"/>
        </w:rPr>
        <w:t>Según lo indi</w:t>
      </w:r>
      <w:r w:rsidR="004D02F7" w:rsidRPr="00B9373D">
        <w:rPr>
          <w:lang w:val="es-419"/>
        </w:rPr>
        <w:t>cado en el párrafo 13 del Anexo </w:t>
      </w:r>
      <w:r w:rsidR="004607F3" w:rsidRPr="00B9373D">
        <w:rPr>
          <w:lang w:val="es-419"/>
        </w:rPr>
        <w:t>G, la Oficina que percibe tasas también debe transmitir información a la Oficina Internacional sobre las tasas percibidas durante el mes anterior, o durante otro intervalo acordado, y que formen parte del servicio de transferencia de tasas, junto con cualquier corrección u omisión en relación con las tasas transferidas o que deberían haberse transferido en meses anteriores.</w:t>
      </w:r>
      <w:r w:rsidR="00E54842" w:rsidRPr="00B9373D">
        <w:rPr>
          <w:lang w:val="es-419"/>
        </w:rPr>
        <w:t xml:space="preserve"> </w:t>
      </w:r>
    </w:p>
    <w:p w:rsidR="00D31893" w:rsidRPr="00B9373D" w:rsidRDefault="004607F3" w:rsidP="00773CD1">
      <w:pPr>
        <w:pStyle w:val="ONUMFS"/>
        <w:rPr>
          <w:lang w:val="es-419"/>
        </w:rPr>
      </w:pPr>
      <w:r w:rsidRPr="00B9373D">
        <w:rPr>
          <w:lang w:val="es-419"/>
        </w:rPr>
        <w:t>El Anexo G brinda flexibilidad en cuanto al formato en el que las Oficinas que perciben tasas pueden notificar el recibo de estas en virtud del párrafo 9 y transmitir la información sobre las tasas percibidas con arreglo al párrafo 13. De acuerdo con el párrafo 10 —</w:t>
      </w:r>
      <w:r w:rsidR="00E96722" w:rsidRPr="00B9373D">
        <w:rPr>
          <w:lang w:val="es-419"/>
        </w:rPr>
        <w:t>relativo a</w:t>
      </w:r>
      <w:r w:rsidRPr="00B9373D">
        <w:rPr>
          <w:lang w:val="es-419"/>
        </w:rPr>
        <w:t xml:space="preserve"> la notificación— y el párrafo 14 —</w:t>
      </w:r>
      <w:r w:rsidR="00E96722" w:rsidRPr="00B9373D">
        <w:rPr>
          <w:lang w:val="es-419"/>
        </w:rPr>
        <w:t>relativo a</w:t>
      </w:r>
      <w:r w:rsidRPr="00B9373D">
        <w:rPr>
          <w:lang w:val="es-419"/>
        </w:rPr>
        <w:t xml:space="preserve"> la transmisión de información—, el formato será acordado entre la Oficina que percibe tasas y la Oficina Internacional.</w:t>
      </w:r>
      <w:r w:rsidR="00E54842" w:rsidRPr="00B9373D">
        <w:rPr>
          <w:lang w:val="es-419"/>
        </w:rPr>
        <w:t xml:space="preserve"> </w:t>
      </w:r>
      <w:r w:rsidRPr="00B9373D">
        <w:rPr>
          <w:lang w:val="es-419"/>
        </w:rPr>
        <w:t xml:space="preserve">En ambos párrafos se indica la preferencia de que las Oficinas que perciben tasas utilicen el formato XML, conforme a la DTD correspondiente. La DTD </w:t>
      </w:r>
      <w:r w:rsidR="004D02F7" w:rsidRPr="00B9373D">
        <w:rPr>
          <w:lang w:val="es-419"/>
        </w:rPr>
        <w:t>está publicada</w:t>
      </w:r>
      <w:r w:rsidRPr="00B9373D">
        <w:rPr>
          <w:lang w:val="es-419"/>
        </w:rPr>
        <w:t xml:space="preserve"> en el sitio web de la OMPI.</w:t>
      </w:r>
      <w:r w:rsidR="00E54842" w:rsidRPr="00B9373D">
        <w:rPr>
          <w:lang w:val="es-419"/>
        </w:rPr>
        <w:t xml:space="preserve"> </w:t>
      </w:r>
    </w:p>
    <w:p w:rsidR="00D31893" w:rsidRPr="00B9373D" w:rsidRDefault="00F30519" w:rsidP="00773CD1">
      <w:pPr>
        <w:pStyle w:val="ONUMFS"/>
        <w:rPr>
          <w:lang w:val="es-419"/>
        </w:rPr>
      </w:pPr>
      <w:r w:rsidRPr="00B9373D">
        <w:rPr>
          <w:lang w:val="es-419"/>
        </w:rPr>
        <w:t xml:space="preserve">La transmisión de información sobre tasas en formato XML legible por máquina permitirá a las Oficinas </w:t>
      </w:r>
      <w:r w:rsidR="00257CF3" w:rsidRPr="00B9373D">
        <w:rPr>
          <w:lang w:val="es-419"/>
        </w:rPr>
        <w:t>efectuar</w:t>
      </w:r>
      <w:r w:rsidRPr="00B9373D">
        <w:rPr>
          <w:lang w:val="es-419"/>
        </w:rPr>
        <w:t xml:space="preserve"> transferencias de manera más eficiente, y a los solicitantes y a las Oficinas consultar información de calidad sobre la situación de los pagos y las transferencias de tasas.</w:t>
      </w:r>
      <w:r w:rsidR="00E54842" w:rsidRPr="00B9373D">
        <w:rPr>
          <w:lang w:val="es-419"/>
        </w:rPr>
        <w:t xml:space="preserve"> </w:t>
      </w:r>
      <w:r w:rsidR="009012D1" w:rsidRPr="00B9373D">
        <w:rPr>
          <w:lang w:val="es-419"/>
        </w:rPr>
        <w:t>Es necesario que la información sea legible por máquina para la automatización de las verificaciones que la Oficina Internacional realiza en virtud del párrafo 17 del Anexo G con el fin de garantizar la coherencia con las cantidades previstas habida cuenta de los datos bibliográficos contenidos en los expedientes.</w:t>
      </w:r>
      <w:r w:rsidR="00E54842" w:rsidRPr="00B9373D">
        <w:rPr>
          <w:lang w:val="es-419"/>
        </w:rPr>
        <w:t xml:space="preserve"> </w:t>
      </w:r>
      <w:r w:rsidR="009012D1" w:rsidRPr="00B9373D">
        <w:rPr>
          <w:lang w:val="es-419"/>
        </w:rPr>
        <w:t>Asimismo, un formato coherente y legible por máquina permitirá a la Oficina Internacional validar en tiempo real la información sobre las tasas</w:t>
      </w:r>
      <w:r w:rsidR="00257CF3" w:rsidRPr="00B9373D">
        <w:rPr>
          <w:lang w:val="es-419"/>
        </w:rPr>
        <w:t>, de lo cual podrán beneficiarse</w:t>
      </w:r>
      <w:r w:rsidR="009012D1" w:rsidRPr="00B9373D">
        <w:rPr>
          <w:lang w:val="es-419"/>
        </w:rPr>
        <w:t xml:space="preserve"> las Oficinas beneficiarias y </w:t>
      </w:r>
      <w:r w:rsidR="00257CF3" w:rsidRPr="00B9373D">
        <w:rPr>
          <w:lang w:val="es-419"/>
        </w:rPr>
        <w:t xml:space="preserve">las </w:t>
      </w:r>
      <w:r w:rsidR="009012D1" w:rsidRPr="00B9373D">
        <w:rPr>
          <w:lang w:val="es-419"/>
        </w:rPr>
        <w:t>que perciben tasas.</w:t>
      </w:r>
      <w:r w:rsidR="00E54842" w:rsidRPr="00B9373D">
        <w:rPr>
          <w:lang w:val="es-419"/>
        </w:rPr>
        <w:t xml:space="preserve"> </w:t>
      </w:r>
      <w:r w:rsidR="009012D1" w:rsidRPr="00B9373D">
        <w:rPr>
          <w:lang w:val="es-419"/>
        </w:rPr>
        <w:t>Por todo ello, la Oficina Internacional alienta a las Oficinas que actualmente no proporcionan información sobre el pago de las tasas de búsqueda en XML a que usen este formato.</w:t>
      </w:r>
      <w:r w:rsidR="00E54842" w:rsidRPr="00B9373D">
        <w:rPr>
          <w:lang w:val="es-419"/>
        </w:rPr>
        <w:t xml:space="preserve"> </w:t>
      </w:r>
    </w:p>
    <w:p w:rsidR="00D31893" w:rsidRPr="00B9373D" w:rsidRDefault="00AD74AB" w:rsidP="00773CD1">
      <w:pPr>
        <w:pStyle w:val="ONUMFS"/>
        <w:rPr>
          <w:lang w:val="es-419"/>
        </w:rPr>
      </w:pPr>
      <w:r w:rsidRPr="00B9373D">
        <w:rPr>
          <w:lang w:val="es-419"/>
        </w:rPr>
        <w:t xml:space="preserve">Desde abril de 2020 las </w:t>
      </w:r>
      <w:r w:rsidR="00257CF3" w:rsidRPr="00B9373D">
        <w:rPr>
          <w:lang w:val="es-419"/>
        </w:rPr>
        <w:t>RO</w:t>
      </w:r>
      <w:r w:rsidRPr="00B9373D">
        <w:rPr>
          <w:lang w:val="es-419"/>
        </w:rPr>
        <w:t xml:space="preserve"> tienen a su disposición una herramienta en</w:t>
      </w:r>
      <w:r w:rsidR="00257CF3" w:rsidRPr="00B9373D">
        <w:rPr>
          <w:lang w:val="es-419"/>
        </w:rPr>
        <w:t xml:space="preserve"> el sistema</w:t>
      </w:r>
      <w:r w:rsidRPr="00B9373D">
        <w:rPr>
          <w:lang w:val="es-419"/>
        </w:rPr>
        <w:t xml:space="preserve"> ePCT para generar información en el formato XML recomendado </w:t>
      </w:r>
      <w:r w:rsidR="00257CF3" w:rsidRPr="00B9373D">
        <w:rPr>
          <w:lang w:val="es-419"/>
        </w:rPr>
        <w:t>en relación con</w:t>
      </w:r>
      <w:r w:rsidRPr="00B9373D">
        <w:rPr>
          <w:lang w:val="es-419"/>
        </w:rPr>
        <w:t xml:space="preserve"> las tasas percibidas en determinadas solicitudes internacionales y </w:t>
      </w:r>
      <w:r w:rsidR="00257CF3" w:rsidRPr="00B9373D">
        <w:rPr>
          <w:lang w:val="es-419"/>
        </w:rPr>
        <w:t>para su transmisión</w:t>
      </w:r>
      <w:r w:rsidRPr="00B9373D">
        <w:rPr>
          <w:lang w:val="es-419"/>
        </w:rPr>
        <w:t xml:space="preserve"> a la Oficina Internacional. Dicha herramienta podría resultar especialmente útil para </w:t>
      </w:r>
      <w:r w:rsidR="00257CF3" w:rsidRPr="00B9373D">
        <w:rPr>
          <w:lang w:val="es-419"/>
        </w:rPr>
        <w:t>RO</w:t>
      </w:r>
      <w:r w:rsidRPr="00B9373D">
        <w:rPr>
          <w:lang w:val="es-419"/>
        </w:rPr>
        <w:t xml:space="preserve"> </w:t>
      </w:r>
      <w:r w:rsidR="00257CF3" w:rsidRPr="00B9373D">
        <w:rPr>
          <w:lang w:val="es-419"/>
        </w:rPr>
        <w:t xml:space="preserve">que son </w:t>
      </w:r>
      <w:r w:rsidRPr="00B9373D">
        <w:rPr>
          <w:lang w:val="es-419"/>
        </w:rPr>
        <w:t>más pequeñas</w:t>
      </w:r>
      <w:r w:rsidR="00257CF3" w:rsidRPr="00B9373D">
        <w:rPr>
          <w:lang w:val="es-419"/>
        </w:rPr>
        <w:t xml:space="preserve"> con el fin de </w:t>
      </w:r>
      <w:r w:rsidRPr="00B9373D">
        <w:rPr>
          <w:lang w:val="es-419"/>
        </w:rPr>
        <w:t>permitirles generar la información correspondiente sobre las tasas en el formato deseado.</w:t>
      </w:r>
      <w:r w:rsidR="00E54842" w:rsidRPr="00B9373D">
        <w:rPr>
          <w:lang w:val="es-419"/>
        </w:rPr>
        <w:t xml:space="preserve"> </w:t>
      </w:r>
      <w:r w:rsidRPr="00B9373D">
        <w:rPr>
          <w:lang w:val="es-419"/>
        </w:rPr>
        <w:t xml:space="preserve">La selección de solicitudes internacionales por parte del usuario en la </w:t>
      </w:r>
      <w:r w:rsidR="00257CF3" w:rsidRPr="00B9373D">
        <w:rPr>
          <w:lang w:val="es-419"/>
        </w:rPr>
        <w:t>RO</w:t>
      </w:r>
      <w:r w:rsidRPr="00B9373D">
        <w:rPr>
          <w:lang w:val="es-419"/>
        </w:rPr>
        <w:t xml:space="preserve"> supone un procedimiento manual.</w:t>
      </w:r>
      <w:r w:rsidR="00E54842" w:rsidRPr="00B9373D">
        <w:rPr>
          <w:lang w:val="es-419"/>
        </w:rPr>
        <w:t xml:space="preserve"> </w:t>
      </w:r>
      <w:r w:rsidRPr="00B9373D">
        <w:rPr>
          <w:lang w:val="es-419"/>
        </w:rPr>
        <w:t xml:space="preserve">La Oficina Internacional tiene previsto mejorar esta función y ampliarla a las tasas de </w:t>
      </w:r>
      <w:r w:rsidR="004D02F7" w:rsidRPr="00B9373D">
        <w:rPr>
          <w:lang w:val="es-419"/>
        </w:rPr>
        <w:t>tramitación</w:t>
      </w:r>
      <w:r w:rsidRPr="00B9373D">
        <w:rPr>
          <w:lang w:val="es-419"/>
        </w:rPr>
        <w:t xml:space="preserve"> percibidas por las Administraciones encargadas del examen preliminar internacional en futuras versiones de</w:t>
      </w:r>
      <w:r w:rsidR="00257CF3" w:rsidRPr="00B9373D">
        <w:rPr>
          <w:lang w:val="es-419"/>
        </w:rPr>
        <w:t>l sistema</w:t>
      </w:r>
      <w:r w:rsidRPr="00B9373D">
        <w:rPr>
          <w:lang w:val="es-419"/>
        </w:rPr>
        <w:t xml:space="preserve"> ePCT.</w:t>
      </w:r>
    </w:p>
    <w:p w:rsidR="00D31893" w:rsidRPr="00B9373D" w:rsidRDefault="00AD74AB" w:rsidP="00AD74AB">
      <w:pPr>
        <w:pStyle w:val="Heading1"/>
        <w:rPr>
          <w:lang w:val="es-419"/>
        </w:rPr>
      </w:pPr>
      <w:r w:rsidRPr="00B9373D">
        <w:rPr>
          <w:lang w:val="es-419"/>
        </w:rPr>
        <w:t>FUTURA ORIENTACIÓN</w:t>
      </w:r>
    </w:p>
    <w:p w:rsidR="00D31893" w:rsidRPr="00B9373D" w:rsidRDefault="002C440A" w:rsidP="00773CD1">
      <w:pPr>
        <w:pStyle w:val="ONUMFS"/>
        <w:rPr>
          <w:lang w:val="es-419"/>
        </w:rPr>
      </w:pPr>
      <w:r w:rsidRPr="00B9373D">
        <w:rPr>
          <w:lang w:val="es-419"/>
        </w:rPr>
        <w:t>En última instancia, la finalidad de la labor realizada en este ámbito es ofrecer información casi en tiempo real sobre la situación de los pagos y las transferencias de tasas a los solicitantes y a todas las Oficinas pertinentes (</w:t>
      </w:r>
      <w:r w:rsidR="00257CF3" w:rsidRPr="00B9373D">
        <w:rPr>
          <w:lang w:val="es-419"/>
        </w:rPr>
        <w:t>RO</w:t>
      </w:r>
      <w:r w:rsidRPr="00B9373D">
        <w:rPr>
          <w:lang w:val="es-419"/>
        </w:rPr>
        <w:t xml:space="preserve">, Oficina Internacional y Administraciones encargadas de la búsqueda y del examen preliminar internacional), con verificaciones en las que se </w:t>
      </w:r>
      <w:r w:rsidR="00257CF3" w:rsidRPr="00B9373D">
        <w:rPr>
          <w:lang w:val="es-419"/>
        </w:rPr>
        <w:t>indique</w:t>
      </w:r>
      <w:r w:rsidRPr="00B9373D">
        <w:rPr>
          <w:lang w:val="es-419"/>
        </w:rPr>
        <w:t xml:space="preserve"> inmediatamente cualquier discrepancia entre los importes percibidos o transferidos y los importes previstos atendiendo a </w:t>
      </w:r>
      <w:r w:rsidR="00257CF3" w:rsidRPr="00B9373D">
        <w:rPr>
          <w:lang w:val="es-419"/>
        </w:rPr>
        <w:t>la información bibliográfica</w:t>
      </w:r>
      <w:r w:rsidRPr="00B9373D">
        <w:rPr>
          <w:lang w:val="es-419"/>
        </w:rPr>
        <w:t xml:space="preserve"> disponible.</w:t>
      </w:r>
      <w:r w:rsidR="00E54842" w:rsidRPr="00B9373D">
        <w:rPr>
          <w:lang w:val="es-419"/>
        </w:rPr>
        <w:t xml:space="preserve"> </w:t>
      </w:r>
      <w:r w:rsidRPr="00B9373D">
        <w:rPr>
          <w:lang w:val="es-419"/>
        </w:rPr>
        <w:t xml:space="preserve">De </w:t>
      </w:r>
      <w:r w:rsidR="00257CF3" w:rsidRPr="00B9373D">
        <w:rPr>
          <w:lang w:val="es-419"/>
        </w:rPr>
        <w:t>este modo</w:t>
      </w:r>
      <w:r w:rsidRPr="00B9373D">
        <w:rPr>
          <w:lang w:val="es-419"/>
        </w:rPr>
        <w:t xml:space="preserve"> se debería poder corregir inmediatamente cualquier error y atenuar el riesgo de que dicho error </w:t>
      </w:r>
      <w:r w:rsidR="00A6551A" w:rsidRPr="00B9373D">
        <w:rPr>
          <w:lang w:val="es-419"/>
        </w:rPr>
        <w:t>perdure</w:t>
      </w:r>
      <w:r w:rsidRPr="00B9373D">
        <w:rPr>
          <w:lang w:val="es-419"/>
        </w:rPr>
        <w:t xml:space="preserve"> en el momento en que </w:t>
      </w:r>
      <w:r w:rsidR="00257CF3" w:rsidRPr="00B9373D">
        <w:rPr>
          <w:lang w:val="es-419"/>
        </w:rPr>
        <w:t>se efectúa</w:t>
      </w:r>
      <w:r w:rsidRPr="00B9373D">
        <w:rPr>
          <w:lang w:val="es-419"/>
        </w:rPr>
        <w:t xml:space="preserve"> la transferencia mensual, </w:t>
      </w:r>
      <w:r w:rsidR="00257CF3" w:rsidRPr="00B9373D">
        <w:rPr>
          <w:lang w:val="es-419"/>
        </w:rPr>
        <w:t xml:space="preserve">así como reducir </w:t>
      </w:r>
      <w:r w:rsidRPr="00B9373D">
        <w:rPr>
          <w:lang w:val="es-419"/>
        </w:rPr>
        <w:t xml:space="preserve">significativamente </w:t>
      </w:r>
      <w:r w:rsidR="00257CF3" w:rsidRPr="00B9373D">
        <w:rPr>
          <w:lang w:val="es-419"/>
        </w:rPr>
        <w:t>el esfuerzo contable</w:t>
      </w:r>
      <w:r w:rsidRPr="00B9373D">
        <w:rPr>
          <w:lang w:val="es-419"/>
        </w:rPr>
        <w:t xml:space="preserve"> tanto </w:t>
      </w:r>
      <w:r w:rsidR="00257CF3" w:rsidRPr="00B9373D">
        <w:rPr>
          <w:lang w:val="es-419"/>
        </w:rPr>
        <w:t xml:space="preserve">de </w:t>
      </w:r>
      <w:r w:rsidRPr="00B9373D">
        <w:rPr>
          <w:lang w:val="es-419"/>
        </w:rPr>
        <w:t xml:space="preserve">las Oficinas beneficiarias como </w:t>
      </w:r>
      <w:r w:rsidR="00257CF3" w:rsidRPr="00B9373D">
        <w:rPr>
          <w:lang w:val="es-419"/>
        </w:rPr>
        <w:t>de</w:t>
      </w:r>
      <w:r w:rsidRPr="00B9373D">
        <w:rPr>
          <w:lang w:val="es-419"/>
        </w:rPr>
        <w:t xml:space="preserve"> las que perciben las tasas.</w:t>
      </w:r>
      <w:r w:rsidR="00E54842" w:rsidRPr="00B9373D">
        <w:rPr>
          <w:lang w:val="es-419"/>
        </w:rPr>
        <w:t xml:space="preserve"> </w:t>
      </w:r>
      <w:r w:rsidR="0036508A" w:rsidRPr="00B9373D">
        <w:rPr>
          <w:lang w:val="es-419"/>
        </w:rPr>
        <w:t xml:space="preserve">Además, se espera que este servicio </w:t>
      </w:r>
      <w:r w:rsidR="00257CF3" w:rsidRPr="00B9373D">
        <w:rPr>
          <w:lang w:val="es-419"/>
        </w:rPr>
        <w:t>permita a una Oficina percibir</w:t>
      </w:r>
      <w:r w:rsidR="0036508A" w:rsidRPr="00B9373D">
        <w:rPr>
          <w:lang w:val="es-419"/>
        </w:rPr>
        <w:t xml:space="preserve"> tasas en nombre de otra, especialmente en relación con lo</w:t>
      </w:r>
      <w:r w:rsidR="00E50E9C" w:rsidRPr="00B9373D">
        <w:rPr>
          <w:lang w:val="es-419"/>
        </w:rPr>
        <w:t>s</w:t>
      </w:r>
      <w:r w:rsidR="0036508A" w:rsidRPr="00B9373D">
        <w:rPr>
          <w:lang w:val="es-419"/>
        </w:rPr>
        <w:t xml:space="preserve"> </w:t>
      </w:r>
      <w:r w:rsidR="00E50E9C" w:rsidRPr="00B9373D">
        <w:rPr>
          <w:lang w:val="es-419"/>
        </w:rPr>
        <w:t>siguientes pagos</w:t>
      </w:r>
      <w:r w:rsidR="0036508A" w:rsidRPr="00B9373D">
        <w:rPr>
          <w:lang w:val="es-419"/>
        </w:rPr>
        <w:t>:</w:t>
      </w:r>
    </w:p>
    <w:p w:rsidR="00D31893" w:rsidRPr="00B9373D" w:rsidRDefault="0036508A" w:rsidP="00B9373D">
      <w:pPr>
        <w:pStyle w:val="ONUMFS"/>
        <w:numPr>
          <w:ilvl w:val="0"/>
          <w:numId w:val="7"/>
        </w:numPr>
        <w:ind w:left="567"/>
        <w:rPr>
          <w:lang w:val="es-419"/>
        </w:rPr>
      </w:pPr>
      <w:r w:rsidRPr="00B9373D">
        <w:rPr>
          <w:lang w:val="es-419"/>
        </w:rPr>
        <w:t xml:space="preserve">el pago inmediato de tasas relacionadas con nuevas solicitudes presentadas en una </w:t>
      </w:r>
      <w:r w:rsidR="00E50E9C" w:rsidRPr="00B9373D">
        <w:rPr>
          <w:lang w:val="es-419"/>
        </w:rPr>
        <w:t>RO</w:t>
      </w:r>
      <w:r w:rsidRPr="00B9373D">
        <w:rPr>
          <w:lang w:val="es-419"/>
        </w:rPr>
        <w:t xml:space="preserve"> por medio de un sistema de presentación alojado en otra Oficina, en particular el sistema de presentación electrónica ePCT;</w:t>
      </w:r>
    </w:p>
    <w:p w:rsidR="00D31893" w:rsidRPr="00B9373D" w:rsidRDefault="0036508A" w:rsidP="00B9373D">
      <w:pPr>
        <w:pStyle w:val="ONUMFS"/>
        <w:numPr>
          <w:ilvl w:val="0"/>
          <w:numId w:val="7"/>
        </w:numPr>
        <w:ind w:left="567"/>
        <w:rPr>
          <w:lang w:val="es-419"/>
        </w:rPr>
      </w:pPr>
      <w:r w:rsidRPr="00B9373D">
        <w:rPr>
          <w:lang w:val="es-419"/>
        </w:rPr>
        <w:t>el pago de tasas adicionales de búsqueda o de examen preliminar por parte de solicitantes que tienen dificultades para transferir el dinero directamente a la Administración Internacional correspondiente; y</w:t>
      </w:r>
    </w:p>
    <w:p w:rsidR="00D31893" w:rsidRPr="00B9373D" w:rsidRDefault="0036508A" w:rsidP="00B9373D">
      <w:pPr>
        <w:pStyle w:val="ONUMFS"/>
        <w:numPr>
          <w:ilvl w:val="0"/>
          <w:numId w:val="7"/>
        </w:numPr>
        <w:ind w:left="567"/>
        <w:rPr>
          <w:lang w:val="es-419"/>
        </w:rPr>
      </w:pPr>
      <w:r w:rsidRPr="00B9373D">
        <w:rPr>
          <w:lang w:val="es-419"/>
        </w:rPr>
        <w:t xml:space="preserve">el pago inmediato de tasas de examen preliminar internacional por parte de los solicitantes que utilizan ePCT para preparar </w:t>
      </w:r>
      <w:r w:rsidR="0037202D" w:rsidRPr="00B9373D">
        <w:rPr>
          <w:lang w:val="es-419"/>
        </w:rPr>
        <w:t xml:space="preserve">solicitudes </w:t>
      </w:r>
      <w:r w:rsidR="00663279" w:rsidRPr="00B9373D">
        <w:rPr>
          <w:lang w:val="es-419"/>
        </w:rPr>
        <w:t>de examen preliminar internacional</w:t>
      </w:r>
      <w:r w:rsidRPr="00B9373D">
        <w:rPr>
          <w:lang w:val="es-419"/>
        </w:rPr>
        <w:t>.</w:t>
      </w:r>
    </w:p>
    <w:p w:rsidR="00D31893" w:rsidRPr="00B9373D" w:rsidRDefault="0036508A" w:rsidP="00B9373D">
      <w:pPr>
        <w:pStyle w:val="ONUMFS"/>
        <w:keepLines/>
        <w:ind w:left="5534"/>
        <w:rPr>
          <w:i/>
          <w:lang w:val="es-419"/>
        </w:rPr>
      </w:pPr>
      <w:r w:rsidRPr="00B9373D">
        <w:rPr>
          <w:i/>
          <w:lang w:val="es-419"/>
        </w:rPr>
        <w:t>Se invita al Grupo de Trabajo a tomar nota de los avances realizados y formular comentarios sobre la labor futura para el desarrollo del servicio de la OMPI de transferencia de tasas.</w:t>
      </w:r>
    </w:p>
    <w:p w:rsidR="00D31893" w:rsidRPr="00B9373D" w:rsidRDefault="0036508A" w:rsidP="00B9373D">
      <w:pPr>
        <w:pStyle w:val="Endofdocument-Annex"/>
        <w:keepLines/>
        <w:spacing w:before="480"/>
        <w:rPr>
          <w:lang w:val="es-419"/>
        </w:rPr>
      </w:pPr>
      <w:r w:rsidRPr="00B9373D">
        <w:rPr>
          <w:lang w:val="es-419"/>
        </w:rPr>
        <w:t>[Fin del documento]</w:t>
      </w:r>
    </w:p>
    <w:sectPr w:rsidR="00D31893" w:rsidRPr="00B9373D" w:rsidSect="00B06F76">
      <w:headerReference w:type="default" r:id="rId11"/>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7AF" w:rsidRDefault="00EE47AF">
      <w:r>
        <w:separator/>
      </w:r>
    </w:p>
  </w:endnote>
  <w:endnote w:type="continuationSeparator" w:id="0">
    <w:p w:rsidR="00EE47AF" w:rsidRPr="009D30E6" w:rsidRDefault="00EE47AF" w:rsidP="007E663E">
      <w:pPr>
        <w:rPr>
          <w:sz w:val="17"/>
          <w:szCs w:val="17"/>
        </w:rPr>
      </w:pPr>
      <w:r w:rsidRPr="009D30E6">
        <w:rPr>
          <w:sz w:val="17"/>
          <w:szCs w:val="17"/>
        </w:rPr>
        <w:separator/>
      </w:r>
    </w:p>
    <w:p w:rsidR="00EE47AF" w:rsidRPr="007E663E" w:rsidRDefault="00EE47AF" w:rsidP="007E663E">
      <w:pPr>
        <w:spacing w:after="60"/>
        <w:rPr>
          <w:sz w:val="17"/>
          <w:szCs w:val="17"/>
        </w:rPr>
      </w:pPr>
      <w:r>
        <w:rPr>
          <w:sz w:val="17"/>
        </w:rPr>
        <w:t>[Continuación de la nota de la página anterior]</w:t>
      </w:r>
    </w:p>
  </w:endnote>
  <w:endnote w:type="continuationNotice" w:id="1">
    <w:p w:rsidR="00EE47AF" w:rsidRPr="007E663E" w:rsidRDefault="00EE47AF"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00000000"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7AF" w:rsidRDefault="00EE47AF">
      <w:r>
        <w:separator/>
      </w:r>
    </w:p>
  </w:footnote>
  <w:footnote w:type="continuationSeparator" w:id="0">
    <w:p w:rsidR="00EE47AF" w:rsidRPr="009D30E6" w:rsidRDefault="00EE47AF" w:rsidP="007E663E">
      <w:pPr>
        <w:rPr>
          <w:sz w:val="17"/>
          <w:szCs w:val="17"/>
        </w:rPr>
      </w:pPr>
      <w:r w:rsidRPr="009D30E6">
        <w:rPr>
          <w:sz w:val="17"/>
          <w:szCs w:val="17"/>
        </w:rPr>
        <w:separator/>
      </w:r>
    </w:p>
    <w:p w:rsidR="00EE47AF" w:rsidRPr="007E663E" w:rsidRDefault="00EE47AF" w:rsidP="007E663E">
      <w:pPr>
        <w:spacing w:after="60"/>
        <w:rPr>
          <w:sz w:val="17"/>
          <w:szCs w:val="17"/>
        </w:rPr>
      </w:pPr>
      <w:r>
        <w:rPr>
          <w:sz w:val="17"/>
        </w:rPr>
        <w:t>[Continuación de la nota de la página anterior]</w:t>
      </w:r>
    </w:p>
  </w:footnote>
  <w:footnote w:type="continuationNotice" w:id="1">
    <w:p w:rsidR="00EE47AF" w:rsidRPr="007E663E" w:rsidRDefault="00EE47AF"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20" w:rsidRPr="00512BA1" w:rsidRDefault="00B06F76" w:rsidP="00477D6B">
    <w:pPr>
      <w:jc w:val="right"/>
      <w:rPr>
        <w:caps/>
      </w:rPr>
    </w:pPr>
    <w:bookmarkStart w:id="6" w:name="Code2"/>
    <w:bookmarkEnd w:id="6"/>
    <w:r>
      <w:rPr>
        <w:caps/>
      </w:rPr>
      <w:t>PCT/WG/14/7</w:t>
    </w:r>
  </w:p>
  <w:p w:rsidR="00AE7F20" w:rsidRDefault="00AE7F20" w:rsidP="00477D6B">
    <w:pPr>
      <w:jc w:val="right"/>
    </w:pPr>
    <w:r>
      <w:t xml:space="preserve">página </w:t>
    </w:r>
    <w:r>
      <w:fldChar w:fldCharType="begin"/>
    </w:r>
    <w:r>
      <w:instrText xml:space="preserve"> PAGE  \* MERGEFORMAT </w:instrText>
    </w:r>
    <w:r>
      <w:fldChar w:fldCharType="separate"/>
    </w:r>
    <w:r w:rsidR="002A6639">
      <w:rPr>
        <w:noProof/>
      </w:rPr>
      <w:t>6</w:t>
    </w:r>
    <w:r>
      <w:fldChar w:fldCharType="end"/>
    </w:r>
  </w:p>
  <w:p w:rsidR="00AE7F20" w:rsidRDefault="00AE7F20" w:rsidP="00477D6B">
    <w:pPr>
      <w:jc w:val="right"/>
    </w:pPr>
  </w:p>
  <w:p w:rsidR="00EC1AA7" w:rsidRDefault="00EC1AA7"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89B6AF1E"/>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C7534F5"/>
    <w:multiLevelType w:val="multilevel"/>
    <w:tmpl w:val="C2BAD37E"/>
    <w:lvl w:ilvl="0">
      <w:start w:val="1"/>
      <w:numFmt w:val="lowerLetter"/>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formsDesig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
    <w:docVar w:name="TermBaseURL" w:val="empty"/>
    <w:docVar w:name="TextBases" w:val="TextBase TMs\WorkspaceSTS\Patents &amp; Innovation\Patents Main|TextBase TMs\WorkspaceSTS\Patents &amp; Innovation\P Instruments|TextBase TMs\WorkspaceSTS\Administration &amp; Finance\FAB Main|TextBase TMs\WorkspaceSTS\Administration &amp; Finance\FAB Instruments|TextBase TMs\WorkspaceSTS\Outreach\POW Main|TextBase TMs\WorkspaceSTS\Administration &amp; Finance\Current Budget|TextBase TMs\WorkspaceSTS\Administration &amp; Finance\FStatements|TextBase TMs\WorkspaceSTS\Administration &amp; Finance\UN Staff Rules|TextBase TMs\WorkspaceSTS\Administration &amp; Finance\WIPO Staff Rules|TextBase TMs\WorkspaceSTS\Outreach\IP Advantage|TextBase TMs\WorkspaceSTS\Outreach\Economist|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opyright|TextBase TMs\WorkspaceSTS\Development\Dev_Agenda|TextBase TMs\WorkspaceSTS\GRTKF\G Instruments|TextBase TMs\WorkspaceSTS\GRTKF\GRTKF|TextBase TMs\WorkspaceSTS\Treaties &amp; Laws\WIPO Lex|TextBase TMs\WorkspaceSTS\UPOV\UPOV Main|TextBase TMs\WorkspaceSTS\UPOV\U Instruments|TextBase TMs\st_26 terms|Team Server TMs\Spanish"/>
    <w:docVar w:name="TextBaseURL" w:val="empty"/>
    <w:docVar w:name="UILng" w:val="en"/>
  </w:docVars>
  <w:rsids>
    <w:rsidRoot w:val="00B06F76"/>
    <w:rsid w:val="00005970"/>
    <w:rsid w:val="00010686"/>
    <w:rsid w:val="00052915"/>
    <w:rsid w:val="00057863"/>
    <w:rsid w:val="00096824"/>
    <w:rsid w:val="000C06B9"/>
    <w:rsid w:val="000D2B21"/>
    <w:rsid w:val="000E3BB3"/>
    <w:rsid w:val="000F3148"/>
    <w:rsid w:val="000F5E56"/>
    <w:rsid w:val="00133A0D"/>
    <w:rsid w:val="001362EE"/>
    <w:rsid w:val="00137A52"/>
    <w:rsid w:val="00141EDC"/>
    <w:rsid w:val="00152CEA"/>
    <w:rsid w:val="001832A6"/>
    <w:rsid w:val="00193FCB"/>
    <w:rsid w:val="00257CF3"/>
    <w:rsid w:val="002634C4"/>
    <w:rsid w:val="00285EEF"/>
    <w:rsid w:val="002A6639"/>
    <w:rsid w:val="002C2E2F"/>
    <w:rsid w:val="002C440A"/>
    <w:rsid w:val="002E0F47"/>
    <w:rsid w:val="002F4E68"/>
    <w:rsid w:val="002F5559"/>
    <w:rsid w:val="00310826"/>
    <w:rsid w:val="0031478B"/>
    <w:rsid w:val="00340603"/>
    <w:rsid w:val="00354647"/>
    <w:rsid w:val="0036508A"/>
    <w:rsid w:val="0037202D"/>
    <w:rsid w:val="0037287C"/>
    <w:rsid w:val="00376012"/>
    <w:rsid w:val="00377273"/>
    <w:rsid w:val="003845C1"/>
    <w:rsid w:val="00387287"/>
    <w:rsid w:val="003E48F1"/>
    <w:rsid w:val="003F347A"/>
    <w:rsid w:val="00416E83"/>
    <w:rsid w:val="00423E3E"/>
    <w:rsid w:val="00427AF4"/>
    <w:rsid w:val="0045231F"/>
    <w:rsid w:val="004607F3"/>
    <w:rsid w:val="004647DA"/>
    <w:rsid w:val="0046793F"/>
    <w:rsid w:val="00472A6E"/>
    <w:rsid w:val="00477808"/>
    <w:rsid w:val="00477D6B"/>
    <w:rsid w:val="004A6C37"/>
    <w:rsid w:val="004D02F7"/>
    <w:rsid w:val="004D2D58"/>
    <w:rsid w:val="004E297D"/>
    <w:rsid w:val="00502A50"/>
    <w:rsid w:val="00512BA1"/>
    <w:rsid w:val="00520C55"/>
    <w:rsid w:val="00531B02"/>
    <w:rsid w:val="005332F0"/>
    <w:rsid w:val="0055013B"/>
    <w:rsid w:val="005533A9"/>
    <w:rsid w:val="00555CA7"/>
    <w:rsid w:val="00571B99"/>
    <w:rsid w:val="00590365"/>
    <w:rsid w:val="005C02D8"/>
    <w:rsid w:val="005F7E0D"/>
    <w:rsid w:val="00602FE8"/>
    <w:rsid w:val="00605827"/>
    <w:rsid w:val="00663279"/>
    <w:rsid w:val="00675021"/>
    <w:rsid w:val="00676A86"/>
    <w:rsid w:val="0068302B"/>
    <w:rsid w:val="00683EE4"/>
    <w:rsid w:val="006A06C6"/>
    <w:rsid w:val="007224C8"/>
    <w:rsid w:val="00725270"/>
    <w:rsid w:val="00773CD1"/>
    <w:rsid w:val="00794BE2"/>
    <w:rsid w:val="007A5581"/>
    <w:rsid w:val="007B71FE"/>
    <w:rsid w:val="007D781E"/>
    <w:rsid w:val="007E663E"/>
    <w:rsid w:val="00815082"/>
    <w:rsid w:val="0088395E"/>
    <w:rsid w:val="0089644E"/>
    <w:rsid w:val="008B2CC1"/>
    <w:rsid w:val="008E6BD6"/>
    <w:rsid w:val="009012D1"/>
    <w:rsid w:val="0090731E"/>
    <w:rsid w:val="00966A22"/>
    <w:rsid w:val="00972F03"/>
    <w:rsid w:val="0098367F"/>
    <w:rsid w:val="009A0C8B"/>
    <w:rsid w:val="009A20CD"/>
    <w:rsid w:val="009B6241"/>
    <w:rsid w:val="00A06328"/>
    <w:rsid w:val="00A16FC0"/>
    <w:rsid w:val="00A32C9E"/>
    <w:rsid w:val="00A34A59"/>
    <w:rsid w:val="00A6551A"/>
    <w:rsid w:val="00A72CAC"/>
    <w:rsid w:val="00A97F1E"/>
    <w:rsid w:val="00AB613D"/>
    <w:rsid w:val="00AB7473"/>
    <w:rsid w:val="00AD74AB"/>
    <w:rsid w:val="00AE7F20"/>
    <w:rsid w:val="00AF2FDF"/>
    <w:rsid w:val="00B06F76"/>
    <w:rsid w:val="00B534D5"/>
    <w:rsid w:val="00B65A0A"/>
    <w:rsid w:val="00B67CDC"/>
    <w:rsid w:val="00B72D36"/>
    <w:rsid w:val="00B9373D"/>
    <w:rsid w:val="00BB68F0"/>
    <w:rsid w:val="00BC4164"/>
    <w:rsid w:val="00BD2DCC"/>
    <w:rsid w:val="00BF488B"/>
    <w:rsid w:val="00C17C93"/>
    <w:rsid w:val="00C50BCE"/>
    <w:rsid w:val="00C90559"/>
    <w:rsid w:val="00CA0500"/>
    <w:rsid w:val="00CA2251"/>
    <w:rsid w:val="00CC1C18"/>
    <w:rsid w:val="00CE6C3D"/>
    <w:rsid w:val="00D26886"/>
    <w:rsid w:val="00D31893"/>
    <w:rsid w:val="00D52211"/>
    <w:rsid w:val="00D56C7C"/>
    <w:rsid w:val="00D71B4D"/>
    <w:rsid w:val="00D80888"/>
    <w:rsid w:val="00D90289"/>
    <w:rsid w:val="00D93D55"/>
    <w:rsid w:val="00DA4629"/>
    <w:rsid w:val="00DC4C60"/>
    <w:rsid w:val="00DD6CF4"/>
    <w:rsid w:val="00E0079A"/>
    <w:rsid w:val="00E444DA"/>
    <w:rsid w:val="00E45C84"/>
    <w:rsid w:val="00E504E5"/>
    <w:rsid w:val="00E50E9C"/>
    <w:rsid w:val="00E54842"/>
    <w:rsid w:val="00E94AFB"/>
    <w:rsid w:val="00E96722"/>
    <w:rsid w:val="00EB7A3E"/>
    <w:rsid w:val="00EC1AA7"/>
    <w:rsid w:val="00EC401A"/>
    <w:rsid w:val="00ED5FB8"/>
    <w:rsid w:val="00EE47AF"/>
    <w:rsid w:val="00EF530A"/>
    <w:rsid w:val="00EF6622"/>
    <w:rsid w:val="00EF78A9"/>
    <w:rsid w:val="00F136F1"/>
    <w:rsid w:val="00F30519"/>
    <w:rsid w:val="00F55408"/>
    <w:rsid w:val="00F66152"/>
    <w:rsid w:val="00F75D47"/>
    <w:rsid w:val="00F80845"/>
    <w:rsid w:val="00F812D3"/>
    <w:rsid w:val="00F84474"/>
    <w:rsid w:val="00F85931"/>
    <w:rsid w:val="00F96435"/>
    <w:rsid w:val="00FA0F0D"/>
    <w:rsid w:val="00FA1D43"/>
    <w:rsid w:val="00FD59D1"/>
    <w:rsid w:val="00FE7116"/>
    <w:rsid w:val="00FF4FF1"/>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5C1649DF-9866-4176-9B92-989853E76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1Char">
    <w:name w:val="Heading 1 Char"/>
    <w:basedOn w:val="DefaultParagraphFont"/>
    <w:link w:val="Heading1"/>
    <w:rsid w:val="00B06F76"/>
    <w:rPr>
      <w:rFonts w:ascii="Arial" w:eastAsia="SimSun" w:hAnsi="Arial" w:cs="Arial"/>
      <w:b/>
      <w:bCs/>
      <w:caps/>
      <w:kern w:val="32"/>
      <w:sz w:val="22"/>
      <w:szCs w:val="32"/>
      <w:lang w:val="es-ES" w:eastAsia="zh-CN"/>
    </w:rPr>
  </w:style>
  <w:style w:type="character" w:customStyle="1" w:styleId="ONUMEChar">
    <w:name w:val="ONUM E Char"/>
    <w:basedOn w:val="DefaultParagraphFont"/>
    <w:link w:val="ONUME"/>
    <w:locked/>
    <w:rsid w:val="00B06F76"/>
    <w:rPr>
      <w:rFonts w:ascii="Arial" w:eastAsia="SimSun" w:hAnsi="Arial" w:cs="Arial"/>
      <w:sz w:val="22"/>
      <w:lang w:val="es-ES" w:eastAsia="zh-CN"/>
    </w:rPr>
  </w:style>
  <w:style w:type="character" w:styleId="Hyperlink">
    <w:name w:val="Hyperlink"/>
    <w:basedOn w:val="DefaultParagraphFont"/>
    <w:unhideWhenUsed/>
    <w:rsid w:val="00B06F76"/>
    <w:rPr>
      <w:color w:val="0000FF" w:themeColor="hyperlink"/>
      <w:u w:val="single"/>
    </w:rPr>
  </w:style>
  <w:style w:type="table" w:styleId="TableGrid">
    <w:name w:val="Table Grid"/>
    <w:basedOn w:val="TableNormal"/>
    <w:rsid w:val="00B06F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fee.pct@wipo.int" TargetMode="External"/><Relationship Id="rId4" Type="http://schemas.openxmlformats.org/officeDocument/2006/relationships/settings" Target="settings.xml"/><Relationship Id="rId9" Type="http://schemas.openxmlformats.org/officeDocument/2006/relationships/hyperlink" Target="mailto:income.pct@wipo.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14%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4C38D0-9A0E-4D0A-B243-F1D653B22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WG 14 (S)</Template>
  <TotalTime>0</TotalTime>
  <Pages>6</Pages>
  <Words>2723</Words>
  <Characters>14264</Characters>
  <Application>Microsoft Office Word</Application>
  <DocSecurity>4</DocSecurity>
  <Lines>247</Lines>
  <Paragraphs>66</Paragraphs>
  <ScaleCrop>false</ScaleCrop>
  <HeadingPairs>
    <vt:vector size="2" baseType="variant">
      <vt:variant>
        <vt:lpstr>Title</vt:lpstr>
      </vt:variant>
      <vt:variant>
        <vt:i4>1</vt:i4>
      </vt:variant>
    </vt:vector>
  </HeadingPairs>
  <TitlesOfParts>
    <vt:vector size="1" baseType="lpstr">
      <vt:lpstr>PCT/WG/14/</vt:lpstr>
    </vt:vector>
  </TitlesOfParts>
  <Company>WIPO</Company>
  <LinksUpToDate>false</LinksUpToDate>
  <CharactersWithSpaces>16928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PCT/WG/14/</dc:title>
  <dc:creator>MATEOS CLERIGUÉ Roberto</dc:creator>
  <cp:keywords>FOR OFFICIAL USE ONLY</cp:keywords>
  <cp:lastModifiedBy>SHOUSHA Sally</cp:lastModifiedBy>
  <cp:revision>2</cp:revision>
  <dcterms:created xsi:type="dcterms:W3CDTF">2021-05-19T11:28:00Z</dcterms:created>
  <dcterms:modified xsi:type="dcterms:W3CDTF">2021-05-19T11:28:00Z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27f4ed21-4333-46ee-ba4d-a2b8332310c7</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