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4BB9C9" w14:textId="4B59E82C" w:rsidR="009D1764" w:rsidRPr="00F043DE" w:rsidRDefault="000B0790" w:rsidP="009D1764">
      <w:pPr>
        <w:pBdr>
          <w:bottom w:val="single" w:sz="4" w:space="11" w:color="auto"/>
        </w:pBdr>
        <w:spacing w:before="360" w:after="240"/>
        <w:jc w:val="right"/>
        <w:rPr>
          <w:b/>
          <w:sz w:val="32"/>
          <w:szCs w:val="40"/>
        </w:rPr>
      </w:pPr>
      <w:bookmarkStart w:id="0" w:name="OLE_LINK2"/>
      <w:bookmarkStart w:id="1" w:name="OLE_LINK3"/>
      <w:bookmarkStart w:id="2" w:name="_Toc336032059"/>
      <w:bookmarkStart w:id="3" w:name="_GoBack"/>
      <w:bookmarkEnd w:id="3"/>
      <w:r w:rsidRPr="0042194C">
        <w:rPr>
          <w:noProof/>
          <w:lang w:val="en-US" w:eastAsia="en-US"/>
        </w:rPr>
        <w:drawing>
          <wp:inline distT="0" distB="0" distL="0" distR="0" wp14:anchorId="532CC1B1" wp14:editId="770F77BE">
            <wp:extent cx="3246120" cy="1630680"/>
            <wp:effectExtent l="0" t="0" r="0" b="7620"/>
            <wp:docPr id="4" name="Picture 4" descr="Устремленные вверх изогнутые линии на эмблеме Всемирной организации интеллектуальной собственности символизируют прогресс человечества, движимый инновациями и творчеством." title="Эмблема ВОИС"/>
            <wp:cNvGraphicFramePr/>
            <a:graphic xmlns:a="http://schemas.openxmlformats.org/drawingml/2006/main">
              <a:graphicData uri="http://schemas.openxmlformats.org/drawingml/2006/picture">
                <pic:pic xmlns:pic="http://schemas.openxmlformats.org/drawingml/2006/picture">
                  <pic:nvPicPr>
                    <pic:cNvPr id="1" name="Picture 1" descr="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46120" cy="1630680"/>
                    </a:xfrm>
                    <a:prstGeom prst="rect">
                      <a:avLst/>
                    </a:prstGeom>
                    <a:noFill/>
                    <a:ln>
                      <a:noFill/>
                    </a:ln>
                  </pic:spPr>
                </pic:pic>
              </a:graphicData>
            </a:graphic>
          </wp:inline>
        </w:drawing>
      </w:r>
    </w:p>
    <w:p w14:paraId="372327B7" w14:textId="430C0ABB" w:rsidR="009D1764" w:rsidRPr="002326AB" w:rsidRDefault="00C1406B" w:rsidP="009D1764">
      <w:pPr>
        <w:jc w:val="right"/>
        <w:rPr>
          <w:rFonts w:ascii="Arial Black" w:hAnsi="Arial Black"/>
          <w:caps/>
          <w:sz w:val="15"/>
          <w:szCs w:val="15"/>
        </w:rPr>
      </w:pPr>
      <w:r>
        <w:rPr>
          <w:rFonts w:ascii="Arial Black" w:hAnsi="Arial Black"/>
          <w:caps/>
          <w:sz w:val="15"/>
        </w:rPr>
        <w:t>CDIP/30/</w:t>
      </w:r>
      <w:bookmarkStart w:id="4" w:name="Code"/>
      <w:bookmarkEnd w:id="4"/>
      <w:r>
        <w:rPr>
          <w:rFonts w:ascii="Arial Black" w:hAnsi="Arial Black"/>
          <w:caps/>
          <w:sz w:val="15"/>
        </w:rPr>
        <w:t>10</w:t>
      </w:r>
    </w:p>
    <w:p w14:paraId="5AB76D32" w14:textId="266736B6" w:rsidR="009D1764" w:rsidRPr="000A3D97" w:rsidRDefault="009D1764" w:rsidP="009D1764">
      <w:pPr>
        <w:jc w:val="right"/>
        <w:rPr>
          <w:rFonts w:ascii="Arial Black" w:hAnsi="Arial Black"/>
          <w:caps/>
          <w:sz w:val="15"/>
          <w:szCs w:val="15"/>
        </w:rPr>
      </w:pPr>
      <w:r>
        <w:rPr>
          <w:rFonts w:ascii="Arial Black" w:hAnsi="Arial Black"/>
          <w:caps/>
          <w:sz w:val="15"/>
        </w:rPr>
        <w:t xml:space="preserve">ОРИГИНАЛ: </w:t>
      </w:r>
      <w:bookmarkStart w:id="5" w:name="Original"/>
      <w:r>
        <w:rPr>
          <w:rFonts w:ascii="Arial Black" w:hAnsi="Arial Black"/>
          <w:caps/>
          <w:sz w:val="15"/>
        </w:rPr>
        <w:t>АНГЛИЙСКИЙ</w:t>
      </w:r>
    </w:p>
    <w:bookmarkEnd w:id="5"/>
    <w:p w14:paraId="49E50F93" w14:textId="1AE2085F" w:rsidR="009D1764" w:rsidRPr="00741DCA" w:rsidRDefault="00741DCA" w:rsidP="009D1764">
      <w:pPr>
        <w:spacing w:line="1680" w:lineRule="auto"/>
        <w:jc w:val="right"/>
        <w:rPr>
          <w:rFonts w:ascii="Arial Black" w:hAnsi="Arial Black"/>
          <w:caps/>
          <w:color w:val="000000" w:themeColor="text1"/>
          <w:sz w:val="15"/>
          <w:szCs w:val="15"/>
        </w:rPr>
      </w:pPr>
      <w:r>
        <w:rPr>
          <w:rFonts w:ascii="Arial Black" w:hAnsi="Arial Black"/>
          <w:sz w:val="15"/>
          <w:szCs w:val="15"/>
        </w:rPr>
        <w:t xml:space="preserve">ДАТА:  </w:t>
      </w:r>
      <w:r w:rsidRPr="00741DCA">
        <w:rPr>
          <w:rFonts w:ascii="Arial Black" w:hAnsi="Arial Black"/>
          <w:sz w:val="15"/>
          <w:szCs w:val="15"/>
        </w:rPr>
        <w:t>1 МАРТА 2023 Г.</w:t>
      </w:r>
    </w:p>
    <w:p w14:paraId="73935044" w14:textId="77777777" w:rsidR="009D1764" w:rsidRPr="00741DCA" w:rsidRDefault="009D1764" w:rsidP="00741DCA">
      <w:pPr>
        <w:spacing w:after="600"/>
        <w:rPr>
          <w:b/>
          <w:sz w:val="28"/>
          <w:szCs w:val="28"/>
        </w:rPr>
      </w:pPr>
      <w:bookmarkStart w:id="6" w:name="_Toc98257905"/>
      <w:bookmarkStart w:id="7" w:name="_Toc98332701"/>
      <w:bookmarkStart w:id="8" w:name="_Toc127952650"/>
      <w:bookmarkStart w:id="9" w:name="_Toc127952831"/>
      <w:r w:rsidRPr="00741DCA">
        <w:rPr>
          <w:b/>
          <w:sz w:val="28"/>
        </w:rPr>
        <w:t>Комитет по развитию и интеллектуальной собственности (КРИС)</w:t>
      </w:r>
      <w:bookmarkEnd w:id="6"/>
      <w:bookmarkEnd w:id="7"/>
      <w:bookmarkEnd w:id="8"/>
      <w:bookmarkEnd w:id="9"/>
    </w:p>
    <w:p w14:paraId="757B470C" w14:textId="09160823" w:rsidR="009D1764" w:rsidRPr="003845C1" w:rsidRDefault="00C1406B" w:rsidP="00741DCA">
      <w:pPr>
        <w:spacing w:after="720"/>
        <w:rPr>
          <w:b/>
          <w:sz w:val="24"/>
          <w:szCs w:val="24"/>
        </w:rPr>
      </w:pPr>
      <w:bookmarkStart w:id="10" w:name="_Toc98257906"/>
      <w:bookmarkStart w:id="11" w:name="_Toc98332702"/>
      <w:bookmarkStart w:id="12" w:name="_Toc127952651"/>
      <w:bookmarkStart w:id="13" w:name="_Toc127952832"/>
      <w:r>
        <w:rPr>
          <w:b/>
          <w:sz w:val="24"/>
        </w:rPr>
        <w:t>Тридцатая сессия</w:t>
      </w:r>
      <w:r>
        <w:rPr>
          <w:b/>
          <w:sz w:val="24"/>
        </w:rPr>
        <w:br/>
        <w:t>Женева, 24—28 апреля 2023 г.</w:t>
      </w:r>
      <w:bookmarkEnd w:id="10"/>
      <w:bookmarkEnd w:id="11"/>
      <w:bookmarkEnd w:id="12"/>
      <w:bookmarkEnd w:id="13"/>
    </w:p>
    <w:p w14:paraId="1EE4E981" w14:textId="206633AC" w:rsidR="005171F6" w:rsidRPr="00AC5B50" w:rsidRDefault="005171F6" w:rsidP="00744FCE">
      <w:pPr>
        <w:spacing w:after="360"/>
        <w:rPr>
          <w:sz w:val="24"/>
          <w:szCs w:val="24"/>
        </w:rPr>
      </w:pPr>
      <w:r>
        <w:t xml:space="preserve">ОТЧЕТ ОБ </w:t>
      </w:r>
      <w:bookmarkEnd w:id="0"/>
      <w:bookmarkEnd w:id="1"/>
      <w:r>
        <w:t>ОЦЕНКЕ ПРОЕКТА «ИНТЕЛЛЕКТУАЛЬНАЯ СОБСТВЕННОСТЬ И ГАСТРОНОМИЧЕСКИЙ ТУРИЗМ В ПЕРУ И ДРУГИХ РАЗВИВАЮЩИХСЯ СТРАНАХ: СОДЕЙСТВИЕ РАЗВИТИЮ ГАСТРОНОМИЧЕСКОГО ТУРИЗМА С ПОМОЩЬЮ ИНТЕЛЛЕКТУАЛЬНОЙ СОБСТВЕННОСТИ»</w:t>
      </w:r>
    </w:p>
    <w:p w14:paraId="4EDECE9B" w14:textId="2B1F2066" w:rsidR="005171F6" w:rsidRPr="00AC5B50" w:rsidRDefault="005171F6" w:rsidP="00E74B6A">
      <w:pPr>
        <w:spacing w:after="960"/>
      </w:pPr>
      <w:r>
        <w:rPr>
          <w:i/>
        </w:rPr>
        <w:t>Документ подготовлен независимым экспертом по оценке и консультантом г-жой Каролиной Дель Кампо Вара, Мадрид</w:t>
      </w:r>
    </w:p>
    <w:p w14:paraId="48BA981F" w14:textId="318DA54E" w:rsidR="00E74B6A" w:rsidRPr="00AC5B50" w:rsidRDefault="005171F6" w:rsidP="0018027F">
      <w:pPr>
        <w:pStyle w:val="Default"/>
        <w:spacing w:after="240"/>
        <w:rPr>
          <w:rFonts w:ascii="Arial" w:hAnsi="Arial" w:cs="Arial"/>
          <w:sz w:val="22"/>
          <w:szCs w:val="22"/>
        </w:rPr>
      </w:pPr>
      <w:r w:rsidRPr="00AC5B50">
        <w:rPr>
          <w:rFonts w:ascii="Arial" w:hAnsi="Arial" w:cs="Arial"/>
          <w:sz w:val="22"/>
        </w:rPr>
        <w:fldChar w:fldCharType="begin"/>
      </w:r>
      <w:r w:rsidRPr="00AC5B50">
        <w:rPr>
          <w:rFonts w:ascii="Arial" w:hAnsi="Arial" w:cs="Arial"/>
          <w:sz w:val="22"/>
        </w:rPr>
        <w:instrText xml:space="preserve"> AUTONUM  </w:instrText>
      </w:r>
      <w:r w:rsidRPr="00AC5B50">
        <w:rPr>
          <w:rFonts w:ascii="Arial" w:hAnsi="Arial" w:cs="Arial"/>
          <w:sz w:val="22"/>
        </w:rPr>
        <w:fldChar w:fldCharType="end"/>
      </w:r>
      <w:r>
        <w:tab/>
      </w:r>
      <w:r>
        <w:rPr>
          <w:rFonts w:ascii="Arial" w:hAnsi="Arial"/>
          <w:sz w:val="22"/>
        </w:rPr>
        <w:t xml:space="preserve">В приложении к настоящему документу содержится отчет о внешней независимой оценке проекта Повестки дня в области развития «Интеллектуальная собственность и гастрономический туризм в Перу и других развивающихся странах: содействие развитию гастрономического туризма с помощью интеллектуальной собственности», подготовленный независимым экспертом по оценке и консультантом г-жой Каролиной Дель Кампо Вара, Мадрид, Испания. </w:t>
      </w:r>
    </w:p>
    <w:p w14:paraId="71AC88A2" w14:textId="11935CC6" w:rsidR="005171F6" w:rsidRPr="00AC5B50" w:rsidRDefault="005171F6" w:rsidP="00E0179D">
      <w:pPr>
        <w:pStyle w:val="Endofdocument-Annex"/>
        <w:tabs>
          <w:tab w:val="left" w:pos="567"/>
        </w:tabs>
        <w:ind w:left="5530"/>
        <w:rPr>
          <w:i/>
          <w:iCs/>
          <w:szCs w:val="22"/>
        </w:rPr>
      </w:pPr>
      <w:r w:rsidRPr="00AC5B50">
        <w:rPr>
          <w:i/>
        </w:rPr>
        <w:fldChar w:fldCharType="begin"/>
      </w:r>
      <w:r w:rsidRPr="00AC5B50">
        <w:rPr>
          <w:i/>
        </w:rPr>
        <w:instrText xml:space="preserve"> AUTONUM  </w:instrText>
      </w:r>
      <w:r w:rsidRPr="00AC5B50">
        <w:rPr>
          <w:i/>
        </w:rPr>
        <w:fldChar w:fldCharType="end"/>
      </w:r>
      <w:r>
        <w:rPr>
          <w:i/>
        </w:rPr>
        <w:tab/>
        <w:t>КРИС предлагается принять к сведению информацию, содержащуюся в приложении к настоящему документу.</w:t>
      </w:r>
    </w:p>
    <w:p w14:paraId="47CF931F" w14:textId="2B7C979D" w:rsidR="00BF7A73" w:rsidRPr="009D1764" w:rsidRDefault="005171F6" w:rsidP="00E0179D">
      <w:pPr>
        <w:tabs>
          <w:tab w:val="left" w:pos="4950"/>
        </w:tabs>
        <w:spacing w:before="720"/>
        <w:ind w:left="5530"/>
        <w:rPr>
          <w:rFonts w:asciiTheme="minorBidi" w:hAnsiTheme="minorBidi" w:cstheme="minorBidi"/>
        </w:rPr>
      </w:pPr>
      <w:r>
        <w:t>[Приложение следует]</w:t>
      </w:r>
      <w:r>
        <w:br w:type="page"/>
      </w:r>
      <w:bookmarkEnd w:id="2"/>
    </w:p>
    <w:sdt>
      <w:sdtPr>
        <w:rPr>
          <w:rFonts w:eastAsia="Calibri"/>
          <w:sz w:val="20"/>
          <w:szCs w:val="21"/>
        </w:rPr>
        <w:id w:val="-1432123645"/>
        <w:docPartObj>
          <w:docPartGallery w:val="Table of Contents"/>
          <w:docPartUnique/>
        </w:docPartObj>
      </w:sdtPr>
      <w:sdtEndPr>
        <w:rPr>
          <w:rFonts w:eastAsia="Times New Roman"/>
          <w:noProof/>
          <w:sz w:val="24"/>
          <w:szCs w:val="24"/>
        </w:rPr>
      </w:sdtEndPr>
      <w:sdtContent>
        <w:p w14:paraId="1088DF8E" w14:textId="77777777" w:rsidR="00741DCA" w:rsidRDefault="00F0413C" w:rsidP="00F0413C">
          <w:pPr>
            <w:keepNext/>
            <w:keepLines/>
            <w:rPr>
              <w:noProof/>
            </w:rPr>
          </w:pPr>
          <w:r>
            <w:rPr>
              <w:b/>
              <w:bCs/>
            </w:rPr>
            <w:t>Содержание</w:t>
          </w:r>
          <w:r w:rsidR="002105F6" w:rsidRPr="002105F6">
            <w:rPr>
              <w:rFonts w:eastAsia="Times New Roman"/>
              <w:b/>
              <w:i/>
            </w:rPr>
            <w:fldChar w:fldCharType="begin"/>
          </w:r>
          <w:r w:rsidR="002105F6" w:rsidRPr="002105F6">
            <w:rPr>
              <w:rFonts w:eastAsia="Times New Roman"/>
              <w:b/>
              <w:i/>
            </w:rPr>
            <w:instrText>TOC \o "1-3" \h \z \u</w:instrText>
          </w:r>
          <w:r w:rsidR="002105F6" w:rsidRPr="002105F6">
            <w:rPr>
              <w:rFonts w:eastAsia="Times New Roman"/>
              <w:b/>
              <w:i/>
            </w:rPr>
            <w:fldChar w:fldCharType="separate"/>
          </w:r>
        </w:p>
        <w:p w14:paraId="3BB06DB3" w14:textId="07F73B26" w:rsidR="00741DCA" w:rsidRPr="00741DCA" w:rsidRDefault="002C03A0" w:rsidP="00741DCA">
          <w:pPr>
            <w:pStyle w:val="TOC1"/>
            <w:spacing w:before="60" w:after="60"/>
            <w:rPr>
              <w:rFonts w:asciiTheme="minorHAnsi" w:eastAsiaTheme="minorEastAsia" w:hAnsiTheme="minorHAnsi" w:cstheme="minorBidi"/>
              <w:b w:val="0"/>
              <w:noProof/>
              <w:szCs w:val="22"/>
              <w:lang w:val="en-US" w:eastAsia="en-US"/>
            </w:rPr>
          </w:pPr>
          <w:hyperlink w:anchor="_Toc129099337" w:history="1">
            <w:r w:rsidR="00741DCA" w:rsidRPr="00741DCA">
              <w:rPr>
                <w:rStyle w:val="Hyperlink"/>
                <w:b w:val="0"/>
                <w:noProof/>
              </w:rPr>
              <w:t>Сокращения</w:t>
            </w:r>
            <w:r w:rsidR="00741DCA" w:rsidRPr="00741DCA">
              <w:rPr>
                <w:b w:val="0"/>
                <w:noProof/>
                <w:webHidden/>
              </w:rPr>
              <w:tab/>
            </w:r>
            <w:r w:rsidR="00741DCA" w:rsidRPr="00741DCA">
              <w:rPr>
                <w:b w:val="0"/>
                <w:noProof/>
                <w:webHidden/>
              </w:rPr>
              <w:fldChar w:fldCharType="begin"/>
            </w:r>
            <w:r w:rsidR="00741DCA" w:rsidRPr="00741DCA">
              <w:rPr>
                <w:b w:val="0"/>
                <w:noProof/>
                <w:webHidden/>
              </w:rPr>
              <w:instrText xml:space="preserve"> PAGEREF _Toc129099337 \h </w:instrText>
            </w:r>
            <w:r w:rsidR="00741DCA" w:rsidRPr="00741DCA">
              <w:rPr>
                <w:b w:val="0"/>
                <w:noProof/>
                <w:webHidden/>
              </w:rPr>
            </w:r>
            <w:r w:rsidR="00741DCA" w:rsidRPr="00741DCA">
              <w:rPr>
                <w:b w:val="0"/>
                <w:noProof/>
                <w:webHidden/>
              </w:rPr>
              <w:fldChar w:fldCharType="separate"/>
            </w:r>
            <w:r w:rsidR="00741DCA" w:rsidRPr="00741DCA">
              <w:rPr>
                <w:b w:val="0"/>
                <w:noProof/>
                <w:webHidden/>
              </w:rPr>
              <w:t>2</w:t>
            </w:r>
            <w:r w:rsidR="00741DCA" w:rsidRPr="00741DCA">
              <w:rPr>
                <w:b w:val="0"/>
                <w:noProof/>
                <w:webHidden/>
              </w:rPr>
              <w:fldChar w:fldCharType="end"/>
            </w:r>
          </w:hyperlink>
        </w:p>
        <w:p w14:paraId="4B271DF4" w14:textId="0AEE0221" w:rsidR="00741DCA" w:rsidRPr="00741DCA" w:rsidRDefault="002C03A0" w:rsidP="00741DCA">
          <w:pPr>
            <w:pStyle w:val="TOC1"/>
            <w:spacing w:before="60" w:after="60"/>
            <w:rPr>
              <w:rFonts w:asciiTheme="minorHAnsi" w:eastAsiaTheme="minorEastAsia" w:hAnsiTheme="minorHAnsi" w:cstheme="minorBidi"/>
              <w:b w:val="0"/>
              <w:noProof/>
              <w:szCs w:val="22"/>
              <w:lang w:val="en-US" w:eastAsia="en-US"/>
            </w:rPr>
          </w:pPr>
          <w:hyperlink w:anchor="_Toc129099339" w:history="1">
            <w:r w:rsidR="00741DCA" w:rsidRPr="00741DCA">
              <w:rPr>
                <w:rStyle w:val="Hyperlink"/>
                <w:b w:val="0"/>
                <w:noProof/>
              </w:rPr>
              <w:t>ВВЕДЕНИЕ</w:t>
            </w:r>
            <w:r w:rsidR="00741DCA" w:rsidRPr="00741DCA">
              <w:rPr>
                <w:b w:val="0"/>
                <w:noProof/>
                <w:webHidden/>
              </w:rPr>
              <w:tab/>
            </w:r>
            <w:r w:rsidR="00741DCA" w:rsidRPr="00741DCA">
              <w:rPr>
                <w:b w:val="0"/>
                <w:noProof/>
                <w:webHidden/>
              </w:rPr>
              <w:fldChar w:fldCharType="begin"/>
            </w:r>
            <w:r w:rsidR="00741DCA" w:rsidRPr="00741DCA">
              <w:rPr>
                <w:b w:val="0"/>
                <w:noProof/>
                <w:webHidden/>
              </w:rPr>
              <w:instrText xml:space="preserve"> PAGEREF _Toc129099339 \h </w:instrText>
            </w:r>
            <w:r w:rsidR="00741DCA" w:rsidRPr="00741DCA">
              <w:rPr>
                <w:b w:val="0"/>
                <w:noProof/>
                <w:webHidden/>
              </w:rPr>
            </w:r>
            <w:r w:rsidR="00741DCA" w:rsidRPr="00741DCA">
              <w:rPr>
                <w:b w:val="0"/>
                <w:noProof/>
                <w:webHidden/>
              </w:rPr>
              <w:fldChar w:fldCharType="separate"/>
            </w:r>
            <w:r w:rsidR="00741DCA" w:rsidRPr="00741DCA">
              <w:rPr>
                <w:b w:val="0"/>
                <w:noProof/>
                <w:webHidden/>
              </w:rPr>
              <w:t>4</w:t>
            </w:r>
            <w:r w:rsidR="00741DCA" w:rsidRPr="00741DCA">
              <w:rPr>
                <w:b w:val="0"/>
                <w:noProof/>
                <w:webHidden/>
              </w:rPr>
              <w:fldChar w:fldCharType="end"/>
            </w:r>
          </w:hyperlink>
        </w:p>
        <w:p w14:paraId="36B4EB63" w14:textId="4391B213" w:rsidR="00741DCA" w:rsidRPr="00741DCA" w:rsidRDefault="002C03A0" w:rsidP="00741DCA">
          <w:pPr>
            <w:pStyle w:val="TOC2"/>
            <w:spacing w:before="60" w:after="60"/>
            <w:rPr>
              <w:rFonts w:asciiTheme="minorHAnsi" w:eastAsiaTheme="minorEastAsia" w:hAnsiTheme="minorHAnsi" w:cstheme="minorBidi"/>
              <w:noProof/>
              <w:szCs w:val="22"/>
              <w:lang w:val="en-US"/>
            </w:rPr>
          </w:pPr>
          <w:hyperlink w:anchor="_Toc129099340" w:history="1">
            <w:r w:rsidR="00741DCA" w:rsidRPr="00741DCA">
              <w:rPr>
                <w:rStyle w:val="Hyperlink"/>
                <w:noProof/>
              </w:rPr>
              <w:t>История вопроса и контекст</w:t>
            </w:r>
            <w:r w:rsidR="00741DCA" w:rsidRPr="00741DCA">
              <w:rPr>
                <w:noProof/>
                <w:webHidden/>
              </w:rPr>
              <w:tab/>
            </w:r>
            <w:r w:rsidR="00741DCA" w:rsidRPr="00741DCA">
              <w:rPr>
                <w:noProof/>
                <w:webHidden/>
              </w:rPr>
              <w:fldChar w:fldCharType="begin"/>
            </w:r>
            <w:r w:rsidR="00741DCA" w:rsidRPr="00741DCA">
              <w:rPr>
                <w:noProof/>
                <w:webHidden/>
              </w:rPr>
              <w:instrText xml:space="preserve"> PAGEREF _Toc129099340 \h </w:instrText>
            </w:r>
            <w:r w:rsidR="00741DCA" w:rsidRPr="00741DCA">
              <w:rPr>
                <w:noProof/>
                <w:webHidden/>
              </w:rPr>
            </w:r>
            <w:r w:rsidR="00741DCA" w:rsidRPr="00741DCA">
              <w:rPr>
                <w:noProof/>
                <w:webHidden/>
              </w:rPr>
              <w:fldChar w:fldCharType="separate"/>
            </w:r>
            <w:r w:rsidR="00741DCA" w:rsidRPr="00741DCA">
              <w:rPr>
                <w:noProof/>
                <w:webHidden/>
              </w:rPr>
              <w:t>4</w:t>
            </w:r>
            <w:r w:rsidR="00741DCA" w:rsidRPr="00741DCA">
              <w:rPr>
                <w:noProof/>
                <w:webHidden/>
              </w:rPr>
              <w:fldChar w:fldCharType="end"/>
            </w:r>
          </w:hyperlink>
        </w:p>
        <w:p w14:paraId="55B71552" w14:textId="2C4BFDEC" w:rsidR="00741DCA" w:rsidRPr="00741DCA" w:rsidRDefault="002C03A0" w:rsidP="00741DCA">
          <w:pPr>
            <w:pStyle w:val="TOC2"/>
            <w:spacing w:before="60" w:after="60"/>
            <w:rPr>
              <w:rFonts w:asciiTheme="minorHAnsi" w:eastAsiaTheme="minorEastAsia" w:hAnsiTheme="minorHAnsi" w:cstheme="minorBidi"/>
              <w:noProof/>
              <w:szCs w:val="22"/>
              <w:lang w:val="en-US"/>
            </w:rPr>
          </w:pPr>
          <w:hyperlink w:anchor="_Toc129099341" w:history="1">
            <w:r w:rsidR="00741DCA" w:rsidRPr="00741DCA">
              <w:rPr>
                <w:rStyle w:val="Hyperlink"/>
                <w:noProof/>
              </w:rPr>
              <w:t>Цель и структура отчета</w:t>
            </w:r>
            <w:r w:rsidR="00741DCA" w:rsidRPr="00741DCA">
              <w:rPr>
                <w:noProof/>
                <w:webHidden/>
              </w:rPr>
              <w:tab/>
            </w:r>
            <w:r w:rsidR="00741DCA" w:rsidRPr="00741DCA">
              <w:rPr>
                <w:noProof/>
                <w:webHidden/>
              </w:rPr>
              <w:fldChar w:fldCharType="begin"/>
            </w:r>
            <w:r w:rsidR="00741DCA" w:rsidRPr="00741DCA">
              <w:rPr>
                <w:noProof/>
                <w:webHidden/>
              </w:rPr>
              <w:instrText xml:space="preserve"> PAGEREF _Toc129099341 \h </w:instrText>
            </w:r>
            <w:r w:rsidR="00741DCA" w:rsidRPr="00741DCA">
              <w:rPr>
                <w:noProof/>
                <w:webHidden/>
              </w:rPr>
            </w:r>
            <w:r w:rsidR="00741DCA" w:rsidRPr="00741DCA">
              <w:rPr>
                <w:noProof/>
                <w:webHidden/>
              </w:rPr>
              <w:fldChar w:fldCharType="separate"/>
            </w:r>
            <w:r w:rsidR="00741DCA" w:rsidRPr="00741DCA">
              <w:rPr>
                <w:noProof/>
                <w:webHidden/>
              </w:rPr>
              <w:t>5</w:t>
            </w:r>
            <w:r w:rsidR="00741DCA" w:rsidRPr="00741DCA">
              <w:rPr>
                <w:noProof/>
                <w:webHidden/>
              </w:rPr>
              <w:fldChar w:fldCharType="end"/>
            </w:r>
          </w:hyperlink>
        </w:p>
        <w:p w14:paraId="6BB9DB41" w14:textId="49AD5565" w:rsidR="00741DCA" w:rsidRPr="00741DCA" w:rsidRDefault="002C03A0" w:rsidP="00741DCA">
          <w:pPr>
            <w:pStyle w:val="TOC1"/>
            <w:spacing w:before="60" w:after="60"/>
            <w:rPr>
              <w:rFonts w:asciiTheme="minorHAnsi" w:eastAsiaTheme="minorEastAsia" w:hAnsiTheme="minorHAnsi" w:cstheme="minorBidi"/>
              <w:b w:val="0"/>
              <w:noProof/>
              <w:szCs w:val="22"/>
              <w:lang w:val="en-US" w:eastAsia="en-US"/>
            </w:rPr>
          </w:pPr>
          <w:hyperlink w:anchor="_Toc129099342" w:history="1">
            <w:r w:rsidR="00741DCA" w:rsidRPr="00741DCA">
              <w:rPr>
                <w:rStyle w:val="Hyperlink"/>
                <w:b w:val="0"/>
                <w:noProof/>
              </w:rPr>
              <w:t>СФЕРА ОХВАТА И МЕТОДИКА ОЦЕНКИ</w:t>
            </w:r>
            <w:r w:rsidR="00741DCA" w:rsidRPr="00741DCA">
              <w:rPr>
                <w:b w:val="0"/>
                <w:noProof/>
                <w:webHidden/>
              </w:rPr>
              <w:tab/>
            </w:r>
            <w:r w:rsidR="00741DCA" w:rsidRPr="00741DCA">
              <w:rPr>
                <w:b w:val="0"/>
                <w:noProof/>
                <w:webHidden/>
              </w:rPr>
              <w:fldChar w:fldCharType="begin"/>
            </w:r>
            <w:r w:rsidR="00741DCA" w:rsidRPr="00741DCA">
              <w:rPr>
                <w:b w:val="0"/>
                <w:noProof/>
                <w:webHidden/>
              </w:rPr>
              <w:instrText xml:space="preserve"> PAGEREF _Toc129099342 \h </w:instrText>
            </w:r>
            <w:r w:rsidR="00741DCA" w:rsidRPr="00741DCA">
              <w:rPr>
                <w:b w:val="0"/>
                <w:noProof/>
                <w:webHidden/>
              </w:rPr>
            </w:r>
            <w:r w:rsidR="00741DCA" w:rsidRPr="00741DCA">
              <w:rPr>
                <w:b w:val="0"/>
                <w:noProof/>
                <w:webHidden/>
              </w:rPr>
              <w:fldChar w:fldCharType="separate"/>
            </w:r>
            <w:r w:rsidR="00741DCA" w:rsidRPr="00741DCA">
              <w:rPr>
                <w:b w:val="0"/>
                <w:noProof/>
                <w:webHidden/>
              </w:rPr>
              <w:t>6</w:t>
            </w:r>
            <w:r w:rsidR="00741DCA" w:rsidRPr="00741DCA">
              <w:rPr>
                <w:b w:val="0"/>
                <w:noProof/>
                <w:webHidden/>
              </w:rPr>
              <w:fldChar w:fldCharType="end"/>
            </w:r>
          </w:hyperlink>
        </w:p>
        <w:p w14:paraId="541D3F1A" w14:textId="3A67A5FB" w:rsidR="00741DCA" w:rsidRPr="00741DCA" w:rsidRDefault="002C03A0" w:rsidP="00741DCA">
          <w:pPr>
            <w:pStyle w:val="TOC1"/>
            <w:spacing w:before="60" w:after="60"/>
            <w:rPr>
              <w:rFonts w:asciiTheme="minorHAnsi" w:eastAsiaTheme="minorEastAsia" w:hAnsiTheme="minorHAnsi" w:cstheme="minorBidi"/>
              <w:b w:val="0"/>
              <w:noProof/>
              <w:szCs w:val="22"/>
              <w:lang w:val="en-US" w:eastAsia="en-US"/>
            </w:rPr>
          </w:pPr>
          <w:hyperlink w:anchor="_Toc129099343" w:history="1">
            <w:r w:rsidR="00741DCA" w:rsidRPr="00741DCA">
              <w:rPr>
                <w:rStyle w:val="Hyperlink"/>
                <w:b w:val="0"/>
                <w:noProof/>
              </w:rPr>
              <w:t>Сбор данных</w:t>
            </w:r>
            <w:r w:rsidR="00741DCA" w:rsidRPr="00741DCA">
              <w:rPr>
                <w:b w:val="0"/>
                <w:noProof/>
                <w:webHidden/>
              </w:rPr>
              <w:tab/>
            </w:r>
            <w:r w:rsidR="00741DCA" w:rsidRPr="00741DCA">
              <w:rPr>
                <w:b w:val="0"/>
                <w:noProof/>
                <w:webHidden/>
              </w:rPr>
              <w:fldChar w:fldCharType="begin"/>
            </w:r>
            <w:r w:rsidR="00741DCA" w:rsidRPr="00741DCA">
              <w:rPr>
                <w:b w:val="0"/>
                <w:noProof/>
                <w:webHidden/>
              </w:rPr>
              <w:instrText xml:space="preserve"> PAGEREF _Toc129099343 \h </w:instrText>
            </w:r>
            <w:r w:rsidR="00741DCA" w:rsidRPr="00741DCA">
              <w:rPr>
                <w:b w:val="0"/>
                <w:noProof/>
                <w:webHidden/>
              </w:rPr>
            </w:r>
            <w:r w:rsidR="00741DCA" w:rsidRPr="00741DCA">
              <w:rPr>
                <w:b w:val="0"/>
                <w:noProof/>
                <w:webHidden/>
              </w:rPr>
              <w:fldChar w:fldCharType="separate"/>
            </w:r>
            <w:r w:rsidR="00741DCA" w:rsidRPr="00741DCA">
              <w:rPr>
                <w:b w:val="0"/>
                <w:noProof/>
                <w:webHidden/>
              </w:rPr>
              <w:t>8</w:t>
            </w:r>
            <w:r w:rsidR="00741DCA" w:rsidRPr="00741DCA">
              <w:rPr>
                <w:b w:val="0"/>
                <w:noProof/>
                <w:webHidden/>
              </w:rPr>
              <w:fldChar w:fldCharType="end"/>
            </w:r>
          </w:hyperlink>
        </w:p>
        <w:p w14:paraId="010AB745" w14:textId="30199E6B" w:rsidR="00741DCA" w:rsidRPr="00741DCA" w:rsidRDefault="002C03A0" w:rsidP="00741DCA">
          <w:pPr>
            <w:pStyle w:val="TOC1"/>
            <w:spacing w:before="60" w:after="60"/>
            <w:rPr>
              <w:rFonts w:asciiTheme="minorHAnsi" w:eastAsiaTheme="minorEastAsia" w:hAnsiTheme="minorHAnsi" w:cstheme="minorBidi"/>
              <w:b w:val="0"/>
              <w:noProof/>
              <w:szCs w:val="22"/>
              <w:lang w:val="en-US" w:eastAsia="en-US"/>
            </w:rPr>
          </w:pPr>
          <w:hyperlink w:anchor="_Toc129099344" w:history="1">
            <w:r w:rsidR="00741DCA" w:rsidRPr="00741DCA">
              <w:rPr>
                <w:rStyle w:val="Hyperlink"/>
                <w:b w:val="0"/>
                <w:noProof/>
              </w:rPr>
              <w:t>Ограничения</w:t>
            </w:r>
            <w:r w:rsidR="00741DCA" w:rsidRPr="00741DCA">
              <w:rPr>
                <w:b w:val="0"/>
                <w:noProof/>
                <w:webHidden/>
              </w:rPr>
              <w:tab/>
            </w:r>
            <w:r w:rsidR="00741DCA" w:rsidRPr="00741DCA">
              <w:rPr>
                <w:b w:val="0"/>
                <w:noProof/>
                <w:webHidden/>
              </w:rPr>
              <w:fldChar w:fldCharType="begin"/>
            </w:r>
            <w:r w:rsidR="00741DCA" w:rsidRPr="00741DCA">
              <w:rPr>
                <w:b w:val="0"/>
                <w:noProof/>
                <w:webHidden/>
              </w:rPr>
              <w:instrText xml:space="preserve"> PAGEREF _Toc129099344 \h </w:instrText>
            </w:r>
            <w:r w:rsidR="00741DCA" w:rsidRPr="00741DCA">
              <w:rPr>
                <w:b w:val="0"/>
                <w:noProof/>
                <w:webHidden/>
              </w:rPr>
            </w:r>
            <w:r w:rsidR="00741DCA" w:rsidRPr="00741DCA">
              <w:rPr>
                <w:b w:val="0"/>
                <w:noProof/>
                <w:webHidden/>
              </w:rPr>
              <w:fldChar w:fldCharType="separate"/>
            </w:r>
            <w:r w:rsidR="00741DCA" w:rsidRPr="00741DCA">
              <w:rPr>
                <w:b w:val="0"/>
                <w:noProof/>
                <w:webHidden/>
              </w:rPr>
              <w:t>10</w:t>
            </w:r>
            <w:r w:rsidR="00741DCA" w:rsidRPr="00741DCA">
              <w:rPr>
                <w:b w:val="0"/>
                <w:noProof/>
                <w:webHidden/>
              </w:rPr>
              <w:fldChar w:fldCharType="end"/>
            </w:r>
          </w:hyperlink>
        </w:p>
        <w:p w14:paraId="132577FC" w14:textId="458D5336" w:rsidR="00741DCA" w:rsidRPr="00741DCA" w:rsidRDefault="002C03A0" w:rsidP="00741DCA">
          <w:pPr>
            <w:pStyle w:val="TOC1"/>
            <w:spacing w:before="60" w:after="60"/>
            <w:rPr>
              <w:rFonts w:asciiTheme="minorHAnsi" w:eastAsiaTheme="minorEastAsia" w:hAnsiTheme="minorHAnsi" w:cstheme="minorBidi"/>
              <w:b w:val="0"/>
              <w:noProof/>
              <w:szCs w:val="22"/>
              <w:lang w:val="en-US" w:eastAsia="en-US"/>
            </w:rPr>
          </w:pPr>
          <w:hyperlink w:anchor="_Toc129099345" w:history="1">
            <w:r w:rsidR="00741DCA" w:rsidRPr="00741DCA">
              <w:rPr>
                <w:rStyle w:val="Hyperlink"/>
                <w:b w:val="0"/>
                <w:noProof/>
              </w:rPr>
              <w:t>ВЫВОДЫ</w:t>
            </w:r>
            <w:r w:rsidR="00741DCA" w:rsidRPr="00741DCA">
              <w:rPr>
                <w:b w:val="0"/>
                <w:noProof/>
                <w:webHidden/>
              </w:rPr>
              <w:tab/>
            </w:r>
            <w:r w:rsidR="00741DCA" w:rsidRPr="00741DCA">
              <w:rPr>
                <w:b w:val="0"/>
                <w:noProof/>
                <w:webHidden/>
              </w:rPr>
              <w:fldChar w:fldCharType="begin"/>
            </w:r>
            <w:r w:rsidR="00741DCA" w:rsidRPr="00741DCA">
              <w:rPr>
                <w:b w:val="0"/>
                <w:noProof/>
                <w:webHidden/>
              </w:rPr>
              <w:instrText xml:space="preserve"> PAGEREF _Toc129099345 \h </w:instrText>
            </w:r>
            <w:r w:rsidR="00741DCA" w:rsidRPr="00741DCA">
              <w:rPr>
                <w:b w:val="0"/>
                <w:noProof/>
                <w:webHidden/>
              </w:rPr>
            </w:r>
            <w:r w:rsidR="00741DCA" w:rsidRPr="00741DCA">
              <w:rPr>
                <w:b w:val="0"/>
                <w:noProof/>
                <w:webHidden/>
              </w:rPr>
              <w:fldChar w:fldCharType="separate"/>
            </w:r>
            <w:r w:rsidR="00741DCA" w:rsidRPr="00741DCA">
              <w:rPr>
                <w:b w:val="0"/>
                <w:noProof/>
                <w:webHidden/>
              </w:rPr>
              <w:t>10</w:t>
            </w:r>
            <w:r w:rsidR="00741DCA" w:rsidRPr="00741DCA">
              <w:rPr>
                <w:b w:val="0"/>
                <w:noProof/>
                <w:webHidden/>
              </w:rPr>
              <w:fldChar w:fldCharType="end"/>
            </w:r>
          </w:hyperlink>
        </w:p>
        <w:p w14:paraId="1F78AE94" w14:textId="4A000737" w:rsidR="00741DCA" w:rsidRPr="00741DCA" w:rsidRDefault="002C03A0" w:rsidP="00741DCA">
          <w:pPr>
            <w:pStyle w:val="TOC2"/>
            <w:spacing w:before="60" w:after="60"/>
            <w:rPr>
              <w:rFonts w:asciiTheme="minorHAnsi" w:eastAsiaTheme="minorEastAsia" w:hAnsiTheme="minorHAnsi" w:cstheme="minorBidi"/>
              <w:noProof/>
              <w:szCs w:val="22"/>
              <w:lang w:val="en-US"/>
            </w:rPr>
          </w:pPr>
          <w:hyperlink w:anchor="_Toc129099346" w:history="1">
            <w:r w:rsidR="00741DCA" w:rsidRPr="00741DCA">
              <w:rPr>
                <w:rStyle w:val="Hyperlink"/>
                <w:noProof/>
              </w:rPr>
              <w:t>Разработка проекта и система управления проектом</w:t>
            </w:r>
            <w:r w:rsidR="00741DCA" w:rsidRPr="00741DCA">
              <w:rPr>
                <w:noProof/>
                <w:webHidden/>
              </w:rPr>
              <w:tab/>
            </w:r>
            <w:r w:rsidR="00741DCA" w:rsidRPr="00741DCA">
              <w:rPr>
                <w:noProof/>
                <w:webHidden/>
              </w:rPr>
              <w:fldChar w:fldCharType="begin"/>
            </w:r>
            <w:r w:rsidR="00741DCA" w:rsidRPr="00741DCA">
              <w:rPr>
                <w:noProof/>
                <w:webHidden/>
              </w:rPr>
              <w:instrText xml:space="preserve"> PAGEREF _Toc129099346 \h </w:instrText>
            </w:r>
            <w:r w:rsidR="00741DCA" w:rsidRPr="00741DCA">
              <w:rPr>
                <w:noProof/>
                <w:webHidden/>
              </w:rPr>
            </w:r>
            <w:r w:rsidR="00741DCA" w:rsidRPr="00741DCA">
              <w:rPr>
                <w:noProof/>
                <w:webHidden/>
              </w:rPr>
              <w:fldChar w:fldCharType="separate"/>
            </w:r>
            <w:r w:rsidR="00741DCA" w:rsidRPr="00741DCA">
              <w:rPr>
                <w:noProof/>
                <w:webHidden/>
              </w:rPr>
              <w:t>10</w:t>
            </w:r>
            <w:r w:rsidR="00741DCA" w:rsidRPr="00741DCA">
              <w:rPr>
                <w:noProof/>
                <w:webHidden/>
              </w:rPr>
              <w:fldChar w:fldCharType="end"/>
            </w:r>
          </w:hyperlink>
        </w:p>
        <w:p w14:paraId="73CE334D" w14:textId="7B3E148E" w:rsidR="00741DCA" w:rsidRPr="00741DCA" w:rsidRDefault="002C03A0" w:rsidP="00741DCA">
          <w:pPr>
            <w:pStyle w:val="TOC2"/>
            <w:spacing w:before="60" w:after="60"/>
            <w:rPr>
              <w:rFonts w:asciiTheme="minorHAnsi" w:eastAsiaTheme="minorEastAsia" w:hAnsiTheme="minorHAnsi" w:cstheme="minorBidi"/>
              <w:noProof/>
              <w:szCs w:val="22"/>
              <w:lang w:val="en-US"/>
            </w:rPr>
          </w:pPr>
          <w:hyperlink w:anchor="_Toc129099347" w:history="1">
            <w:r w:rsidR="00741DCA" w:rsidRPr="00741DCA">
              <w:rPr>
                <w:rStyle w:val="Hyperlink"/>
                <w:noProof/>
              </w:rPr>
              <w:t>Действенность</w:t>
            </w:r>
            <w:r w:rsidR="00741DCA" w:rsidRPr="00741DCA">
              <w:rPr>
                <w:noProof/>
                <w:webHidden/>
              </w:rPr>
              <w:tab/>
            </w:r>
            <w:r w:rsidR="00741DCA" w:rsidRPr="00741DCA">
              <w:rPr>
                <w:noProof/>
                <w:webHidden/>
              </w:rPr>
              <w:fldChar w:fldCharType="begin"/>
            </w:r>
            <w:r w:rsidR="00741DCA" w:rsidRPr="00741DCA">
              <w:rPr>
                <w:noProof/>
                <w:webHidden/>
              </w:rPr>
              <w:instrText xml:space="preserve"> PAGEREF _Toc129099347 \h </w:instrText>
            </w:r>
            <w:r w:rsidR="00741DCA" w:rsidRPr="00741DCA">
              <w:rPr>
                <w:noProof/>
                <w:webHidden/>
              </w:rPr>
            </w:r>
            <w:r w:rsidR="00741DCA" w:rsidRPr="00741DCA">
              <w:rPr>
                <w:noProof/>
                <w:webHidden/>
              </w:rPr>
              <w:fldChar w:fldCharType="separate"/>
            </w:r>
            <w:r w:rsidR="00741DCA" w:rsidRPr="00741DCA">
              <w:rPr>
                <w:noProof/>
                <w:webHidden/>
              </w:rPr>
              <w:t>12</w:t>
            </w:r>
            <w:r w:rsidR="00741DCA" w:rsidRPr="00741DCA">
              <w:rPr>
                <w:noProof/>
                <w:webHidden/>
              </w:rPr>
              <w:fldChar w:fldCharType="end"/>
            </w:r>
          </w:hyperlink>
        </w:p>
        <w:p w14:paraId="4892F6C3" w14:textId="3A2BD884" w:rsidR="00741DCA" w:rsidRPr="00741DCA" w:rsidRDefault="002C03A0" w:rsidP="00741DCA">
          <w:pPr>
            <w:pStyle w:val="TOC2"/>
            <w:spacing w:before="60" w:after="60"/>
            <w:rPr>
              <w:rFonts w:asciiTheme="minorHAnsi" w:eastAsiaTheme="minorEastAsia" w:hAnsiTheme="minorHAnsi" w:cstheme="minorBidi"/>
              <w:noProof/>
              <w:szCs w:val="22"/>
              <w:lang w:val="en-US"/>
            </w:rPr>
          </w:pPr>
          <w:hyperlink w:anchor="_Toc129099348" w:history="1">
            <w:r w:rsidR="00741DCA" w:rsidRPr="00741DCA">
              <w:rPr>
                <w:rStyle w:val="Hyperlink"/>
                <w:noProof/>
              </w:rPr>
              <w:t>Устойчивость</w:t>
            </w:r>
            <w:r w:rsidR="00741DCA" w:rsidRPr="00741DCA">
              <w:rPr>
                <w:noProof/>
                <w:webHidden/>
              </w:rPr>
              <w:tab/>
            </w:r>
            <w:r w:rsidR="00741DCA" w:rsidRPr="00741DCA">
              <w:rPr>
                <w:noProof/>
                <w:webHidden/>
              </w:rPr>
              <w:fldChar w:fldCharType="begin"/>
            </w:r>
            <w:r w:rsidR="00741DCA" w:rsidRPr="00741DCA">
              <w:rPr>
                <w:noProof/>
                <w:webHidden/>
              </w:rPr>
              <w:instrText xml:space="preserve"> PAGEREF _Toc129099348 \h </w:instrText>
            </w:r>
            <w:r w:rsidR="00741DCA" w:rsidRPr="00741DCA">
              <w:rPr>
                <w:noProof/>
                <w:webHidden/>
              </w:rPr>
            </w:r>
            <w:r w:rsidR="00741DCA" w:rsidRPr="00741DCA">
              <w:rPr>
                <w:noProof/>
                <w:webHidden/>
              </w:rPr>
              <w:fldChar w:fldCharType="separate"/>
            </w:r>
            <w:r w:rsidR="00741DCA" w:rsidRPr="00741DCA">
              <w:rPr>
                <w:noProof/>
                <w:webHidden/>
              </w:rPr>
              <w:t>15</w:t>
            </w:r>
            <w:r w:rsidR="00741DCA" w:rsidRPr="00741DCA">
              <w:rPr>
                <w:noProof/>
                <w:webHidden/>
              </w:rPr>
              <w:fldChar w:fldCharType="end"/>
            </w:r>
          </w:hyperlink>
        </w:p>
        <w:p w14:paraId="49117AB8" w14:textId="154CD0E3" w:rsidR="00741DCA" w:rsidRPr="00741DCA" w:rsidRDefault="002C03A0" w:rsidP="00741DCA">
          <w:pPr>
            <w:pStyle w:val="TOC2"/>
            <w:spacing w:before="60" w:after="60"/>
            <w:rPr>
              <w:rFonts w:asciiTheme="minorHAnsi" w:eastAsiaTheme="minorEastAsia" w:hAnsiTheme="minorHAnsi" w:cstheme="minorBidi"/>
              <w:noProof/>
              <w:szCs w:val="22"/>
              <w:lang w:val="en-US"/>
            </w:rPr>
          </w:pPr>
          <w:hyperlink w:anchor="_Toc129099349" w:history="1">
            <w:r w:rsidR="00741DCA" w:rsidRPr="00741DCA">
              <w:rPr>
                <w:rStyle w:val="Hyperlink"/>
                <w:noProof/>
              </w:rPr>
              <w:t>Выполнение рекомендаций Повестки дня в области развития</w:t>
            </w:r>
            <w:r w:rsidR="00741DCA" w:rsidRPr="00741DCA">
              <w:rPr>
                <w:noProof/>
                <w:webHidden/>
              </w:rPr>
              <w:tab/>
            </w:r>
            <w:r w:rsidR="00741DCA" w:rsidRPr="00741DCA">
              <w:rPr>
                <w:noProof/>
                <w:webHidden/>
              </w:rPr>
              <w:fldChar w:fldCharType="begin"/>
            </w:r>
            <w:r w:rsidR="00741DCA" w:rsidRPr="00741DCA">
              <w:rPr>
                <w:noProof/>
                <w:webHidden/>
              </w:rPr>
              <w:instrText xml:space="preserve"> PAGEREF _Toc129099349 \h </w:instrText>
            </w:r>
            <w:r w:rsidR="00741DCA" w:rsidRPr="00741DCA">
              <w:rPr>
                <w:noProof/>
                <w:webHidden/>
              </w:rPr>
            </w:r>
            <w:r w:rsidR="00741DCA" w:rsidRPr="00741DCA">
              <w:rPr>
                <w:noProof/>
                <w:webHidden/>
              </w:rPr>
              <w:fldChar w:fldCharType="separate"/>
            </w:r>
            <w:r w:rsidR="00741DCA" w:rsidRPr="00741DCA">
              <w:rPr>
                <w:noProof/>
                <w:webHidden/>
              </w:rPr>
              <w:t>15</w:t>
            </w:r>
            <w:r w:rsidR="00741DCA" w:rsidRPr="00741DCA">
              <w:rPr>
                <w:noProof/>
                <w:webHidden/>
              </w:rPr>
              <w:fldChar w:fldCharType="end"/>
            </w:r>
          </w:hyperlink>
        </w:p>
        <w:p w14:paraId="3E9DC38E" w14:textId="06845772" w:rsidR="00741DCA" w:rsidRPr="00741DCA" w:rsidRDefault="002C03A0" w:rsidP="00741DCA">
          <w:pPr>
            <w:pStyle w:val="TOC2"/>
            <w:spacing w:before="60" w:after="60"/>
            <w:rPr>
              <w:rFonts w:asciiTheme="minorHAnsi" w:eastAsiaTheme="minorEastAsia" w:hAnsiTheme="minorHAnsi" w:cstheme="minorBidi"/>
              <w:noProof/>
              <w:szCs w:val="22"/>
              <w:lang w:val="en-US"/>
            </w:rPr>
          </w:pPr>
          <w:hyperlink w:anchor="_Toc129099350" w:history="1">
            <w:r w:rsidR="00741DCA" w:rsidRPr="00741DCA">
              <w:rPr>
                <w:rStyle w:val="Hyperlink"/>
                <w:noProof/>
              </w:rPr>
              <w:t>Привлечение внимания к ВОИС</w:t>
            </w:r>
            <w:r w:rsidR="00741DCA" w:rsidRPr="00741DCA">
              <w:rPr>
                <w:noProof/>
                <w:webHidden/>
              </w:rPr>
              <w:tab/>
            </w:r>
            <w:r w:rsidR="00741DCA" w:rsidRPr="00741DCA">
              <w:rPr>
                <w:noProof/>
                <w:webHidden/>
              </w:rPr>
              <w:fldChar w:fldCharType="begin"/>
            </w:r>
            <w:r w:rsidR="00741DCA" w:rsidRPr="00741DCA">
              <w:rPr>
                <w:noProof/>
                <w:webHidden/>
              </w:rPr>
              <w:instrText xml:space="preserve"> PAGEREF _Toc129099350 \h </w:instrText>
            </w:r>
            <w:r w:rsidR="00741DCA" w:rsidRPr="00741DCA">
              <w:rPr>
                <w:noProof/>
                <w:webHidden/>
              </w:rPr>
            </w:r>
            <w:r w:rsidR="00741DCA" w:rsidRPr="00741DCA">
              <w:rPr>
                <w:noProof/>
                <w:webHidden/>
              </w:rPr>
              <w:fldChar w:fldCharType="separate"/>
            </w:r>
            <w:r w:rsidR="00741DCA" w:rsidRPr="00741DCA">
              <w:rPr>
                <w:noProof/>
                <w:webHidden/>
              </w:rPr>
              <w:t>15</w:t>
            </w:r>
            <w:r w:rsidR="00741DCA" w:rsidRPr="00741DCA">
              <w:rPr>
                <w:noProof/>
                <w:webHidden/>
              </w:rPr>
              <w:fldChar w:fldCharType="end"/>
            </w:r>
          </w:hyperlink>
        </w:p>
        <w:p w14:paraId="4563E8D7" w14:textId="646FBD38" w:rsidR="00741DCA" w:rsidRPr="00741DCA" w:rsidRDefault="002C03A0" w:rsidP="00741DCA">
          <w:pPr>
            <w:pStyle w:val="TOC2"/>
            <w:spacing w:before="60" w:after="60"/>
            <w:rPr>
              <w:rFonts w:asciiTheme="minorHAnsi" w:eastAsiaTheme="minorEastAsia" w:hAnsiTheme="minorHAnsi" w:cstheme="minorBidi"/>
              <w:noProof/>
              <w:szCs w:val="22"/>
              <w:lang w:val="en-US"/>
            </w:rPr>
          </w:pPr>
          <w:hyperlink w:anchor="_Toc129099351" w:history="1">
            <w:r w:rsidR="00741DCA" w:rsidRPr="00741DCA">
              <w:rPr>
                <w:rStyle w:val="Hyperlink"/>
                <w:noProof/>
              </w:rPr>
              <w:t>Ценность вмешательства ВОИС</w:t>
            </w:r>
            <w:r w:rsidR="00741DCA" w:rsidRPr="00741DCA">
              <w:rPr>
                <w:noProof/>
                <w:webHidden/>
              </w:rPr>
              <w:tab/>
            </w:r>
            <w:r w:rsidR="00741DCA" w:rsidRPr="00741DCA">
              <w:rPr>
                <w:noProof/>
                <w:webHidden/>
              </w:rPr>
              <w:fldChar w:fldCharType="begin"/>
            </w:r>
            <w:r w:rsidR="00741DCA" w:rsidRPr="00741DCA">
              <w:rPr>
                <w:noProof/>
                <w:webHidden/>
              </w:rPr>
              <w:instrText xml:space="preserve"> PAGEREF _Toc129099351 \h </w:instrText>
            </w:r>
            <w:r w:rsidR="00741DCA" w:rsidRPr="00741DCA">
              <w:rPr>
                <w:noProof/>
                <w:webHidden/>
              </w:rPr>
            </w:r>
            <w:r w:rsidR="00741DCA" w:rsidRPr="00741DCA">
              <w:rPr>
                <w:noProof/>
                <w:webHidden/>
              </w:rPr>
              <w:fldChar w:fldCharType="separate"/>
            </w:r>
            <w:r w:rsidR="00741DCA" w:rsidRPr="00741DCA">
              <w:rPr>
                <w:noProof/>
                <w:webHidden/>
              </w:rPr>
              <w:t>16</w:t>
            </w:r>
            <w:r w:rsidR="00741DCA" w:rsidRPr="00741DCA">
              <w:rPr>
                <w:noProof/>
                <w:webHidden/>
              </w:rPr>
              <w:fldChar w:fldCharType="end"/>
            </w:r>
          </w:hyperlink>
        </w:p>
        <w:p w14:paraId="24E85A2C" w14:textId="11DDBF7C" w:rsidR="00741DCA" w:rsidRPr="00741DCA" w:rsidRDefault="002C03A0" w:rsidP="00741DCA">
          <w:pPr>
            <w:pStyle w:val="TOC1"/>
            <w:spacing w:before="60" w:after="60"/>
            <w:rPr>
              <w:rFonts w:asciiTheme="minorHAnsi" w:eastAsiaTheme="minorEastAsia" w:hAnsiTheme="minorHAnsi" w:cstheme="minorBidi"/>
              <w:b w:val="0"/>
              <w:noProof/>
              <w:szCs w:val="22"/>
              <w:lang w:val="en-US" w:eastAsia="en-US"/>
            </w:rPr>
          </w:pPr>
          <w:hyperlink w:anchor="_Toc129099352" w:history="1">
            <w:r w:rsidR="00741DCA" w:rsidRPr="00741DCA">
              <w:rPr>
                <w:rStyle w:val="Hyperlink"/>
                <w:b w:val="0"/>
                <w:noProof/>
              </w:rPr>
              <w:t>ОСНОВНЫЕ ЗАКЛЮЧЕНИЯ И ИЗВЛЕЧЕННЫЕ УРОКИ</w:t>
            </w:r>
            <w:r w:rsidR="00741DCA" w:rsidRPr="00741DCA">
              <w:rPr>
                <w:b w:val="0"/>
                <w:noProof/>
                <w:webHidden/>
              </w:rPr>
              <w:tab/>
            </w:r>
            <w:r w:rsidR="00741DCA" w:rsidRPr="00741DCA">
              <w:rPr>
                <w:b w:val="0"/>
                <w:noProof/>
                <w:webHidden/>
              </w:rPr>
              <w:fldChar w:fldCharType="begin"/>
            </w:r>
            <w:r w:rsidR="00741DCA" w:rsidRPr="00741DCA">
              <w:rPr>
                <w:b w:val="0"/>
                <w:noProof/>
                <w:webHidden/>
              </w:rPr>
              <w:instrText xml:space="preserve"> PAGEREF _Toc129099352 \h </w:instrText>
            </w:r>
            <w:r w:rsidR="00741DCA" w:rsidRPr="00741DCA">
              <w:rPr>
                <w:b w:val="0"/>
                <w:noProof/>
                <w:webHidden/>
              </w:rPr>
            </w:r>
            <w:r w:rsidR="00741DCA" w:rsidRPr="00741DCA">
              <w:rPr>
                <w:b w:val="0"/>
                <w:noProof/>
                <w:webHidden/>
              </w:rPr>
              <w:fldChar w:fldCharType="separate"/>
            </w:r>
            <w:r w:rsidR="00741DCA" w:rsidRPr="00741DCA">
              <w:rPr>
                <w:b w:val="0"/>
                <w:noProof/>
                <w:webHidden/>
              </w:rPr>
              <w:t>16</w:t>
            </w:r>
            <w:r w:rsidR="00741DCA" w:rsidRPr="00741DCA">
              <w:rPr>
                <w:b w:val="0"/>
                <w:noProof/>
                <w:webHidden/>
              </w:rPr>
              <w:fldChar w:fldCharType="end"/>
            </w:r>
          </w:hyperlink>
        </w:p>
        <w:p w14:paraId="00D80A34" w14:textId="053CD552" w:rsidR="00741DCA" w:rsidRPr="00741DCA" w:rsidRDefault="002C03A0" w:rsidP="00741DCA">
          <w:pPr>
            <w:pStyle w:val="TOC1"/>
            <w:spacing w:before="60" w:after="60"/>
            <w:rPr>
              <w:rFonts w:asciiTheme="minorHAnsi" w:eastAsiaTheme="minorEastAsia" w:hAnsiTheme="minorHAnsi" w:cstheme="minorBidi"/>
              <w:b w:val="0"/>
              <w:noProof/>
              <w:szCs w:val="22"/>
              <w:lang w:val="en-US" w:eastAsia="en-US"/>
            </w:rPr>
          </w:pPr>
          <w:hyperlink w:anchor="_Toc129099353" w:history="1">
            <w:r w:rsidR="00741DCA" w:rsidRPr="00741DCA">
              <w:rPr>
                <w:rStyle w:val="Hyperlink"/>
                <w:b w:val="0"/>
                <w:noProof/>
              </w:rPr>
              <w:t>РЕКОМЕНДАЦИИ</w:t>
            </w:r>
            <w:r w:rsidR="00741DCA" w:rsidRPr="00741DCA">
              <w:rPr>
                <w:b w:val="0"/>
                <w:noProof/>
                <w:webHidden/>
              </w:rPr>
              <w:tab/>
            </w:r>
            <w:r w:rsidR="00741DCA" w:rsidRPr="00741DCA">
              <w:rPr>
                <w:b w:val="0"/>
                <w:noProof/>
                <w:webHidden/>
              </w:rPr>
              <w:fldChar w:fldCharType="begin"/>
            </w:r>
            <w:r w:rsidR="00741DCA" w:rsidRPr="00741DCA">
              <w:rPr>
                <w:b w:val="0"/>
                <w:noProof/>
                <w:webHidden/>
              </w:rPr>
              <w:instrText xml:space="preserve"> PAGEREF _Toc129099353 \h </w:instrText>
            </w:r>
            <w:r w:rsidR="00741DCA" w:rsidRPr="00741DCA">
              <w:rPr>
                <w:b w:val="0"/>
                <w:noProof/>
                <w:webHidden/>
              </w:rPr>
            </w:r>
            <w:r w:rsidR="00741DCA" w:rsidRPr="00741DCA">
              <w:rPr>
                <w:b w:val="0"/>
                <w:noProof/>
                <w:webHidden/>
              </w:rPr>
              <w:fldChar w:fldCharType="separate"/>
            </w:r>
            <w:r w:rsidR="00741DCA" w:rsidRPr="00741DCA">
              <w:rPr>
                <w:b w:val="0"/>
                <w:noProof/>
                <w:webHidden/>
              </w:rPr>
              <w:t>17</w:t>
            </w:r>
            <w:r w:rsidR="00741DCA" w:rsidRPr="00741DCA">
              <w:rPr>
                <w:b w:val="0"/>
                <w:noProof/>
                <w:webHidden/>
              </w:rPr>
              <w:fldChar w:fldCharType="end"/>
            </w:r>
          </w:hyperlink>
        </w:p>
        <w:p w14:paraId="10390C19" w14:textId="33AB04B4" w:rsidR="002105F6" w:rsidRPr="002105F6" w:rsidRDefault="002105F6" w:rsidP="002105F6">
          <w:pPr>
            <w:rPr>
              <w:rFonts w:eastAsia="Times New Roman"/>
              <w:sz w:val="24"/>
            </w:rPr>
          </w:pPr>
          <w:r w:rsidRPr="002105F6">
            <w:rPr>
              <w:rFonts w:eastAsia="Times New Roman"/>
            </w:rPr>
            <w:fldChar w:fldCharType="end"/>
          </w:r>
        </w:p>
      </w:sdtContent>
    </w:sdt>
    <w:p w14:paraId="5059065E" w14:textId="77777777" w:rsidR="00FD5784" w:rsidRDefault="00FD5784" w:rsidP="00FD5784">
      <w:pPr>
        <w:pStyle w:val="TOC1"/>
        <w:rPr>
          <w:noProof/>
        </w:rPr>
      </w:pPr>
      <w:r>
        <w:t>Дополнения (прилагаются отдельно)</w:t>
      </w:r>
    </w:p>
    <w:p w14:paraId="02563452" w14:textId="77777777" w:rsidR="00FD5784" w:rsidRPr="00076C8C" w:rsidRDefault="00FD5784" w:rsidP="00427741">
      <w:pPr>
        <w:spacing w:before="120"/>
      </w:pPr>
      <w:r>
        <w:t>Дополнение I: матрица оценки</w:t>
      </w:r>
    </w:p>
    <w:p w14:paraId="4021DE0B" w14:textId="77777777" w:rsidR="00FD5784" w:rsidRDefault="00FD5784" w:rsidP="00427741">
      <w:pPr>
        <w:spacing w:before="120"/>
      </w:pPr>
      <w:r>
        <w:t>Дополнение II: перечень выбранных респондентов</w:t>
      </w:r>
    </w:p>
    <w:p w14:paraId="6E5024F0" w14:textId="77777777" w:rsidR="00FD5784" w:rsidRDefault="00FD5784" w:rsidP="00427741">
      <w:pPr>
        <w:spacing w:before="120"/>
      </w:pPr>
      <w:r>
        <w:t>Дополнение III: перечень рассмотренных документов</w:t>
      </w:r>
    </w:p>
    <w:p w14:paraId="68968420" w14:textId="77777777" w:rsidR="00076C8C" w:rsidRPr="00076C8C" w:rsidRDefault="00076C8C" w:rsidP="00076C8C"/>
    <w:p w14:paraId="234F9EDF" w14:textId="77777777" w:rsidR="00076C8C" w:rsidRPr="00076C8C" w:rsidRDefault="00076C8C" w:rsidP="00076C8C"/>
    <w:p w14:paraId="19C04D19" w14:textId="799E4888" w:rsidR="00076C8C" w:rsidRPr="00076C8C" w:rsidRDefault="00076C8C" w:rsidP="002105F6">
      <w:pPr>
        <w:rPr>
          <w:rFonts w:eastAsia="Times New Roman"/>
          <w:sz w:val="24"/>
          <w:szCs w:val="24"/>
          <w:lang w:eastAsia="en-US"/>
        </w:rPr>
      </w:pPr>
    </w:p>
    <w:p w14:paraId="48516FC2" w14:textId="77777777" w:rsidR="00076C8C" w:rsidRPr="00741DCA" w:rsidRDefault="00076C8C" w:rsidP="002105F6">
      <w:pPr>
        <w:rPr>
          <w:rFonts w:eastAsia="Times New Roman"/>
          <w:sz w:val="24"/>
          <w:szCs w:val="24"/>
          <w:lang w:eastAsia="en-US"/>
        </w:rPr>
        <w:sectPr w:rsidR="00076C8C" w:rsidRPr="00741DCA" w:rsidSect="00B63FC9">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079" w:left="1418" w:header="510" w:footer="1021" w:gutter="0"/>
          <w:pgNumType w:start="1"/>
          <w:cols w:space="720"/>
          <w:titlePg/>
          <w:docGrid w:linePitch="299"/>
        </w:sectPr>
      </w:pPr>
    </w:p>
    <w:p w14:paraId="68D82A09" w14:textId="77777777" w:rsidR="003A754E" w:rsidRDefault="002105F6" w:rsidP="003A754E">
      <w:pPr>
        <w:keepNext/>
        <w:keepLines/>
        <w:spacing w:before="240"/>
        <w:outlineLvl w:val="0"/>
        <w:rPr>
          <w:rFonts w:eastAsia="Times New Roman"/>
          <w:b/>
          <w:color w:val="00B0F0"/>
          <w:szCs w:val="22"/>
        </w:rPr>
      </w:pPr>
      <w:bookmarkStart w:id="14" w:name="_Toc98332703"/>
      <w:bookmarkStart w:id="15" w:name="_Toc129099337"/>
      <w:r>
        <w:rPr>
          <w:b/>
        </w:rPr>
        <w:lastRenderedPageBreak/>
        <w:t>Сокращения</w:t>
      </w:r>
      <w:bookmarkEnd w:id="14"/>
      <w:bookmarkEnd w:id="15"/>
    </w:p>
    <w:p w14:paraId="4AAED078" w14:textId="77FFD7F3" w:rsidR="002105F6" w:rsidRPr="003A754E" w:rsidRDefault="002105F6" w:rsidP="003A754E">
      <w:pPr>
        <w:keepNext/>
        <w:keepLines/>
        <w:spacing w:before="240"/>
        <w:outlineLvl w:val="0"/>
        <w:rPr>
          <w:rFonts w:eastAsia="Times New Roman"/>
          <w:b/>
          <w:color w:val="00B0F0"/>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Acronyms"/>
      </w:tblPr>
      <w:tblGrid>
        <w:gridCol w:w="2155"/>
        <w:gridCol w:w="7190"/>
      </w:tblGrid>
      <w:tr w:rsidR="00C1406B" w14:paraId="1B784CCA" w14:textId="77777777" w:rsidTr="00E36DE8">
        <w:trPr>
          <w:trHeight w:val="305"/>
          <w:tblHeader/>
        </w:trPr>
        <w:tc>
          <w:tcPr>
            <w:tcW w:w="2155" w:type="dxa"/>
          </w:tcPr>
          <w:p w14:paraId="5A795ADE" w14:textId="1A87F46C" w:rsidR="00C1406B" w:rsidRDefault="00C1406B" w:rsidP="00DC2A6A">
            <w:pPr>
              <w:contextualSpacing/>
              <w:rPr>
                <w:rFonts w:eastAsia="Times New Roman"/>
                <w:sz w:val="24"/>
                <w:szCs w:val="24"/>
              </w:rPr>
            </w:pPr>
            <w:r>
              <w:t>КРИС</w:t>
            </w:r>
          </w:p>
        </w:tc>
        <w:tc>
          <w:tcPr>
            <w:tcW w:w="7190" w:type="dxa"/>
          </w:tcPr>
          <w:p w14:paraId="7C9FD9ED" w14:textId="7CBC22C8" w:rsidR="00C1406B" w:rsidRPr="00C1406B" w:rsidRDefault="00C1406B" w:rsidP="00DC2A6A">
            <w:pPr>
              <w:spacing w:line="360" w:lineRule="auto"/>
              <w:contextualSpacing/>
              <w:rPr>
                <w:rFonts w:eastAsia="Times New Roman"/>
              </w:rPr>
            </w:pPr>
            <w:r>
              <w:t>Комитет по развитию и интеллектуальной собственности</w:t>
            </w:r>
          </w:p>
        </w:tc>
      </w:tr>
      <w:tr w:rsidR="00C1406B" w14:paraId="74F9D064" w14:textId="77777777" w:rsidTr="003A43F8">
        <w:tc>
          <w:tcPr>
            <w:tcW w:w="2155" w:type="dxa"/>
          </w:tcPr>
          <w:p w14:paraId="7126A63D" w14:textId="6BE64497" w:rsidR="00C1406B" w:rsidRDefault="00C1406B" w:rsidP="002105F6">
            <w:pPr>
              <w:rPr>
                <w:rFonts w:eastAsia="Times New Roman"/>
                <w:sz w:val="24"/>
                <w:szCs w:val="24"/>
              </w:rPr>
            </w:pPr>
            <w:r>
              <w:t>ПДР</w:t>
            </w:r>
          </w:p>
        </w:tc>
        <w:tc>
          <w:tcPr>
            <w:tcW w:w="7190" w:type="dxa"/>
          </w:tcPr>
          <w:p w14:paraId="72C46F96" w14:textId="1A7C29FB" w:rsidR="00C1406B" w:rsidRDefault="00C1406B" w:rsidP="00DC2A6A">
            <w:pPr>
              <w:spacing w:line="360" w:lineRule="auto"/>
              <w:rPr>
                <w:rFonts w:eastAsia="Times New Roman"/>
                <w:sz w:val="24"/>
                <w:szCs w:val="24"/>
              </w:rPr>
            </w:pPr>
            <w:r>
              <w:t>Повестка дня в области развития</w:t>
            </w:r>
          </w:p>
        </w:tc>
      </w:tr>
      <w:tr w:rsidR="00C1406B" w14:paraId="0E7BE124" w14:textId="77777777" w:rsidTr="003A43F8">
        <w:tc>
          <w:tcPr>
            <w:tcW w:w="2155" w:type="dxa"/>
          </w:tcPr>
          <w:p w14:paraId="2EBC72C2" w14:textId="75AB6154" w:rsidR="00C1406B" w:rsidRDefault="00C1406B" w:rsidP="002105F6">
            <w:pPr>
              <w:rPr>
                <w:rFonts w:eastAsia="Times New Roman"/>
                <w:sz w:val="24"/>
                <w:szCs w:val="24"/>
              </w:rPr>
            </w:pPr>
            <w:r>
              <w:t>КСР</w:t>
            </w:r>
          </w:p>
        </w:tc>
        <w:tc>
          <w:tcPr>
            <w:tcW w:w="7190" w:type="dxa"/>
          </w:tcPr>
          <w:p w14:paraId="0E8B3BA5" w14:textId="355A678A" w:rsidR="00C1406B" w:rsidRPr="00C1406B" w:rsidRDefault="00C1406B" w:rsidP="00DC2A6A">
            <w:pPr>
              <w:spacing w:line="360" w:lineRule="auto"/>
              <w:contextualSpacing/>
              <w:rPr>
                <w:rFonts w:eastAsia="Times New Roman"/>
              </w:rPr>
            </w:pPr>
            <w:r>
              <w:t xml:space="preserve">Комитет содействия развитию </w:t>
            </w:r>
          </w:p>
        </w:tc>
      </w:tr>
      <w:tr w:rsidR="00C1406B" w14:paraId="62C4DE76" w14:textId="77777777" w:rsidTr="003A43F8">
        <w:trPr>
          <w:trHeight w:val="251"/>
        </w:trPr>
        <w:tc>
          <w:tcPr>
            <w:tcW w:w="2155" w:type="dxa"/>
          </w:tcPr>
          <w:p w14:paraId="4178DE65" w14:textId="170DD203" w:rsidR="00C1406B" w:rsidRDefault="00C1406B" w:rsidP="002105F6">
            <w:pPr>
              <w:rPr>
                <w:rFonts w:eastAsia="Times New Roman"/>
                <w:sz w:val="24"/>
                <w:szCs w:val="24"/>
              </w:rPr>
            </w:pPr>
            <w:r>
              <w:t>ОКПДР</w:t>
            </w:r>
          </w:p>
        </w:tc>
        <w:tc>
          <w:tcPr>
            <w:tcW w:w="7190" w:type="dxa"/>
          </w:tcPr>
          <w:p w14:paraId="54F8AAFF" w14:textId="0BD05C65" w:rsidR="00C1406B" w:rsidRPr="00C1406B" w:rsidRDefault="00C1406B" w:rsidP="00C1406B">
            <w:pPr>
              <w:spacing w:line="360" w:lineRule="auto"/>
              <w:rPr>
                <w:rFonts w:eastAsia="Times New Roman"/>
              </w:rPr>
            </w:pPr>
            <w:r>
              <w:t>Отдел координации деятельности в рамках Повестки дня в области развития</w:t>
            </w:r>
          </w:p>
        </w:tc>
      </w:tr>
      <w:tr w:rsidR="00C1406B" w14:paraId="3F4F5650" w14:textId="77777777" w:rsidTr="003A43F8">
        <w:tc>
          <w:tcPr>
            <w:tcW w:w="2155" w:type="dxa"/>
          </w:tcPr>
          <w:p w14:paraId="61D52B1C" w14:textId="0B16ECD6" w:rsidR="00C1406B" w:rsidRDefault="00C1406B" w:rsidP="002105F6">
            <w:pPr>
              <w:rPr>
                <w:rFonts w:eastAsia="Times New Roman"/>
                <w:sz w:val="24"/>
                <w:szCs w:val="24"/>
              </w:rPr>
            </w:pPr>
            <w:r>
              <w:t>INDECOPI</w:t>
            </w:r>
          </w:p>
        </w:tc>
        <w:tc>
          <w:tcPr>
            <w:tcW w:w="7190" w:type="dxa"/>
          </w:tcPr>
          <w:p w14:paraId="49E3B2CE" w14:textId="7A31C84C" w:rsidR="00DC2A6A" w:rsidRPr="00DC2A6A" w:rsidRDefault="00C1406B" w:rsidP="003A43F8">
            <w:pPr>
              <w:spacing w:after="120"/>
              <w:rPr>
                <w:rFonts w:eastAsia="Times New Roman"/>
              </w:rPr>
            </w:pPr>
            <w:r>
              <w:t>Национальный институт защиты конкуренции и охраны интеллектуальной собственности Перу</w:t>
            </w:r>
          </w:p>
        </w:tc>
      </w:tr>
      <w:tr w:rsidR="00C1406B" w14:paraId="68389F85" w14:textId="77777777" w:rsidTr="003A43F8">
        <w:tc>
          <w:tcPr>
            <w:tcW w:w="2155" w:type="dxa"/>
          </w:tcPr>
          <w:p w14:paraId="61AF0DDB" w14:textId="4CB422AF" w:rsidR="00C1406B" w:rsidRDefault="00C1406B" w:rsidP="002105F6">
            <w:pPr>
              <w:rPr>
                <w:rFonts w:eastAsia="Times New Roman"/>
                <w:sz w:val="24"/>
                <w:szCs w:val="24"/>
              </w:rPr>
            </w:pPr>
            <w:r>
              <w:t>ИС</w:t>
            </w:r>
          </w:p>
        </w:tc>
        <w:tc>
          <w:tcPr>
            <w:tcW w:w="7190" w:type="dxa"/>
          </w:tcPr>
          <w:p w14:paraId="13B37FC0" w14:textId="2BE01849" w:rsidR="00C1406B" w:rsidRDefault="00C1406B" w:rsidP="00DC2A6A">
            <w:pPr>
              <w:spacing w:line="360" w:lineRule="auto"/>
              <w:rPr>
                <w:rFonts w:eastAsia="Times New Roman"/>
                <w:sz w:val="24"/>
                <w:szCs w:val="24"/>
              </w:rPr>
            </w:pPr>
            <w:r>
              <w:t>Интеллектуальная собственность</w:t>
            </w:r>
          </w:p>
        </w:tc>
      </w:tr>
      <w:tr w:rsidR="00C1406B" w14:paraId="264161A8" w14:textId="77777777" w:rsidTr="003A43F8">
        <w:tc>
          <w:tcPr>
            <w:tcW w:w="2155" w:type="dxa"/>
          </w:tcPr>
          <w:p w14:paraId="5F4CA90D" w14:textId="224ED132" w:rsidR="00C1406B" w:rsidRDefault="00C1406B" w:rsidP="002105F6">
            <w:pPr>
              <w:rPr>
                <w:rFonts w:eastAsia="Times New Roman"/>
                <w:sz w:val="24"/>
                <w:szCs w:val="24"/>
              </w:rPr>
            </w:pPr>
            <w:r>
              <w:rPr>
                <w:sz w:val="24"/>
              </w:rPr>
              <w:t>КРС</w:t>
            </w:r>
          </w:p>
        </w:tc>
        <w:tc>
          <w:tcPr>
            <w:tcW w:w="7190" w:type="dxa"/>
          </w:tcPr>
          <w:p w14:paraId="1AFE3B9B" w14:textId="3AA3FAB5" w:rsidR="00C1406B" w:rsidRDefault="00C1406B" w:rsidP="00DC2A6A">
            <w:pPr>
              <w:spacing w:line="360" w:lineRule="auto"/>
              <w:rPr>
                <w:rFonts w:eastAsia="Times New Roman"/>
                <w:sz w:val="24"/>
                <w:szCs w:val="24"/>
              </w:rPr>
            </w:pPr>
            <w:r>
              <w:t>Ключевые респонденты для собеседований</w:t>
            </w:r>
          </w:p>
        </w:tc>
      </w:tr>
      <w:tr w:rsidR="00C1406B" w14:paraId="244A31EB" w14:textId="77777777" w:rsidTr="003A43F8">
        <w:tc>
          <w:tcPr>
            <w:tcW w:w="2155" w:type="dxa"/>
          </w:tcPr>
          <w:p w14:paraId="2C7C9CC8" w14:textId="08A30235" w:rsidR="00C1406B" w:rsidRDefault="00C1406B" w:rsidP="002105F6">
            <w:pPr>
              <w:rPr>
                <w:rFonts w:eastAsia="Times New Roman"/>
                <w:sz w:val="24"/>
                <w:szCs w:val="24"/>
              </w:rPr>
            </w:pPr>
            <w:r>
              <w:t>ОЭСР</w:t>
            </w:r>
          </w:p>
        </w:tc>
        <w:tc>
          <w:tcPr>
            <w:tcW w:w="7190" w:type="dxa"/>
          </w:tcPr>
          <w:p w14:paraId="43977401" w14:textId="2B0C88F2" w:rsidR="00C1406B" w:rsidRDefault="00C1406B" w:rsidP="00DC2A6A">
            <w:pPr>
              <w:spacing w:line="360" w:lineRule="auto"/>
              <w:rPr>
                <w:rFonts w:eastAsia="Times New Roman"/>
                <w:sz w:val="24"/>
                <w:szCs w:val="24"/>
              </w:rPr>
            </w:pPr>
            <w:r>
              <w:t>Организация экономического сотрудничества и развития</w:t>
            </w:r>
          </w:p>
        </w:tc>
      </w:tr>
      <w:tr w:rsidR="00C1406B" w14:paraId="1A51E5BA" w14:textId="77777777" w:rsidTr="003A43F8">
        <w:tc>
          <w:tcPr>
            <w:tcW w:w="2155" w:type="dxa"/>
          </w:tcPr>
          <w:p w14:paraId="4D69B8E5" w14:textId="4B8CCD0A" w:rsidR="00C1406B" w:rsidRDefault="00C1406B" w:rsidP="002105F6">
            <w:pPr>
              <w:rPr>
                <w:rFonts w:eastAsia="Times New Roman"/>
                <w:sz w:val="24"/>
                <w:szCs w:val="24"/>
              </w:rPr>
            </w:pPr>
            <w:r>
              <w:t>ТВК</w:t>
            </w:r>
          </w:p>
        </w:tc>
        <w:tc>
          <w:tcPr>
            <w:tcW w:w="7190" w:type="dxa"/>
          </w:tcPr>
          <w:p w14:paraId="6BE70FB1" w14:textId="2BD777F3" w:rsidR="00C1406B" w:rsidRDefault="00C1406B" w:rsidP="00DC2A6A">
            <w:pPr>
              <w:spacing w:line="360" w:lineRule="auto"/>
              <w:rPr>
                <w:rFonts w:eastAsia="Times New Roman"/>
                <w:sz w:val="24"/>
                <w:szCs w:val="24"/>
              </w:rPr>
            </w:pPr>
            <w:r>
              <w:t>Традиционные выражения культуры</w:t>
            </w:r>
          </w:p>
        </w:tc>
      </w:tr>
      <w:tr w:rsidR="003A754E" w14:paraId="6D523628" w14:textId="77777777" w:rsidTr="003A43F8">
        <w:tc>
          <w:tcPr>
            <w:tcW w:w="2155" w:type="dxa"/>
          </w:tcPr>
          <w:p w14:paraId="36FB3661" w14:textId="25F1A844" w:rsidR="003A754E" w:rsidRPr="00C1406B" w:rsidRDefault="003A754E" w:rsidP="002105F6">
            <w:pPr>
              <w:rPr>
                <w:rFonts w:eastAsia="Times New Roman"/>
              </w:rPr>
            </w:pPr>
            <w:r>
              <w:t>ТЗ</w:t>
            </w:r>
          </w:p>
        </w:tc>
        <w:tc>
          <w:tcPr>
            <w:tcW w:w="7190" w:type="dxa"/>
          </w:tcPr>
          <w:p w14:paraId="5E61E9C6" w14:textId="1185401C" w:rsidR="003A754E" w:rsidRPr="00C1406B" w:rsidRDefault="003A754E" w:rsidP="00DC2A6A">
            <w:pPr>
              <w:spacing w:line="360" w:lineRule="auto"/>
              <w:rPr>
                <w:rFonts w:eastAsia="Times New Roman"/>
              </w:rPr>
            </w:pPr>
            <w:r>
              <w:t>Традиционные знания</w:t>
            </w:r>
          </w:p>
        </w:tc>
      </w:tr>
      <w:tr w:rsidR="00C1406B" w14:paraId="1D9A977C" w14:textId="77777777" w:rsidTr="003A43F8">
        <w:tc>
          <w:tcPr>
            <w:tcW w:w="2155" w:type="dxa"/>
          </w:tcPr>
          <w:p w14:paraId="52E6BDC0" w14:textId="1DC9EB87" w:rsidR="00C1406B" w:rsidRDefault="00C1406B" w:rsidP="002105F6">
            <w:pPr>
              <w:rPr>
                <w:rFonts w:eastAsia="Times New Roman"/>
                <w:sz w:val="24"/>
                <w:szCs w:val="24"/>
              </w:rPr>
            </w:pPr>
            <w:r>
              <w:t>ПЗ</w:t>
            </w:r>
          </w:p>
        </w:tc>
        <w:tc>
          <w:tcPr>
            <w:tcW w:w="7190" w:type="dxa"/>
          </w:tcPr>
          <w:p w14:paraId="790A5CE4" w14:textId="3C9C257C" w:rsidR="00C1406B" w:rsidRDefault="00C1406B" w:rsidP="00DC2A6A">
            <w:pPr>
              <w:spacing w:line="360" w:lineRule="auto"/>
              <w:rPr>
                <w:rFonts w:eastAsia="Times New Roman"/>
                <w:sz w:val="24"/>
                <w:szCs w:val="24"/>
              </w:rPr>
            </w:pPr>
            <w:r>
              <w:t>Проектное задание</w:t>
            </w:r>
          </w:p>
        </w:tc>
      </w:tr>
      <w:tr w:rsidR="00C1406B" w14:paraId="0DD8B9DE" w14:textId="77777777" w:rsidTr="003A43F8">
        <w:tc>
          <w:tcPr>
            <w:tcW w:w="2155" w:type="dxa"/>
          </w:tcPr>
          <w:p w14:paraId="4EB21EE0" w14:textId="253CEB84" w:rsidR="00C1406B" w:rsidRDefault="00C1406B" w:rsidP="002105F6">
            <w:pPr>
              <w:rPr>
                <w:rFonts w:eastAsia="Times New Roman"/>
                <w:sz w:val="24"/>
                <w:szCs w:val="24"/>
              </w:rPr>
            </w:pPr>
            <w:r>
              <w:t>ООН</w:t>
            </w:r>
          </w:p>
        </w:tc>
        <w:tc>
          <w:tcPr>
            <w:tcW w:w="7190" w:type="dxa"/>
          </w:tcPr>
          <w:p w14:paraId="2257655F" w14:textId="48F4013B" w:rsidR="00C1406B" w:rsidRDefault="00C1406B" w:rsidP="00DC2A6A">
            <w:pPr>
              <w:spacing w:line="360" w:lineRule="auto"/>
              <w:rPr>
                <w:rFonts w:eastAsia="Times New Roman"/>
                <w:sz w:val="24"/>
                <w:szCs w:val="24"/>
              </w:rPr>
            </w:pPr>
            <w:r>
              <w:t>Организация Объединенных Наций</w:t>
            </w:r>
          </w:p>
        </w:tc>
      </w:tr>
      <w:tr w:rsidR="00C1406B" w14:paraId="2CAD0BDD" w14:textId="77777777" w:rsidTr="003A43F8">
        <w:tc>
          <w:tcPr>
            <w:tcW w:w="2155" w:type="dxa"/>
          </w:tcPr>
          <w:p w14:paraId="4E5F30A5" w14:textId="3A4BE7B1" w:rsidR="00C1406B" w:rsidRDefault="00C1406B" w:rsidP="002105F6">
            <w:pPr>
              <w:rPr>
                <w:rFonts w:eastAsia="Times New Roman"/>
                <w:sz w:val="24"/>
                <w:szCs w:val="24"/>
              </w:rPr>
            </w:pPr>
            <w:r>
              <w:t>ВОИС</w:t>
            </w:r>
          </w:p>
        </w:tc>
        <w:tc>
          <w:tcPr>
            <w:tcW w:w="7190" w:type="dxa"/>
          </w:tcPr>
          <w:p w14:paraId="34DA1038" w14:textId="5C4772E8" w:rsidR="00C1406B" w:rsidRPr="00C1406B" w:rsidRDefault="00C1406B" w:rsidP="00DC2A6A">
            <w:pPr>
              <w:spacing w:line="360" w:lineRule="auto"/>
              <w:rPr>
                <w:rFonts w:eastAsia="Times New Roman"/>
              </w:rPr>
            </w:pPr>
            <w:r>
              <w:t xml:space="preserve">Всемирная организация интеллектуальной собственности </w:t>
            </w:r>
          </w:p>
        </w:tc>
      </w:tr>
      <w:tr w:rsidR="00C1406B" w14:paraId="6722843B" w14:textId="77777777" w:rsidTr="003A43F8">
        <w:tc>
          <w:tcPr>
            <w:tcW w:w="2155" w:type="dxa"/>
          </w:tcPr>
          <w:p w14:paraId="05ACD6C2" w14:textId="664C23C9" w:rsidR="00C1406B" w:rsidRDefault="00DC2A6A" w:rsidP="002105F6">
            <w:pPr>
              <w:rPr>
                <w:rFonts w:eastAsia="Times New Roman"/>
                <w:sz w:val="24"/>
                <w:szCs w:val="24"/>
              </w:rPr>
            </w:pPr>
            <w:r>
              <w:t>ЮНВТО</w:t>
            </w:r>
          </w:p>
        </w:tc>
        <w:tc>
          <w:tcPr>
            <w:tcW w:w="7190" w:type="dxa"/>
          </w:tcPr>
          <w:p w14:paraId="52B7902A" w14:textId="78631639" w:rsidR="00C1406B" w:rsidRPr="00DC2A6A" w:rsidRDefault="00C1406B" w:rsidP="00741DCA">
            <w:pPr>
              <w:spacing w:line="360" w:lineRule="auto"/>
              <w:rPr>
                <w:rFonts w:eastAsia="Times New Roman"/>
                <w:sz w:val="20"/>
              </w:rPr>
            </w:pPr>
            <w:r>
              <w:t>Всемирная туристская организация</w:t>
            </w:r>
          </w:p>
        </w:tc>
      </w:tr>
    </w:tbl>
    <w:p w14:paraId="2F8073E5" w14:textId="77777777" w:rsidR="002105F6" w:rsidRPr="002105F6" w:rsidRDefault="002105F6" w:rsidP="002105F6">
      <w:pPr>
        <w:rPr>
          <w:rFonts w:eastAsia="Times New Roman"/>
          <w:sz w:val="24"/>
          <w:szCs w:val="24"/>
        </w:rPr>
      </w:pPr>
      <w:r>
        <w:br w:type="page"/>
      </w:r>
    </w:p>
    <w:p w14:paraId="6DEAEC09" w14:textId="77777777" w:rsidR="002105F6" w:rsidRPr="003A754E" w:rsidRDefault="002105F6" w:rsidP="00E0179D">
      <w:pPr>
        <w:keepNext/>
        <w:keepLines/>
        <w:spacing w:before="240" w:after="240"/>
        <w:outlineLvl w:val="0"/>
        <w:rPr>
          <w:rFonts w:eastAsia="Times New Roman"/>
          <w:b/>
          <w:szCs w:val="22"/>
        </w:rPr>
      </w:pPr>
      <w:bookmarkStart w:id="16" w:name="_Toc129099339"/>
      <w:r>
        <w:rPr>
          <w:b/>
        </w:rPr>
        <w:lastRenderedPageBreak/>
        <w:t>ВВЕДЕНИЕ</w:t>
      </w:r>
      <w:bookmarkEnd w:id="16"/>
    </w:p>
    <w:p w14:paraId="5DF3660D" w14:textId="77777777" w:rsidR="002105F6" w:rsidRPr="003A754E" w:rsidRDefault="002105F6" w:rsidP="00E0179D">
      <w:pPr>
        <w:keepNext/>
        <w:keepLines/>
        <w:spacing w:before="40" w:after="240"/>
        <w:outlineLvl w:val="1"/>
        <w:rPr>
          <w:rFonts w:eastAsia="Times New Roman"/>
          <w:b/>
          <w:szCs w:val="22"/>
        </w:rPr>
      </w:pPr>
      <w:bookmarkStart w:id="17" w:name="_Toc129099340"/>
      <w:r>
        <w:rPr>
          <w:b/>
        </w:rPr>
        <w:t>История вопроса и контекст</w:t>
      </w:r>
      <w:bookmarkEnd w:id="17"/>
    </w:p>
    <w:p w14:paraId="3A64A20A" w14:textId="262B0273" w:rsidR="003A754E" w:rsidRDefault="003A754E" w:rsidP="00E0179D">
      <w:pPr>
        <w:pStyle w:val="BodyText"/>
        <w:numPr>
          <w:ilvl w:val="0"/>
          <w:numId w:val="13"/>
        </w:numPr>
        <w:spacing w:after="240"/>
      </w:pPr>
      <w:r>
        <w:t>Благодаря Повестке дня в области развития (ПДР) Всемирной организации интеллектуальной собственности (ВОИС) соображения развития являются неотъемлемой частью работы ВОИС.  Результативная реализация ПДР, в том числе интеграция ее рекомендаций в основные программы ВОИС, является важнейшим приоритетом.  Проекты ПДР ВОИС отличаются от остальных проектов ВОИС.  Проекты ПДР, как правило, направлены на реализацию одной или нескольких рекомендаций ПДР</w:t>
      </w:r>
      <w:r w:rsidR="006B219D">
        <w:rPr>
          <w:rStyle w:val="FootnoteReference"/>
        </w:rPr>
        <w:footnoteReference w:id="2"/>
      </w:r>
      <w:r>
        <w:t>.  Проекты ПДР должны быть ориентированы на развитие, т.е. обеспечивать устойчивые результаты и оказывать влияние на различные области интеллектуальной собственности (ИС).  Проекты ПДР разрабатываются таким образом, чтобы их можно было реализовать в разных частях света.  Отдел координации деятельности в рамках Повестки дня в области развития (ОКПДР) дает государствам-членам рекомендации в ходе разработки проектов.  Сотрудниками ОКПДР была подготовлена инфографика, представленная на Рисунке 1, где перечислены все этапы, необходимые для утверждения проектного предложения.</w:t>
      </w:r>
    </w:p>
    <w:tbl>
      <w:tblPr>
        <w:tblStyle w:val="TableGrid"/>
        <w:tblW w:w="0" w:type="auto"/>
        <w:tblInd w:w="360" w:type="dxa"/>
        <w:tblLook w:val="04A0" w:firstRow="1" w:lastRow="0" w:firstColumn="1" w:lastColumn="0" w:noHBand="0" w:noVBand="1"/>
        <w:tblCaption w:val="Figure 1 – DA Project Life Cycle Flow Chart (only available in English)"/>
        <w:tblDescription w:val="Figure 1 – DA Project Life Cycle Flow Chart (only available in English)"/>
      </w:tblPr>
      <w:tblGrid>
        <w:gridCol w:w="4656"/>
        <w:gridCol w:w="4329"/>
      </w:tblGrid>
      <w:tr w:rsidR="003A754E" w14:paraId="034519C5" w14:textId="77777777" w:rsidTr="00E36DE8">
        <w:trPr>
          <w:tblHeader/>
        </w:trPr>
        <w:tc>
          <w:tcPr>
            <w:tcW w:w="8985" w:type="dxa"/>
            <w:gridSpan w:val="2"/>
            <w:tcBorders>
              <w:top w:val="nil"/>
              <w:left w:val="nil"/>
              <w:bottom w:val="nil"/>
              <w:right w:val="nil"/>
            </w:tcBorders>
          </w:tcPr>
          <w:p w14:paraId="3DE48813" w14:textId="01134601" w:rsidR="003A754E" w:rsidRPr="00BB2840" w:rsidRDefault="00EB1036" w:rsidP="003A754E">
            <w:pPr>
              <w:pStyle w:val="BodyText"/>
              <w:spacing w:after="40"/>
              <w:ind w:right="-7"/>
              <w:rPr>
                <w:b/>
                <w:i/>
                <w:sz w:val="18"/>
                <w:szCs w:val="18"/>
              </w:rPr>
            </w:pPr>
            <w:r>
              <w:rPr>
                <w:b/>
                <w:i/>
                <w:sz w:val="18"/>
              </w:rPr>
              <w:t>Рисунок 1. Блок-схема жизненного цикла проекта ПДР (только на английском языке)</w:t>
            </w:r>
          </w:p>
        </w:tc>
      </w:tr>
      <w:tr w:rsidR="003A754E" w14:paraId="2B2535AC" w14:textId="77777777" w:rsidTr="003A754E">
        <w:tc>
          <w:tcPr>
            <w:tcW w:w="4656" w:type="dxa"/>
            <w:tcBorders>
              <w:top w:val="nil"/>
              <w:left w:val="nil"/>
              <w:bottom w:val="nil"/>
              <w:right w:val="nil"/>
            </w:tcBorders>
          </w:tcPr>
          <w:p w14:paraId="0CFA5E61" w14:textId="7B439A6E" w:rsidR="003A754E" w:rsidRDefault="003A754E" w:rsidP="003A754E">
            <w:pPr>
              <w:pStyle w:val="BodyText"/>
              <w:spacing w:after="40"/>
              <w:ind w:right="-7"/>
            </w:pPr>
            <w:r>
              <w:rPr>
                <w:noProof/>
                <w:lang w:val="en-US" w:eastAsia="en-US"/>
              </w:rPr>
              <w:drawing>
                <wp:anchor distT="0" distB="0" distL="114300" distR="114300" simplePos="0" relativeHeight="251665408" behindDoc="0" locked="0" layoutInCell="1" allowOverlap="1" wp14:anchorId="6B886565" wp14:editId="3C8EF5E0">
                  <wp:simplePos x="0" y="0"/>
                  <wp:positionH relativeFrom="margin">
                    <wp:posOffset>-1270</wp:posOffset>
                  </wp:positionH>
                  <wp:positionV relativeFrom="margin">
                    <wp:posOffset>106680</wp:posOffset>
                  </wp:positionV>
                  <wp:extent cx="2694305" cy="2645410"/>
                  <wp:effectExtent l="0" t="0" r="0" b="2540"/>
                  <wp:wrapSquare wrapText="bothSides"/>
                  <wp:docPr id="3" name="Picture 3" descr="Рисунок 1. Блок-схема жизненного цикла проекта ПДР" title="Рисунок 1. Блок-схема жизненного цикла проекта ПДР (только на английском язык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screenshot of a computer&#10;&#10;Description automatically generated with low confidenc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694305" cy="2645410"/>
                          </a:xfrm>
                          <a:prstGeom prst="rect">
                            <a:avLst/>
                          </a:prstGeom>
                        </pic:spPr>
                      </pic:pic>
                    </a:graphicData>
                  </a:graphic>
                  <wp14:sizeRelH relativeFrom="margin">
                    <wp14:pctWidth>0</wp14:pctWidth>
                  </wp14:sizeRelH>
                  <wp14:sizeRelV relativeFrom="margin">
                    <wp14:pctHeight>0</wp14:pctHeight>
                  </wp14:sizeRelV>
                </wp:anchor>
              </w:drawing>
            </w:r>
          </w:p>
        </w:tc>
        <w:tc>
          <w:tcPr>
            <w:tcW w:w="4329" w:type="dxa"/>
            <w:tcBorders>
              <w:top w:val="nil"/>
              <w:left w:val="nil"/>
              <w:bottom w:val="nil"/>
              <w:right w:val="nil"/>
            </w:tcBorders>
          </w:tcPr>
          <w:p w14:paraId="7AA66542" w14:textId="77777777" w:rsidR="003A754E" w:rsidRDefault="003A754E" w:rsidP="003A754E">
            <w:pPr>
              <w:pStyle w:val="BodyText"/>
              <w:spacing w:after="40"/>
              <w:ind w:left="-284" w:right="-7"/>
            </w:pPr>
          </w:p>
          <w:p w14:paraId="5C879F71" w14:textId="2A9AEBA1" w:rsidR="003A754E" w:rsidRDefault="003A754E" w:rsidP="005E3EB6">
            <w:pPr>
              <w:pStyle w:val="BodyText"/>
              <w:numPr>
                <w:ilvl w:val="0"/>
                <w:numId w:val="31"/>
              </w:numPr>
              <w:spacing w:after="40"/>
              <w:ind w:left="252" w:hanging="283"/>
            </w:pPr>
            <w:r>
              <w:t>Государство-член (государства-члены) разрабатывают концепцию проекта ПДР;</w:t>
            </w:r>
          </w:p>
          <w:p w14:paraId="59FCA5AA" w14:textId="7EAE43E1" w:rsidR="003A754E" w:rsidRDefault="003A754E" w:rsidP="005E3EB6">
            <w:pPr>
              <w:pStyle w:val="BodyText"/>
              <w:numPr>
                <w:ilvl w:val="0"/>
                <w:numId w:val="31"/>
              </w:numPr>
              <w:spacing w:after="40"/>
              <w:ind w:left="252" w:hanging="283"/>
            </w:pPr>
            <w:r>
              <w:t>ОКПДР рассматривает концепцию проекта для оценки его реализуемости и обсуждает ее с автором (авторами) из числа государств-членов;</w:t>
            </w:r>
          </w:p>
          <w:p w14:paraId="4C6C4F03" w14:textId="2BAF1E7C" w:rsidR="003A754E" w:rsidRDefault="003A754E" w:rsidP="005E3EB6">
            <w:pPr>
              <w:pStyle w:val="BodyText"/>
              <w:numPr>
                <w:ilvl w:val="0"/>
                <w:numId w:val="31"/>
              </w:numPr>
              <w:spacing w:after="40"/>
              <w:ind w:left="252" w:hanging="283"/>
            </w:pPr>
            <w:r>
              <w:t>ОКПДР проводит консультации с другими подразделениями ВОИС и оказывает государству-члену (государствам-членам) помощь в последующем составлении предложения;</w:t>
            </w:r>
          </w:p>
          <w:p w14:paraId="72200146" w14:textId="77E9B8A3" w:rsidR="003A754E" w:rsidRDefault="003A754E" w:rsidP="005E3EB6">
            <w:pPr>
              <w:pStyle w:val="BodyText"/>
              <w:numPr>
                <w:ilvl w:val="0"/>
                <w:numId w:val="31"/>
              </w:numPr>
              <w:spacing w:after="40"/>
              <w:ind w:left="252" w:hanging="283"/>
            </w:pPr>
            <w:r>
              <w:t>Предлагаемый проект ПДР рассматривается на КРИС, участники заседания делятся комментариями и предложениями;</w:t>
            </w:r>
          </w:p>
          <w:p w14:paraId="678DDFB1" w14:textId="268AB366" w:rsidR="00E802B0" w:rsidRDefault="003A754E" w:rsidP="005E3EB6">
            <w:pPr>
              <w:pStyle w:val="BodyText"/>
              <w:numPr>
                <w:ilvl w:val="0"/>
                <w:numId w:val="31"/>
              </w:numPr>
              <w:spacing w:after="40"/>
              <w:ind w:left="252" w:hanging="283"/>
            </w:pPr>
            <w:r>
              <w:t>Государства-члены оценивают комментарии КРИС;</w:t>
            </w:r>
          </w:p>
          <w:p w14:paraId="7C037179" w14:textId="45E46F47" w:rsidR="003A754E" w:rsidRPr="00E802B0" w:rsidRDefault="003A754E" w:rsidP="005E3EB6">
            <w:pPr>
              <w:pStyle w:val="BodyText"/>
              <w:numPr>
                <w:ilvl w:val="0"/>
                <w:numId w:val="31"/>
              </w:numPr>
              <w:spacing w:after="40"/>
              <w:ind w:left="252" w:hanging="283"/>
            </w:pPr>
            <w:r>
              <w:t>КРИС утверждает предложение, ВОИС назначает руководителя проекта и приступает к реализации.</w:t>
            </w:r>
          </w:p>
        </w:tc>
      </w:tr>
    </w:tbl>
    <w:p w14:paraId="46CCFC07" w14:textId="51B69984" w:rsidR="002105F6" w:rsidRPr="003A754E" w:rsidRDefault="003A754E" w:rsidP="00E0179D">
      <w:pPr>
        <w:pStyle w:val="ListParagraph"/>
        <w:numPr>
          <w:ilvl w:val="0"/>
          <w:numId w:val="13"/>
        </w:numPr>
        <w:spacing w:before="240" w:after="240"/>
        <w:contextualSpacing w:val="0"/>
        <w:rPr>
          <w:rFonts w:eastAsia="Arial"/>
        </w:rPr>
      </w:pPr>
      <w:r>
        <w:t>Проект ПДР «Интеллектуальная собственность и гастрономический туризм в Перу и других развивающихся странах: содействие развитию гастрономического туризма с помощью интеллектуальной собственности»</w:t>
      </w:r>
      <w:r w:rsidR="00F00D1D" w:rsidRPr="00F00D1D">
        <w:rPr>
          <w:rStyle w:val="FootnoteReference"/>
        </w:rPr>
        <w:footnoteReference w:id="3"/>
      </w:r>
      <w:r>
        <w:t xml:space="preserve"> направлен на повышение осведомленности об использовании ИС в сфере кулинарных традиций (потребления пищевых продуктов и напитков) на предмет ее применения в секторе туризма, а также </w:t>
      </w:r>
      <w:r>
        <w:lastRenderedPageBreak/>
        <w:t>на обеспечение документирования, развития и устойчивого использования кулинарных традиций каждой страны-бенефициара (Камеруна, Малайзии, Марокко и Перу).  В рамках мероприятий и практических результатов проекта предполагалось проанализировать потенциальную выгоду, которую ИС, связанная с кулинарными традициями, может принести экономической деятельности в секторе гастрономического туризма стран-бенефициаров.  Данный проект также направлен на повышение осведомленности об этой теме.</w:t>
      </w:r>
    </w:p>
    <w:p w14:paraId="40ED6BF1" w14:textId="77777777" w:rsidR="002105F6" w:rsidRPr="002105F6" w:rsidRDefault="002105F6" w:rsidP="00E0179D">
      <w:pPr>
        <w:numPr>
          <w:ilvl w:val="0"/>
          <w:numId w:val="13"/>
        </w:numPr>
        <w:spacing w:after="240"/>
        <w:ind w:left="432"/>
        <w:rPr>
          <w:rFonts w:eastAsia="Arial"/>
          <w:szCs w:val="22"/>
        </w:rPr>
      </w:pPr>
      <w:r>
        <w:t>Проект состоял из следующих этапов:</w:t>
      </w:r>
    </w:p>
    <w:p w14:paraId="3152BF4E" w14:textId="77777777" w:rsidR="000458FD" w:rsidRPr="000A2EFA" w:rsidRDefault="000458FD" w:rsidP="000B0790">
      <w:pPr>
        <w:numPr>
          <w:ilvl w:val="0"/>
          <w:numId w:val="11"/>
        </w:numPr>
        <w:spacing w:after="240"/>
        <w:ind w:left="792"/>
      </w:pPr>
      <w:r>
        <w:t>Подготовка обзорного исследования сектора гастрономического туризма в каждой пилотной стране с целью выявления основных кулинарных традиций (потребления пищевых продуктов и напитков) в соответствующих странах.</w:t>
      </w:r>
    </w:p>
    <w:p w14:paraId="461436BC" w14:textId="77777777" w:rsidR="000458FD" w:rsidRPr="000458FD" w:rsidRDefault="000458FD" w:rsidP="000B0790">
      <w:pPr>
        <w:pStyle w:val="ListParagraph"/>
        <w:numPr>
          <w:ilvl w:val="0"/>
          <w:numId w:val="11"/>
        </w:numPr>
        <w:spacing w:after="240"/>
        <w:ind w:left="792"/>
        <w:contextualSpacing w:val="0"/>
        <w:rPr>
          <w:rFonts w:cs="Arial"/>
          <w:szCs w:val="22"/>
        </w:rPr>
      </w:pPr>
      <w:r>
        <w:t>Проведение круглого стола с участием основных заинтересованных сторон в секторе туризма и кулинарно-гастрономической сфере и государственных органов, занимающихся вопросами ИС, а также видных представителей данного сектора из каждой страны в целях обсуждения актуальных проблем в секторе гастрономического туризма в разрезе ИС и путей их решения.</w:t>
      </w:r>
    </w:p>
    <w:p w14:paraId="4A7FEBD0" w14:textId="79C24182" w:rsidR="000458FD" w:rsidRPr="00493D63" w:rsidRDefault="000458FD" w:rsidP="000B0790">
      <w:pPr>
        <w:numPr>
          <w:ilvl w:val="0"/>
          <w:numId w:val="11"/>
        </w:numPr>
        <w:spacing w:after="240"/>
      </w:pPr>
      <w:r>
        <w:t xml:space="preserve">Подготовка анализа связанных с ИС звеньев цепочки добавления стоимости выбранных кулинарных традиций в каждой пилотной стране на основании обзорного исследования и результатов круглого стола. </w:t>
      </w:r>
    </w:p>
    <w:p w14:paraId="288656D7" w14:textId="77777777" w:rsidR="000458FD" w:rsidRPr="00493D63" w:rsidRDefault="000458FD" w:rsidP="000B0790">
      <w:pPr>
        <w:numPr>
          <w:ilvl w:val="0"/>
          <w:numId w:val="11"/>
        </w:numPr>
        <w:spacing w:after="240"/>
      </w:pPr>
      <w:r>
        <w:t>Ознакомление участников круглого стола с анализом связанных с ИС звеньев цепочки добавления стоимости выбранных кулинарных традиций на предмет представления замечаний и доработки до составления окончательной редакции документа.</w:t>
      </w:r>
    </w:p>
    <w:p w14:paraId="44BE4C7F" w14:textId="77777777" w:rsidR="000458FD" w:rsidRPr="00493D63" w:rsidRDefault="000458FD" w:rsidP="000B0790">
      <w:pPr>
        <w:numPr>
          <w:ilvl w:val="0"/>
          <w:numId w:val="11"/>
        </w:numPr>
        <w:spacing w:after="240"/>
      </w:pPr>
      <w:r>
        <w:t>Организация в каждой пилотной стране семинара с презентацией рекомендаций и результатов проведенных в этой стране исследований.</w:t>
      </w:r>
    </w:p>
    <w:p w14:paraId="53898E89" w14:textId="77777777" w:rsidR="000458FD" w:rsidRPr="00493D63" w:rsidRDefault="000458FD" w:rsidP="000B0790">
      <w:pPr>
        <w:numPr>
          <w:ilvl w:val="0"/>
          <w:numId w:val="11"/>
        </w:numPr>
        <w:spacing w:after="240"/>
      </w:pPr>
      <w:r>
        <w:t>Организация международного семинара с презентацией опыта и результатов исследований, проведенных в различных пилотных странах.</w:t>
      </w:r>
    </w:p>
    <w:p w14:paraId="798BC209" w14:textId="29678D0D" w:rsidR="002105F6" w:rsidRPr="000458FD" w:rsidRDefault="000458FD" w:rsidP="000B0790">
      <w:pPr>
        <w:numPr>
          <w:ilvl w:val="0"/>
          <w:numId w:val="11"/>
        </w:numPr>
        <w:spacing w:after="240"/>
      </w:pPr>
      <w:r>
        <w:t>Составление документа с обобщением основных результатов и заключений по различным странам-бенефициарам, который позволит повысить уровень осведомленности общественности о данной теме.</w:t>
      </w:r>
    </w:p>
    <w:p w14:paraId="019FDCC4" w14:textId="2394D259" w:rsidR="002105F6" w:rsidRPr="004D14F6" w:rsidRDefault="002105F6" w:rsidP="00E0179D">
      <w:pPr>
        <w:keepNext/>
        <w:keepLines/>
        <w:spacing w:before="40" w:after="240"/>
        <w:outlineLvl w:val="1"/>
        <w:rPr>
          <w:rFonts w:eastAsia="Times New Roman"/>
          <w:b/>
          <w:szCs w:val="22"/>
        </w:rPr>
      </w:pPr>
      <w:bookmarkStart w:id="18" w:name="_Toc129099341"/>
      <w:r>
        <w:rPr>
          <w:b/>
        </w:rPr>
        <w:t>Цель и структура отчета</w:t>
      </w:r>
      <w:bookmarkEnd w:id="18"/>
    </w:p>
    <w:p w14:paraId="4A54C08D" w14:textId="1152F4D2" w:rsidR="0025246F" w:rsidRDefault="0025246F" w:rsidP="00E0179D">
      <w:pPr>
        <w:numPr>
          <w:ilvl w:val="0"/>
          <w:numId w:val="13"/>
        </w:numPr>
        <w:autoSpaceDE w:val="0"/>
        <w:autoSpaceDN w:val="0"/>
        <w:adjustRightInd w:val="0"/>
        <w:spacing w:after="240"/>
        <w:rPr>
          <w:rFonts w:eastAsia="Times New Roman"/>
          <w:szCs w:val="22"/>
        </w:rPr>
      </w:pPr>
      <w:r>
        <w:t>Оценка соответствует установленным приоритетам ВОИС, касающимся систематической и своевременной оценки программ и проектов Организации.  В рамках оценки, в соответствии с принципами ВОИС, также был сделан акцент на рассмотрении достижений, качества и результатов мероприятий в контексте развития. Особое внимание уделялось использованию оценки для управления результатами, извлечения уроков и обеспечения отчетности, а также повышения качества и результативности программ и проектов.</w:t>
      </w:r>
    </w:p>
    <w:p w14:paraId="36C47777" w14:textId="22AE8F19" w:rsidR="0025246F" w:rsidRDefault="0025246F" w:rsidP="0025246F">
      <w:pPr>
        <w:pStyle w:val="ListParagraph"/>
        <w:widowControl w:val="0"/>
        <w:numPr>
          <w:ilvl w:val="0"/>
          <w:numId w:val="13"/>
        </w:numPr>
        <w:tabs>
          <w:tab w:val="left" w:pos="500"/>
        </w:tabs>
        <w:autoSpaceDE w:val="0"/>
        <w:autoSpaceDN w:val="0"/>
        <w:spacing w:after="240"/>
        <w:ind w:right="-7"/>
        <w:contextualSpacing w:val="0"/>
        <w:rPr>
          <w:rFonts w:cs="Arial"/>
        </w:rPr>
      </w:pPr>
      <w:r>
        <w:t>В данном отчете представлены выводы по каждому вопросу для оценки, а также ряд заключений и рекомендаций на основе проведенного сбора данных.</w:t>
      </w:r>
    </w:p>
    <w:p w14:paraId="79D617C9" w14:textId="72700B73" w:rsidR="0025246F" w:rsidRPr="0025246F" w:rsidRDefault="0025246F" w:rsidP="00E0179D">
      <w:pPr>
        <w:numPr>
          <w:ilvl w:val="0"/>
          <w:numId w:val="13"/>
        </w:numPr>
        <w:autoSpaceDE w:val="0"/>
        <w:autoSpaceDN w:val="0"/>
        <w:adjustRightInd w:val="0"/>
        <w:spacing w:after="240"/>
        <w:rPr>
          <w:rFonts w:eastAsia="Times New Roman"/>
          <w:szCs w:val="22"/>
        </w:rPr>
      </w:pPr>
      <w:r>
        <w:t xml:space="preserve">В рамках оценки был проведен общий анализ итогов вышеупомянутого проекта ПДР, при этом особое внимание уделялось структуре разработки проекта, системе управления проектом, в том числе механизмам контроля и отчетности, а также </w:t>
      </w:r>
      <w:r>
        <w:lastRenderedPageBreak/>
        <w:t>измерению и документированию достигнутых к настоящему моменту результатов и их анализу на предмет вероятной долгосрочной устойчивости.  Извлеченные уроки, заключения и разработанные рекомендации основаны на полученной в ходе оценки фактической информации, которая будет полезна КРИС для принятия решений и повышения качества будущих мероприятий.  В частности, в рамках данной оценки рассматривалось, в какой степени проект способствовал достижению следующих целей:</w:t>
      </w:r>
    </w:p>
    <w:p w14:paraId="6EBA8778" w14:textId="77777777" w:rsidR="00BB2840" w:rsidRDefault="0025246F" w:rsidP="00E0179D">
      <w:pPr>
        <w:numPr>
          <w:ilvl w:val="0"/>
          <w:numId w:val="10"/>
        </w:numPr>
        <w:spacing w:after="240"/>
        <w:ind w:left="922"/>
        <w:rPr>
          <w:rFonts w:eastAsia="Arial"/>
          <w:szCs w:val="22"/>
        </w:rPr>
      </w:pPr>
      <w:r>
        <w:t xml:space="preserve">Укрепление возможностей субъектов экономической деятельности, связанных с сектором гастрономического туризма, а также органов власти государств, включая ведомства ИС, по использованию инструментов и стратегий ИС и извлечению выгоды из такого использования для дифференциации предлагаемых продуктов и услуг и диверсификации своей экономической деятельности с учетом местных традиций и культуры. </w:t>
      </w:r>
    </w:p>
    <w:p w14:paraId="126B3771" w14:textId="78BFBCCA" w:rsidR="000A4454" w:rsidRPr="00BB2840" w:rsidRDefault="0025246F" w:rsidP="00BB2840">
      <w:pPr>
        <w:numPr>
          <w:ilvl w:val="0"/>
          <w:numId w:val="10"/>
        </w:numPr>
        <w:spacing w:after="240"/>
        <w:ind w:left="922"/>
        <w:rPr>
          <w:rFonts w:eastAsia="Arial"/>
          <w:szCs w:val="22"/>
        </w:rPr>
      </w:pPr>
      <w:r>
        <w:t>Повышение уровня осведомленности о преимуществах, которые может принести использование ИС в секторе гастрономического туризма.</w:t>
      </w:r>
    </w:p>
    <w:p w14:paraId="570F0C2A" w14:textId="044302A2" w:rsidR="00001BFE" w:rsidRDefault="00001BFE" w:rsidP="00001BFE">
      <w:pPr>
        <w:ind w:left="927"/>
        <w:contextualSpacing/>
      </w:pPr>
    </w:p>
    <w:p w14:paraId="19C8A9D7" w14:textId="64BFC7DE" w:rsidR="00001BFE" w:rsidRDefault="00001BFE" w:rsidP="00001BFE">
      <w:pPr>
        <w:ind w:left="927"/>
        <w:contextualSpacing/>
      </w:pPr>
    </w:p>
    <w:p w14:paraId="2C63837D" w14:textId="77777777" w:rsidR="00001BFE" w:rsidRPr="0025246F" w:rsidRDefault="00001BFE" w:rsidP="00001BFE">
      <w:pPr>
        <w:ind w:left="927"/>
        <w:contextualSpacing/>
        <w:rPr>
          <w:rFonts w:eastAsia="Arial"/>
          <w:szCs w:val="22"/>
          <w:lang w:eastAsia="en-US"/>
        </w:rPr>
      </w:pPr>
    </w:p>
    <w:p w14:paraId="2134E573" w14:textId="558F4DB4" w:rsidR="002105F6" w:rsidRPr="00C720F4" w:rsidRDefault="00F0413C" w:rsidP="00E0179D">
      <w:pPr>
        <w:keepNext/>
        <w:keepLines/>
        <w:spacing w:before="240" w:after="240"/>
        <w:outlineLvl w:val="0"/>
        <w:rPr>
          <w:rFonts w:eastAsia="Times New Roman"/>
          <w:b/>
          <w:szCs w:val="22"/>
        </w:rPr>
      </w:pPr>
      <w:bookmarkStart w:id="19" w:name="_Toc129099342"/>
      <w:r>
        <w:rPr>
          <w:b/>
        </w:rPr>
        <w:t>СФЕРА ОХВАТА И МЕТОДИКА ОЦЕНКИ</w:t>
      </w:r>
      <w:bookmarkEnd w:id="19"/>
    </w:p>
    <w:p w14:paraId="5A2BE20C" w14:textId="34BF8DC3" w:rsidR="00CD61D7" w:rsidRDefault="00CD61D7" w:rsidP="00E0179D">
      <w:pPr>
        <w:numPr>
          <w:ilvl w:val="0"/>
          <w:numId w:val="13"/>
        </w:numPr>
        <w:spacing w:after="240"/>
        <w:rPr>
          <w:rFonts w:eastAsia="Times New Roman"/>
          <w:szCs w:val="22"/>
        </w:rPr>
      </w:pPr>
      <w:r>
        <w:t xml:space="preserve">В ходе оценки рассматривались мероприятия и результаты, достигнутые в рамках реализации проекта с мая 2019 по декабрь 2022 года.  Оценке подверглась разработка проекта, управление проектом, координация, согласованность, реализация, мероприятия и достигнутые результаты, вклад в удовлетворение потребностей государств-членов, а также ресурсы или способы удовлетворения этих потребностей.  В ходе оценки рассматривались четыре страны – бенефициара проекта (Камерун, Малайзия, Марокко и Перу). </w:t>
      </w:r>
    </w:p>
    <w:p w14:paraId="5F21FE0C" w14:textId="7F38E30C" w:rsidR="00CD61D7" w:rsidRPr="00A07943" w:rsidRDefault="00CD61D7" w:rsidP="00A07943">
      <w:pPr>
        <w:numPr>
          <w:ilvl w:val="0"/>
          <w:numId w:val="13"/>
        </w:numPr>
        <w:spacing w:after="240"/>
        <w:rPr>
          <w:rFonts w:eastAsia="Times New Roman"/>
          <w:szCs w:val="22"/>
        </w:rPr>
      </w:pPr>
      <w:r>
        <w:t>Оценка была основана на принципах оценки содействия развитию Организации экономического сотрудничества и развития (ОЭСР) / Комитета содействия развитию (КСР).  Модель КСР устанавливает пять критериев для оценки мер по сотрудничеству, направленному на развитие: актуальность, согласованность, действенность, эффективность, устойчивость и воздействие.  Однако ОКПДР ВОИС выразил желание сосредоточиться только на трех из этих критериев оценки: актуальность (разработка проекта и управление им), действенность и устойчивость.  Кроме того, эксперт по оценке сочла полезным рассмотреть критерии ценности вмешательства ВОИС и привлечения внимания к ВОИС для анализа степени, в которой данный проект принес дополнительную выгоду участвующим в нем государствам-членам и привлек дополнительное внимание к работе, выполняемой ВОИС.</w:t>
      </w:r>
    </w:p>
    <w:p w14:paraId="7D0FB64A" w14:textId="0675FE9D" w:rsidR="000A4EC1" w:rsidRPr="00250A46" w:rsidRDefault="00CD61D7" w:rsidP="00E0179D">
      <w:pPr>
        <w:numPr>
          <w:ilvl w:val="0"/>
          <w:numId w:val="13"/>
        </w:numPr>
        <w:spacing w:after="240"/>
        <w:rPr>
          <w:rFonts w:eastAsia="Times New Roman"/>
          <w:szCs w:val="22"/>
        </w:rPr>
      </w:pPr>
      <w:r>
        <w:t>На этапе создания и после проведения первоначального кабинетного анализа эксперт по оценке составила и предложила ВОИС ряд вопросов для оценки, которые представлены в Таблице 1.</w:t>
      </w:r>
    </w:p>
    <w:tbl>
      <w:tblPr>
        <w:tblStyle w:val="TableGrid1"/>
        <w:tblW w:w="8500" w:type="dxa"/>
        <w:tblLook w:val="04A0" w:firstRow="1" w:lastRow="0" w:firstColumn="1" w:lastColumn="0" w:noHBand="0" w:noVBand="1"/>
        <w:tblCaption w:val=" Таблица 1. Вопросы для оценки"/>
        <w:tblDescription w:val="Таблица 1. Вопросы для оценки"/>
      </w:tblPr>
      <w:tblGrid>
        <w:gridCol w:w="2155"/>
        <w:gridCol w:w="6345"/>
      </w:tblGrid>
      <w:tr w:rsidR="002105F6" w:rsidRPr="002105F6" w14:paraId="585211B6" w14:textId="77777777" w:rsidTr="00E36DE8">
        <w:trPr>
          <w:tblHeader/>
        </w:trPr>
        <w:tc>
          <w:tcPr>
            <w:tcW w:w="8500" w:type="dxa"/>
            <w:gridSpan w:val="2"/>
            <w:shd w:val="clear" w:color="auto" w:fill="auto"/>
          </w:tcPr>
          <w:p w14:paraId="3455BD75" w14:textId="77777777" w:rsidR="002105F6" w:rsidRPr="002105F6" w:rsidRDefault="002105F6" w:rsidP="002105F6">
            <w:pPr>
              <w:rPr>
                <w:rFonts w:eastAsia="Times New Roman"/>
                <w:b/>
                <w:i/>
                <w:iCs/>
                <w:szCs w:val="22"/>
              </w:rPr>
            </w:pPr>
            <w:r>
              <w:rPr>
                <w:b/>
                <w:i/>
              </w:rPr>
              <w:t>Таблица 1. Вопросы для оценки</w:t>
            </w:r>
          </w:p>
        </w:tc>
      </w:tr>
      <w:tr w:rsidR="002105F6" w:rsidRPr="002105F6" w14:paraId="3A82D58E" w14:textId="77777777" w:rsidTr="00854C64">
        <w:tc>
          <w:tcPr>
            <w:tcW w:w="2155" w:type="dxa"/>
            <w:shd w:val="clear" w:color="auto" w:fill="D9E2F3"/>
          </w:tcPr>
          <w:p w14:paraId="5F7E55A5" w14:textId="63F73FD5" w:rsidR="002105F6" w:rsidRPr="002105F6" w:rsidRDefault="00854C64" w:rsidP="002105F6">
            <w:pPr>
              <w:rPr>
                <w:rFonts w:eastAsia="Times New Roman"/>
                <w:b/>
                <w:i/>
                <w:iCs/>
                <w:szCs w:val="22"/>
              </w:rPr>
            </w:pPr>
            <w:r>
              <w:rPr>
                <w:b/>
                <w:i/>
              </w:rPr>
              <w:t>Критерии ОЭСР</w:t>
            </w:r>
          </w:p>
        </w:tc>
        <w:tc>
          <w:tcPr>
            <w:tcW w:w="6345" w:type="dxa"/>
            <w:shd w:val="clear" w:color="auto" w:fill="D9E2F3"/>
          </w:tcPr>
          <w:p w14:paraId="0CA895AD" w14:textId="77777777" w:rsidR="002105F6" w:rsidRPr="002105F6" w:rsidRDefault="002105F6" w:rsidP="002105F6">
            <w:pPr>
              <w:rPr>
                <w:rFonts w:eastAsia="Times New Roman"/>
                <w:b/>
                <w:szCs w:val="22"/>
              </w:rPr>
            </w:pPr>
            <w:r>
              <w:rPr>
                <w:b/>
              </w:rPr>
              <w:t>Вопросы для оценки</w:t>
            </w:r>
          </w:p>
        </w:tc>
      </w:tr>
      <w:tr w:rsidR="002105F6" w:rsidRPr="002105F6" w14:paraId="57A970F8" w14:textId="77777777" w:rsidTr="00854C64">
        <w:tc>
          <w:tcPr>
            <w:tcW w:w="2155" w:type="dxa"/>
            <w:vMerge w:val="restart"/>
            <w:shd w:val="clear" w:color="auto" w:fill="D9E2F3"/>
          </w:tcPr>
          <w:p w14:paraId="48477BE8" w14:textId="77777777" w:rsidR="002105F6" w:rsidRPr="002105F6" w:rsidRDefault="002105F6" w:rsidP="002105F6">
            <w:pPr>
              <w:rPr>
                <w:rFonts w:eastAsia="Times New Roman"/>
                <w:b/>
                <w:szCs w:val="22"/>
              </w:rPr>
            </w:pPr>
            <w:r>
              <w:rPr>
                <w:b/>
              </w:rPr>
              <w:t>Разработка проекта и система управления проектом</w:t>
            </w:r>
          </w:p>
        </w:tc>
        <w:tc>
          <w:tcPr>
            <w:tcW w:w="6345" w:type="dxa"/>
          </w:tcPr>
          <w:p w14:paraId="79694C85" w14:textId="5B95392B" w:rsidR="002105F6" w:rsidRPr="00B27E96" w:rsidRDefault="00854C64" w:rsidP="002105F6">
            <w:pPr>
              <w:rPr>
                <w:rFonts w:eastAsia="Times New Roman"/>
                <w:iCs/>
                <w:szCs w:val="22"/>
              </w:rPr>
            </w:pPr>
            <w:r>
              <w:t>Пригоден ли первоначальный проектный документ в качестве методического руководства для реализации проекта и оценки достигнутых результатов?</w:t>
            </w:r>
          </w:p>
        </w:tc>
      </w:tr>
      <w:tr w:rsidR="002105F6" w:rsidRPr="002105F6" w14:paraId="6039D6D6" w14:textId="77777777" w:rsidTr="00854C64">
        <w:tc>
          <w:tcPr>
            <w:tcW w:w="2155" w:type="dxa"/>
            <w:vMerge/>
            <w:shd w:val="clear" w:color="auto" w:fill="D9E2F3"/>
          </w:tcPr>
          <w:p w14:paraId="1A5FAE3E" w14:textId="77777777" w:rsidR="002105F6" w:rsidRPr="00741DCA" w:rsidRDefault="002105F6" w:rsidP="002105F6">
            <w:pPr>
              <w:rPr>
                <w:rFonts w:eastAsia="Times New Roman"/>
                <w:szCs w:val="22"/>
                <w:lang w:eastAsia="en-US"/>
              </w:rPr>
            </w:pPr>
          </w:p>
        </w:tc>
        <w:tc>
          <w:tcPr>
            <w:tcW w:w="6345" w:type="dxa"/>
          </w:tcPr>
          <w:p w14:paraId="63AC3353" w14:textId="38661315" w:rsidR="002105F6" w:rsidRPr="00B27E96" w:rsidRDefault="00854C64" w:rsidP="002105F6">
            <w:pPr>
              <w:rPr>
                <w:rFonts w:eastAsia="Times New Roman"/>
                <w:iCs/>
                <w:szCs w:val="22"/>
              </w:rPr>
            </w:pPr>
            <w:r>
              <w:t xml:space="preserve">Полезны ли и достаточны ли средства контроля реализации проекта, самооценки проекта и формирования </w:t>
            </w:r>
            <w:r>
              <w:lastRenderedPageBreak/>
              <w:t>отчетности для обеспечения проектной группы и ключевых заинтересованных сторон соответствующей информацией, необходимой для принятия решений?</w:t>
            </w:r>
          </w:p>
        </w:tc>
      </w:tr>
      <w:tr w:rsidR="002105F6" w:rsidRPr="002105F6" w14:paraId="0D2F3061" w14:textId="77777777" w:rsidTr="00854C64">
        <w:tc>
          <w:tcPr>
            <w:tcW w:w="2155" w:type="dxa"/>
            <w:vMerge/>
            <w:shd w:val="clear" w:color="auto" w:fill="D9E2F3"/>
          </w:tcPr>
          <w:p w14:paraId="25F3A7DC" w14:textId="77777777" w:rsidR="002105F6" w:rsidRPr="00741DCA" w:rsidRDefault="002105F6" w:rsidP="002105F6">
            <w:pPr>
              <w:rPr>
                <w:rFonts w:eastAsia="Times New Roman"/>
                <w:szCs w:val="22"/>
                <w:lang w:eastAsia="en-US"/>
              </w:rPr>
            </w:pPr>
          </w:p>
        </w:tc>
        <w:tc>
          <w:tcPr>
            <w:tcW w:w="6345" w:type="dxa"/>
          </w:tcPr>
          <w:p w14:paraId="0F7B6DC7" w14:textId="0BA753B9" w:rsidR="002105F6" w:rsidRPr="00B27E96" w:rsidRDefault="00854C64" w:rsidP="00B27E96">
            <w:pPr>
              <w:rPr>
                <w:rFonts w:eastAsia="Times New Roman"/>
                <w:iCs/>
                <w:szCs w:val="22"/>
              </w:rPr>
            </w:pPr>
            <w:r>
              <w:t>В какой степени вклад прочих структур в составе Секретариата ВОИС способствовал действенной и эффективной реализации проекта?</w:t>
            </w:r>
          </w:p>
        </w:tc>
      </w:tr>
      <w:tr w:rsidR="00854C64" w:rsidRPr="002105F6" w14:paraId="078F5D1A" w14:textId="77777777" w:rsidTr="00854C64">
        <w:trPr>
          <w:trHeight w:val="584"/>
        </w:trPr>
        <w:tc>
          <w:tcPr>
            <w:tcW w:w="2155" w:type="dxa"/>
            <w:vMerge/>
            <w:shd w:val="clear" w:color="auto" w:fill="D9E2F3"/>
          </w:tcPr>
          <w:p w14:paraId="665FBED8" w14:textId="77777777" w:rsidR="00854C64" w:rsidRPr="00741DCA" w:rsidRDefault="00854C64" w:rsidP="002105F6">
            <w:pPr>
              <w:rPr>
                <w:rFonts w:eastAsia="Times New Roman"/>
                <w:szCs w:val="22"/>
                <w:lang w:eastAsia="en-US"/>
              </w:rPr>
            </w:pPr>
          </w:p>
        </w:tc>
        <w:tc>
          <w:tcPr>
            <w:tcW w:w="6345" w:type="dxa"/>
          </w:tcPr>
          <w:p w14:paraId="02295ADC" w14:textId="476B36DE" w:rsidR="00854C64" w:rsidRPr="00B27E96" w:rsidRDefault="00854C64" w:rsidP="00B27E96">
            <w:pPr>
              <w:rPr>
                <w:rFonts w:eastAsia="Times New Roman"/>
                <w:iCs/>
                <w:szCs w:val="22"/>
              </w:rPr>
            </w:pPr>
            <w:r>
              <w:t>В какой степени материализовались или были минимизированы риски, отмеченные в первоначальном проектном документе?</w:t>
            </w:r>
          </w:p>
        </w:tc>
      </w:tr>
      <w:tr w:rsidR="002105F6" w:rsidRPr="002105F6" w14:paraId="01623F52" w14:textId="77777777" w:rsidTr="00854C64">
        <w:tc>
          <w:tcPr>
            <w:tcW w:w="2155" w:type="dxa"/>
            <w:vMerge w:val="restart"/>
            <w:shd w:val="clear" w:color="auto" w:fill="D9E2F3"/>
          </w:tcPr>
          <w:p w14:paraId="3A0F9CFC" w14:textId="77777777" w:rsidR="002105F6" w:rsidRPr="002105F6" w:rsidRDefault="002105F6" w:rsidP="002105F6">
            <w:pPr>
              <w:rPr>
                <w:rFonts w:eastAsia="Times New Roman"/>
                <w:b/>
                <w:szCs w:val="22"/>
              </w:rPr>
            </w:pPr>
            <w:r>
              <w:rPr>
                <w:b/>
              </w:rPr>
              <w:t>Действенность</w:t>
            </w:r>
          </w:p>
        </w:tc>
        <w:tc>
          <w:tcPr>
            <w:tcW w:w="6345" w:type="dxa"/>
          </w:tcPr>
          <w:p w14:paraId="0406511C" w14:textId="5E008296" w:rsidR="002105F6" w:rsidRPr="00B27E96" w:rsidRDefault="00854C64" w:rsidP="00B27E96">
            <w:pPr>
              <w:rPr>
                <w:rFonts w:eastAsia="Times New Roman"/>
                <w:iCs/>
                <w:szCs w:val="22"/>
              </w:rPr>
            </w:pPr>
            <w:r>
              <w:t>В какой степени результаты проекта оказались полезными и действенными для повышения осведомленности об ИС и гастрономическом туризме?</w:t>
            </w:r>
          </w:p>
        </w:tc>
      </w:tr>
      <w:tr w:rsidR="002105F6" w:rsidRPr="002105F6" w14:paraId="4193C008" w14:textId="77777777" w:rsidTr="00854C64">
        <w:tc>
          <w:tcPr>
            <w:tcW w:w="2155" w:type="dxa"/>
            <w:vMerge/>
            <w:shd w:val="clear" w:color="auto" w:fill="D9E2F3"/>
          </w:tcPr>
          <w:p w14:paraId="3123DD58" w14:textId="77777777" w:rsidR="002105F6" w:rsidRPr="00741DCA" w:rsidRDefault="002105F6" w:rsidP="002105F6">
            <w:pPr>
              <w:rPr>
                <w:rFonts w:eastAsia="Times New Roman"/>
                <w:b/>
                <w:szCs w:val="22"/>
                <w:lang w:eastAsia="en-US"/>
              </w:rPr>
            </w:pPr>
          </w:p>
        </w:tc>
        <w:tc>
          <w:tcPr>
            <w:tcW w:w="6345" w:type="dxa"/>
          </w:tcPr>
          <w:p w14:paraId="47EF476B" w14:textId="41DF4AF0" w:rsidR="002105F6" w:rsidRPr="002105F6" w:rsidRDefault="00854C64" w:rsidP="002105F6">
            <w:pPr>
              <w:rPr>
                <w:rFonts w:eastAsia="Times New Roman"/>
                <w:iCs/>
                <w:szCs w:val="22"/>
                <w:highlight w:val="yellow"/>
              </w:rPr>
            </w:pPr>
            <w:r>
              <w:t>Послужил ли проект укреплению возможностей субъектов экономической деятельности, связанных с сектором гастрономического туризма, а также органов власти государств, включая ведомства ИС, по использованию инструментов и стратегий ИС и извлечению выгоды из такого использования для дифференциации предлагаемых продуктов и услуг и диверсифицикации своей экономической деятельности с учетом местных традиций и культуры?</w:t>
            </w:r>
          </w:p>
        </w:tc>
      </w:tr>
      <w:tr w:rsidR="00C75EAE" w:rsidRPr="002105F6" w14:paraId="620734C9" w14:textId="77777777" w:rsidTr="00C75EAE">
        <w:trPr>
          <w:trHeight w:val="746"/>
        </w:trPr>
        <w:tc>
          <w:tcPr>
            <w:tcW w:w="2155" w:type="dxa"/>
            <w:vMerge/>
            <w:shd w:val="clear" w:color="auto" w:fill="D9E2F3"/>
          </w:tcPr>
          <w:p w14:paraId="5C3AC121" w14:textId="77777777" w:rsidR="00C75EAE" w:rsidRPr="00741DCA" w:rsidRDefault="00C75EAE" w:rsidP="002105F6">
            <w:pPr>
              <w:rPr>
                <w:rFonts w:eastAsia="Times New Roman"/>
                <w:b/>
                <w:szCs w:val="22"/>
                <w:lang w:eastAsia="en-US"/>
              </w:rPr>
            </w:pPr>
          </w:p>
        </w:tc>
        <w:tc>
          <w:tcPr>
            <w:tcW w:w="6345" w:type="dxa"/>
          </w:tcPr>
          <w:p w14:paraId="5510011A" w14:textId="55807483" w:rsidR="00C75EAE" w:rsidRPr="002105F6" w:rsidRDefault="00C75EAE" w:rsidP="002105F6">
            <w:pPr>
              <w:rPr>
                <w:rFonts w:eastAsia="Times New Roman"/>
                <w:iCs/>
                <w:szCs w:val="22"/>
                <w:highlight w:val="yellow"/>
              </w:rPr>
            </w:pPr>
            <w:r>
              <w:t>В какой степени проект способствовал повышению уровня осведомленности о преимуществах, которые может принести использование ИС в секторе гастрономического туризма?</w:t>
            </w:r>
          </w:p>
        </w:tc>
      </w:tr>
      <w:tr w:rsidR="00C75EAE" w:rsidRPr="002105F6" w14:paraId="13AE2801" w14:textId="77777777" w:rsidTr="00C75EAE">
        <w:trPr>
          <w:trHeight w:val="791"/>
        </w:trPr>
        <w:tc>
          <w:tcPr>
            <w:tcW w:w="2155" w:type="dxa"/>
            <w:shd w:val="clear" w:color="auto" w:fill="D9E2F3"/>
          </w:tcPr>
          <w:p w14:paraId="67C5C1BD" w14:textId="77777777" w:rsidR="00C75EAE" w:rsidRPr="002105F6" w:rsidRDefault="00C75EAE" w:rsidP="00C75EAE">
            <w:pPr>
              <w:rPr>
                <w:rFonts w:eastAsia="Times New Roman"/>
                <w:b/>
                <w:szCs w:val="22"/>
              </w:rPr>
            </w:pPr>
            <w:r>
              <w:rPr>
                <w:b/>
              </w:rPr>
              <w:t>Устойчивость</w:t>
            </w:r>
          </w:p>
        </w:tc>
        <w:tc>
          <w:tcPr>
            <w:tcW w:w="6345" w:type="dxa"/>
          </w:tcPr>
          <w:p w14:paraId="28A66CF1" w14:textId="20935F0F" w:rsidR="00C75EAE" w:rsidRPr="002105F6" w:rsidRDefault="00C75EAE" w:rsidP="00C75EAE">
            <w:pPr>
              <w:rPr>
                <w:rFonts w:eastAsia="Times New Roman"/>
                <w:iCs/>
                <w:szCs w:val="22"/>
              </w:rPr>
            </w:pPr>
            <w:r>
              <w:t>Насколько результативен оказался проект с точки зрения дальнейшей работы над использованием систем ИС как инструмента для повышения осведомленности о кулинарных традициях и гастрономическом туризме?</w:t>
            </w:r>
          </w:p>
        </w:tc>
      </w:tr>
      <w:tr w:rsidR="00C75EAE" w:rsidRPr="002105F6" w14:paraId="1446C813" w14:textId="77777777" w:rsidTr="00854C64">
        <w:tc>
          <w:tcPr>
            <w:tcW w:w="2155" w:type="dxa"/>
            <w:shd w:val="clear" w:color="auto" w:fill="D9E2F3"/>
          </w:tcPr>
          <w:p w14:paraId="3423E2BB" w14:textId="096D012D" w:rsidR="00C75EAE" w:rsidRPr="002105F6" w:rsidRDefault="00C75EAE" w:rsidP="00C75EAE">
            <w:pPr>
              <w:rPr>
                <w:rFonts w:eastAsia="Times New Roman"/>
                <w:b/>
                <w:szCs w:val="22"/>
              </w:rPr>
            </w:pPr>
            <w:r>
              <w:rPr>
                <w:b/>
                <w:color w:val="000000" w:themeColor="text1"/>
                <w:sz w:val="20"/>
              </w:rPr>
              <w:t>Привлечение внимания к ВОИС</w:t>
            </w:r>
          </w:p>
        </w:tc>
        <w:tc>
          <w:tcPr>
            <w:tcW w:w="6345" w:type="dxa"/>
          </w:tcPr>
          <w:p w14:paraId="5FBDED55" w14:textId="1C127205" w:rsidR="00C75EAE" w:rsidRPr="002105F6" w:rsidRDefault="00C75EAE" w:rsidP="00322663">
            <w:pPr>
              <w:contextualSpacing/>
              <w:rPr>
                <w:rFonts w:eastAsia="MS PGothic"/>
                <w:iCs/>
                <w:szCs w:val="22"/>
              </w:rPr>
            </w:pPr>
            <w:r>
              <w:t>Позволили ли реализованные мероприятия укрепить репутацию ВОИС среди заинтересованных сторон и органов государственной власти стран-бенефициаров, и если да, то каким образом?</w:t>
            </w:r>
          </w:p>
        </w:tc>
      </w:tr>
      <w:tr w:rsidR="00C75EAE" w:rsidRPr="002105F6" w14:paraId="4796AD9C" w14:textId="77777777" w:rsidTr="00854C64">
        <w:tc>
          <w:tcPr>
            <w:tcW w:w="2155" w:type="dxa"/>
            <w:shd w:val="clear" w:color="auto" w:fill="D9E2F3"/>
          </w:tcPr>
          <w:p w14:paraId="59307AE3" w14:textId="2B63128B" w:rsidR="00C75EAE" w:rsidRPr="00061E37" w:rsidRDefault="00C75EAE" w:rsidP="00C75EAE">
            <w:pPr>
              <w:rPr>
                <w:b/>
                <w:bCs/>
                <w:color w:val="000000" w:themeColor="text1"/>
                <w:sz w:val="20"/>
              </w:rPr>
            </w:pPr>
            <w:r>
              <w:rPr>
                <w:b/>
                <w:color w:val="000000" w:themeColor="text1"/>
                <w:sz w:val="20"/>
              </w:rPr>
              <w:t>Ценность вмешательства ВОИС</w:t>
            </w:r>
          </w:p>
        </w:tc>
        <w:tc>
          <w:tcPr>
            <w:tcW w:w="6345" w:type="dxa"/>
          </w:tcPr>
          <w:p w14:paraId="33E732DA" w14:textId="78420093" w:rsidR="00C75EAE" w:rsidRPr="002105F6" w:rsidRDefault="007E095F" w:rsidP="00C75EAE">
            <w:pPr>
              <w:contextualSpacing/>
              <w:rPr>
                <w:rFonts w:eastAsia="MS PGothic"/>
                <w:iCs/>
                <w:szCs w:val="22"/>
              </w:rPr>
            </w:pPr>
            <w:r>
              <w:t>Какую ценность принес данный проект?</w:t>
            </w:r>
          </w:p>
        </w:tc>
      </w:tr>
      <w:tr w:rsidR="00C75EAE" w:rsidRPr="002105F6" w14:paraId="72195476" w14:textId="77777777" w:rsidTr="00854C64">
        <w:tc>
          <w:tcPr>
            <w:tcW w:w="2155" w:type="dxa"/>
            <w:shd w:val="clear" w:color="auto" w:fill="D9E2F3"/>
          </w:tcPr>
          <w:p w14:paraId="283AEEC6" w14:textId="54D75487" w:rsidR="00C75EAE" w:rsidRPr="00061E37" w:rsidRDefault="00C75EAE" w:rsidP="00C75EAE">
            <w:pPr>
              <w:rPr>
                <w:b/>
                <w:bCs/>
                <w:color w:val="000000" w:themeColor="text1"/>
                <w:sz w:val="20"/>
              </w:rPr>
            </w:pPr>
            <w:r>
              <w:rPr>
                <w:b/>
                <w:color w:val="000000" w:themeColor="text1"/>
                <w:sz w:val="20"/>
              </w:rPr>
              <w:t>Извлеченные уроки</w:t>
            </w:r>
          </w:p>
        </w:tc>
        <w:tc>
          <w:tcPr>
            <w:tcW w:w="6345" w:type="dxa"/>
          </w:tcPr>
          <w:p w14:paraId="77E6F386" w14:textId="39E8A199" w:rsidR="00C75EAE" w:rsidRPr="002105F6" w:rsidRDefault="007E095F" w:rsidP="00C75EAE">
            <w:pPr>
              <w:contextualSpacing/>
              <w:rPr>
                <w:rFonts w:eastAsia="MS PGothic"/>
                <w:iCs/>
                <w:szCs w:val="22"/>
              </w:rPr>
            </w:pPr>
            <w:r>
              <w:t>Какие уроки были извлечены, какие лучшие практики были сформулированы на основании данного проекта (в первую очередь с точки зрения разработки и управления)?</w:t>
            </w:r>
          </w:p>
        </w:tc>
      </w:tr>
      <w:tr w:rsidR="00C75EAE" w:rsidRPr="002105F6" w14:paraId="41606C34" w14:textId="77777777" w:rsidTr="00854C64">
        <w:tc>
          <w:tcPr>
            <w:tcW w:w="2155" w:type="dxa"/>
            <w:shd w:val="clear" w:color="auto" w:fill="D9E2F3"/>
          </w:tcPr>
          <w:p w14:paraId="7EEAA36B" w14:textId="4749F464" w:rsidR="00C75EAE" w:rsidRPr="00E0179D" w:rsidRDefault="00C75EAE" w:rsidP="00BF3B7B">
            <w:pPr>
              <w:rPr>
                <w:b/>
                <w:bCs/>
                <w:color w:val="000000" w:themeColor="text1"/>
                <w:sz w:val="20"/>
              </w:rPr>
            </w:pPr>
            <w:r>
              <w:rPr>
                <w:b/>
                <w:color w:val="000000" w:themeColor="text1"/>
                <w:sz w:val="20"/>
              </w:rPr>
              <w:t>Выполнение рекомендаций ПДР</w:t>
            </w:r>
          </w:p>
        </w:tc>
        <w:tc>
          <w:tcPr>
            <w:tcW w:w="6345" w:type="dxa"/>
          </w:tcPr>
          <w:p w14:paraId="0A8C3F2E" w14:textId="36E36E68" w:rsidR="00C75EAE" w:rsidRPr="002105F6" w:rsidRDefault="007E095F" w:rsidP="00C75EAE">
            <w:pPr>
              <w:contextualSpacing/>
              <w:rPr>
                <w:rFonts w:eastAsia="MS PGothic"/>
                <w:iCs/>
                <w:szCs w:val="22"/>
              </w:rPr>
            </w:pPr>
            <w:r>
              <w:t>В какой степени проект способствовал выполнению рекомендаций ПДР 1, 10 и 12?</w:t>
            </w:r>
          </w:p>
        </w:tc>
      </w:tr>
    </w:tbl>
    <w:p w14:paraId="51BB5488" w14:textId="5E9AD3A7" w:rsidR="00BF3B7B" w:rsidRDefault="00BF3B7B" w:rsidP="00E36DE8">
      <w:pPr>
        <w:pStyle w:val="ListParagraph"/>
        <w:numPr>
          <w:ilvl w:val="0"/>
          <w:numId w:val="13"/>
        </w:numPr>
        <w:spacing w:before="240" w:after="120"/>
        <w:contextualSpacing w:val="0"/>
      </w:pPr>
      <w:r>
        <w:t xml:space="preserve">Вышеупомянутые вопросы для оценки использовались в качестве структурированного руководства в ходе оценки, что обеспечило единообразное рассмотрение этих вопросов в рамках всех инструментов оценки. Исходя из этого была составлена матрица оценки с основными инструментами оценки, источниками данных и методами сбора данных.  Использование подобной матрицы крайне полезно и ценно, поскольку позволяет организовать и систематизировать необходимую информацию.  Матрица оценки содержится в дополнении I к настоящему документу.  </w:t>
      </w:r>
    </w:p>
    <w:p w14:paraId="0DB574B7" w14:textId="59A7D3C5" w:rsidR="00BF3B7B" w:rsidRPr="00C720F4" w:rsidRDefault="00D838AD" w:rsidP="00E36DE8">
      <w:pPr>
        <w:pStyle w:val="ListParagraph"/>
        <w:keepNext/>
        <w:keepLines/>
        <w:spacing w:before="240" w:after="240"/>
        <w:ind w:left="360"/>
        <w:contextualSpacing w:val="0"/>
        <w:outlineLvl w:val="0"/>
        <w:rPr>
          <w:b/>
          <w:szCs w:val="22"/>
        </w:rPr>
      </w:pPr>
      <w:bookmarkStart w:id="20" w:name="_Toc129099343"/>
      <w:r>
        <w:rPr>
          <w:b/>
        </w:rPr>
        <w:lastRenderedPageBreak/>
        <w:t>Сбор данных</w:t>
      </w:r>
      <w:bookmarkEnd w:id="20"/>
      <w:r>
        <w:rPr>
          <w:b/>
        </w:rPr>
        <w:t xml:space="preserve"> </w:t>
      </w:r>
    </w:p>
    <w:p w14:paraId="41FDED12" w14:textId="18C8C212" w:rsidR="00D838AD" w:rsidRPr="00D838AD" w:rsidRDefault="00D838AD" w:rsidP="00E36DE8">
      <w:pPr>
        <w:pStyle w:val="ListParagraph"/>
        <w:numPr>
          <w:ilvl w:val="0"/>
          <w:numId w:val="13"/>
        </w:numPr>
        <w:spacing w:after="240"/>
        <w:contextualSpacing w:val="0"/>
        <w:rPr>
          <w:color w:val="000000" w:themeColor="text1"/>
        </w:rPr>
      </w:pPr>
      <w:r>
        <w:rPr>
          <w:color w:val="000000" w:themeColor="text1"/>
        </w:rPr>
        <w:t>Сбор данных производился с этапа создания проекта, чтобы сформировать солидную доказательную базу.  Эта цель была достигнута путем анализа документов и проведения консультаций с широким кругом заинтересованных сторон, от координаторов проектов ВОИС до других профильных заинтересованных сторон, знакомых с проведенными мероприятиями.  Основные мероприятия по сбору данных представлены в таблице 2.</w:t>
      </w:r>
    </w:p>
    <w:tbl>
      <w:tblPr>
        <w:tblStyle w:val="TableGrid"/>
        <w:tblW w:w="0" w:type="auto"/>
        <w:tblInd w:w="360" w:type="dxa"/>
        <w:tblLook w:val="04A0" w:firstRow="1" w:lastRow="0" w:firstColumn="1" w:lastColumn="0" w:noHBand="0" w:noVBand="1"/>
        <w:tblCaption w:val="Таблица 2. Мероприятия по сбору данных"/>
        <w:tblDescription w:val="Таблица 2.  Мероприятия по сбору данных"/>
      </w:tblPr>
      <w:tblGrid>
        <w:gridCol w:w="2556"/>
        <w:gridCol w:w="6429"/>
      </w:tblGrid>
      <w:tr w:rsidR="00E235B0" w14:paraId="0C444284" w14:textId="77777777" w:rsidTr="00E36DE8">
        <w:trPr>
          <w:tblHeader/>
        </w:trPr>
        <w:tc>
          <w:tcPr>
            <w:tcW w:w="8985" w:type="dxa"/>
            <w:gridSpan w:val="2"/>
          </w:tcPr>
          <w:p w14:paraId="6190D4E5" w14:textId="754EAFC3" w:rsidR="00E235B0" w:rsidRDefault="00E235B0" w:rsidP="00E235B0">
            <w:pPr>
              <w:pStyle w:val="ListParagraph"/>
              <w:spacing w:after="240"/>
              <w:ind w:left="0"/>
              <w:contextualSpacing w:val="0"/>
              <w:rPr>
                <w:rFonts w:eastAsia="Arial"/>
              </w:rPr>
            </w:pPr>
            <w:r>
              <w:rPr>
                <w:b/>
                <w:i/>
              </w:rPr>
              <w:t>Таблица 2. Мероприятия по сбору данных</w:t>
            </w:r>
          </w:p>
        </w:tc>
      </w:tr>
      <w:tr w:rsidR="00E235B0" w14:paraId="5559DB7A" w14:textId="77777777" w:rsidTr="00741DCA">
        <w:tc>
          <w:tcPr>
            <w:tcW w:w="2045" w:type="dxa"/>
          </w:tcPr>
          <w:p w14:paraId="31B875F4" w14:textId="4D79140B" w:rsidR="00E235B0" w:rsidRPr="00E235B0" w:rsidRDefault="00E235B0" w:rsidP="00D838AD">
            <w:pPr>
              <w:pStyle w:val="ListParagraph"/>
              <w:spacing w:after="240"/>
              <w:ind w:left="0"/>
              <w:contextualSpacing w:val="0"/>
              <w:rPr>
                <w:rFonts w:eastAsia="Arial"/>
                <w:b/>
                <w:i/>
              </w:rPr>
            </w:pPr>
            <w:r>
              <w:rPr>
                <w:b/>
                <w:i/>
              </w:rPr>
              <w:t>Анализ документации</w:t>
            </w:r>
          </w:p>
        </w:tc>
        <w:tc>
          <w:tcPr>
            <w:tcW w:w="6940" w:type="dxa"/>
          </w:tcPr>
          <w:p w14:paraId="798AEA94" w14:textId="60D50FC2" w:rsidR="00E235B0" w:rsidRPr="00E235B0" w:rsidRDefault="00E235B0" w:rsidP="00741DCA">
            <w:pPr>
              <w:spacing w:after="180"/>
              <w:ind w:left="28"/>
            </w:pPr>
            <w:r>
              <w:t>В рамках анализа документации эксперт по оценке рассматривала отчеты следующих типов:</w:t>
            </w:r>
          </w:p>
          <w:p w14:paraId="3F5912D9" w14:textId="77DFA490" w:rsidR="00E235B0" w:rsidRPr="00717FA7" w:rsidRDefault="00E235B0" w:rsidP="00741DCA">
            <w:pPr>
              <w:spacing w:after="180"/>
              <w:ind w:left="28"/>
            </w:pPr>
            <w:r>
              <w:rPr>
                <w:b/>
                <w:bCs/>
                <w:i/>
              </w:rPr>
              <w:t>Общий обзор публикаций:</w:t>
            </w:r>
            <w:r>
              <w:rPr>
                <w:i/>
              </w:rPr>
              <w:t xml:space="preserve">  </w:t>
            </w:r>
            <w:r>
              <w:t>проводился для ответа на вопросы относительно актуальности стратегической структуры ВОИС в целом и обобщения выводов, извлеченных в ходе оценки.  В рамках оценки рассматривались всеобъемлющие документы и руководства ВОИС по политике для извлечения соответствующих выводов об ИС и поддержке традиционных выражений культуры и традиционных знаний.</w:t>
            </w:r>
          </w:p>
          <w:p w14:paraId="0C91EDBB" w14:textId="5734E719" w:rsidR="00E235B0" w:rsidRDefault="00E235B0" w:rsidP="00741DCA">
            <w:pPr>
              <w:spacing w:after="180"/>
              <w:ind w:left="28"/>
              <w:rPr>
                <w:rFonts w:eastAsia="Arial"/>
              </w:rPr>
            </w:pPr>
            <w:r>
              <w:rPr>
                <w:b/>
                <w:bCs/>
              </w:rPr>
              <w:t>Обзор публикаций по мероприятиям:</w:t>
            </w:r>
            <w:r>
              <w:t xml:space="preserve">  использовался для ответа на вопросы относительно актуальности и практичности оцениваемого проекта и извлечения выводов на уровне темы и практической стороны проекта.</w:t>
            </w:r>
          </w:p>
        </w:tc>
      </w:tr>
      <w:tr w:rsidR="00DC2695" w14:paraId="3A21A1A8" w14:textId="77777777" w:rsidTr="00741DCA">
        <w:trPr>
          <w:trHeight w:val="296"/>
        </w:trPr>
        <w:tc>
          <w:tcPr>
            <w:tcW w:w="2045" w:type="dxa"/>
          </w:tcPr>
          <w:p w14:paraId="66BCC0E4" w14:textId="3A5F4D05" w:rsidR="00DC2695" w:rsidRPr="00E235B0" w:rsidRDefault="00DC2695" w:rsidP="00D838AD">
            <w:pPr>
              <w:pStyle w:val="ListParagraph"/>
              <w:spacing w:after="240"/>
              <w:ind w:left="0"/>
              <w:contextualSpacing w:val="0"/>
              <w:rPr>
                <w:rFonts w:eastAsia="Arial"/>
                <w:b/>
                <w:i/>
              </w:rPr>
            </w:pPr>
            <w:r>
              <w:rPr>
                <w:b/>
                <w:i/>
              </w:rPr>
              <w:t xml:space="preserve">Консультации с заинтересованными сторонами  </w:t>
            </w:r>
          </w:p>
        </w:tc>
        <w:tc>
          <w:tcPr>
            <w:tcW w:w="6940" w:type="dxa"/>
          </w:tcPr>
          <w:p w14:paraId="57D55977" w14:textId="6568A34F" w:rsidR="00DC2695" w:rsidRPr="003B64F1" w:rsidRDefault="00DC2695" w:rsidP="00741DCA">
            <w:pPr>
              <w:spacing w:after="180"/>
              <w:ind w:left="28"/>
            </w:pPr>
            <w:r>
              <w:t>В ходе консультаций эксперта по оценке первоочередное внимание уделялось непосредственным поводам для беспокойства заинтересованных сторон или их впечатлениям от анализируемого проекта.  На первых этапах промежуточной стадии эксперт по оценке, проконсультировавшись с группой управления оценкой и руководителем проекта, уточнила общий перечень заинтересованных сторон для проведения консультаций и определила очередность собеседований.  На основе всех консультаций с заинтересованными сторонами были составлены конкретные элементы матрицы оценки (критерии вынесения оценки и индикаторы).</w:t>
            </w:r>
          </w:p>
          <w:p w14:paraId="2ED61A53" w14:textId="3E60D147" w:rsidR="00DC2695" w:rsidRDefault="00DC2695" w:rsidP="00741DCA">
            <w:pPr>
              <w:spacing w:after="180"/>
              <w:ind w:left="28"/>
            </w:pPr>
            <w:r>
              <w:t>Консультации на промежуточной стадии были направлены на получение сведений о практической стороне проекта, исходя из элементов в матрице оценки.  Со всеми выбранными заинтересованными сторонами были проведены полуструктурированные собеседования онлайн.</w:t>
            </w:r>
          </w:p>
          <w:p w14:paraId="7240C710" w14:textId="06A2B237" w:rsidR="00DC2695" w:rsidRPr="003B64F1" w:rsidRDefault="00DC2695" w:rsidP="00741DCA">
            <w:pPr>
              <w:spacing w:after="180"/>
              <w:ind w:left="28"/>
            </w:pPr>
            <w:r>
              <w:t xml:space="preserve">Учитывая характеристики проекта, из перечня применяемых методов оценки были исключены следующие: i) онлайн-опрос; ii) работа на местах; iii) проведение анализа практической значимости, т.к. воздействие не входило в перечень рассматриваемых критериев; и iv) любые методы, требующие погружения в жизненный опыт людей, а не в организационные или </w:t>
            </w:r>
            <w:r>
              <w:lastRenderedPageBreak/>
              <w:t>структурные элементы, поскольку первое не являлось задачей данной оценки.</w:t>
            </w:r>
          </w:p>
        </w:tc>
      </w:tr>
    </w:tbl>
    <w:p w14:paraId="467B3CDD" w14:textId="699FE951" w:rsidR="00C573D7" w:rsidRPr="00C573D7" w:rsidRDefault="00C573D7" w:rsidP="00E36DE8">
      <w:pPr>
        <w:numPr>
          <w:ilvl w:val="0"/>
          <w:numId w:val="13"/>
        </w:numPr>
        <w:spacing w:before="240" w:after="240" w:line="276" w:lineRule="auto"/>
        <w:ind w:left="432"/>
        <w:rPr>
          <w:rFonts w:eastAsia="Times New Roman"/>
          <w:szCs w:val="22"/>
        </w:rPr>
      </w:pPr>
      <w:r>
        <w:rPr>
          <w:color w:val="000000" w:themeColor="text1"/>
        </w:rPr>
        <w:lastRenderedPageBreak/>
        <w:t>В целом представителей опрошенных заинтересованных сторон можно отнести к одной из категорий, представленных в таблице 3.</w:t>
      </w:r>
    </w:p>
    <w:tbl>
      <w:tblPr>
        <w:tblStyle w:val="TableGrid"/>
        <w:tblW w:w="0" w:type="auto"/>
        <w:tblInd w:w="426" w:type="dxa"/>
        <w:tblLook w:val="04A0" w:firstRow="1" w:lastRow="0" w:firstColumn="1" w:lastColumn="0" w:noHBand="0" w:noVBand="1"/>
        <w:tblCaption w:val="Таблица 3. Категории опрошенных заинтересованных сторон"/>
        <w:tblDescription w:val="Таблица 3. Категории опрошенных заинтересованных сторон"/>
      </w:tblPr>
      <w:tblGrid>
        <w:gridCol w:w="4459"/>
        <w:gridCol w:w="4460"/>
      </w:tblGrid>
      <w:tr w:rsidR="00C573D7" w14:paraId="46FDBA89" w14:textId="77777777" w:rsidTr="00E36DE8">
        <w:trPr>
          <w:tblHeader/>
        </w:trPr>
        <w:tc>
          <w:tcPr>
            <w:tcW w:w="8919" w:type="dxa"/>
            <w:gridSpan w:val="2"/>
          </w:tcPr>
          <w:p w14:paraId="7150E212" w14:textId="431E61E1" w:rsidR="00C573D7" w:rsidRDefault="00C573D7" w:rsidP="00C573D7">
            <w:pPr>
              <w:spacing w:before="120" w:after="120" w:line="276" w:lineRule="auto"/>
              <w:contextualSpacing/>
              <w:rPr>
                <w:rFonts w:eastAsia="Times New Roman"/>
              </w:rPr>
            </w:pPr>
            <w:r>
              <w:rPr>
                <w:b/>
                <w:i/>
              </w:rPr>
              <w:t>Таблица 3. Категории опрошенных заинтересованных сторон</w:t>
            </w:r>
          </w:p>
        </w:tc>
      </w:tr>
      <w:tr w:rsidR="00C573D7" w14:paraId="08408A0B" w14:textId="77777777" w:rsidTr="00C573D7">
        <w:tc>
          <w:tcPr>
            <w:tcW w:w="4459" w:type="dxa"/>
          </w:tcPr>
          <w:p w14:paraId="0EE9E620" w14:textId="762D67CF" w:rsidR="00C573D7" w:rsidRPr="00CB13D4" w:rsidRDefault="00CB13D4" w:rsidP="00C573D7">
            <w:pPr>
              <w:spacing w:before="120" w:after="120" w:line="276" w:lineRule="auto"/>
              <w:contextualSpacing/>
              <w:rPr>
                <w:rFonts w:eastAsia="Times New Roman"/>
                <w:i/>
              </w:rPr>
            </w:pPr>
            <w:r>
              <w:rPr>
                <w:i/>
              </w:rPr>
              <w:t>Сотрудники ВОИС</w:t>
            </w:r>
          </w:p>
        </w:tc>
        <w:tc>
          <w:tcPr>
            <w:tcW w:w="4460" w:type="dxa"/>
          </w:tcPr>
          <w:p w14:paraId="3E2E109F" w14:textId="4AAD9B64" w:rsidR="00C573D7" w:rsidRDefault="00CB13D4" w:rsidP="00741DCA">
            <w:pPr>
              <w:spacing w:before="120" w:after="120"/>
              <w:contextualSpacing/>
              <w:rPr>
                <w:rFonts w:eastAsia="Times New Roman"/>
              </w:rPr>
            </w:pPr>
            <w:r>
              <w:t>Сюда относятся представители ВОИС, в какое-либо время имевшие отношение к проекту, в том числе сотрудники ОКПДР.</w:t>
            </w:r>
          </w:p>
        </w:tc>
      </w:tr>
      <w:tr w:rsidR="00C573D7" w14:paraId="42FA0144" w14:textId="77777777" w:rsidTr="00C573D7">
        <w:tc>
          <w:tcPr>
            <w:tcW w:w="4459" w:type="dxa"/>
          </w:tcPr>
          <w:p w14:paraId="2EFC7927" w14:textId="4B7BE436" w:rsidR="00C573D7" w:rsidRPr="00CB13D4" w:rsidRDefault="00CB13D4" w:rsidP="00C573D7">
            <w:pPr>
              <w:spacing w:before="120" w:after="120" w:line="276" w:lineRule="auto"/>
              <w:contextualSpacing/>
              <w:rPr>
                <w:rFonts w:eastAsia="Times New Roman"/>
                <w:i/>
              </w:rPr>
            </w:pPr>
            <w:r>
              <w:rPr>
                <w:i/>
              </w:rPr>
              <w:t>Координаторы из стран-бенефициаров</w:t>
            </w:r>
          </w:p>
        </w:tc>
        <w:tc>
          <w:tcPr>
            <w:tcW w:w="4460" w:type="dxa"/>
          </w:tcPr>
          <w:p w14:paraId="26C086A4" w14:textId="311A8716" w:rsidR="00C573D7" w:rsidRDefault="00CB13D4" w:rsidP="00741DCA">
            <w:pPr>
              <w:spacing w:before="120" w:after="120"/>
              <w:contextualSpacing/>
              <w:rPr>
                <w:rFonts w:eastAsia="Times New Roman"/>
              </w:rPr>
            </w:pPr>
            <w:r>
              <w:t>Сюда относятся представители стран из министерств, государственных секретариатов, подразделений и/или департаментов, связанных с ИС и туризмом, выступавшие в качестве координаторов в странах, где проводилась реализация проекта, и поддерживавшие контакт со штаб-квартирой ВОИС.</w:t>
            </w:r>
          </w:p>
        </w:tc>
      </w:tr>
      <w:tr w:rsidR="00C573D7" w14:paraId="28A305ED" w14:textId="77777777" w:rsidTr="00C573D7">
        <w:tc>
          <w:tcPr>
            <w:tcW w:w="4459" w:type="dxa"/>
          </w:tcPr>
          <w:p w14:paraId="0C0F76AE" w14:textId="2482D76B" w:rsidR="00C573D7" w:rsidRPr="00CB13D4" w:rsidRDefault="00CB13D4" w:rsidP="00C573D7">
            <w:pPr>
              <w:spacing w:before="120" w:after="120" w:line="276" w:lineRule="auto"/>
              <w:contextualSpacing/>
              <w:rPr>
                <w:rFonts w:eastAsia="Times New Roman"/>
                <w:i/>
              </w:rPr>
            </w:pPr>
            <w:r>
              <w:rPr>
                <w:i/>
              </w:rPr>
              <w:t>Государства-члены</w:t>
            </w:r>
          </w:p>
        </w:tc>
        <w:tc>
          <w:tcPr>
            <w:tcW w:w="4460" w:type="dxa"/>
          </w:tcPr>
          <w:p w14:paraId="4848B70B" w14:textId="1D9F923C" w:rsidR="00C573D7" w:rsidRDefault="00CB13D4" w:rsidP="00741DCA">
            <w:pPr>
              <w:spacing w:before="120" w:after="120"/>
              <w:contextualSpacing/>
              <w:rPr>
                <w:rFonts w:eastAsia="Times New Roman"/>
              </w:rPr>
            </w:pPr>
            <w:r>
              <w:t>Сюда относятся координаторы групп по каждой географической области реализации проекта, а именно Латинской Америки и стран Карибского бассейна; Арабских стран; и Азиатско-Тихоокеанских стран.</w:t>
            </w:r>
          </w:p>
        </w:tc>
      </w:tr>
      <w:tr w:rsidR="00C573D7" w14:paraId="23D3AFCB" w14:textId="77777777" w:rsidTr="00C573D7">
        <w:tc>
          <w:tcPr>
            <w:tcW w:w="4459" w:type="dxa"/>
          </w:tcPr>
          <w:p w14:paraId="11272247" w14:textId="28358DD6" w:rsidR="00C573D7" w:rsidRPr="00CB13D4" w:rsidRDefault="00CB13D4" w:rsidP="00C573D7">
            <w:pPr>
              <w:spacing w:before="120" w:after="120" w:line="276" w:lineRule="auto"/>
              <w:contextualSpacing/>
              <w:rPr>
                <w:rFonts w:eastAsia="Times New Roman"/>
                <w:i/>
              </w:rPr>
            </w:pPr>
            <w:r>
              <w:rPr>
                <w:i/>
              </w:rPr>
              <w:t>Внешние заинтересованные стороны</w:t>
            </w:r>
          </w:p>
        </w:tc>
        <w:tc>
          <w:tcPr>
            <w:tcW w:w="4460" w:type="dxa"/>
          </w:tcPr>
          <w:p w14:paraId="255AB4B8" w14:textId="01F24196" w:rsidR="00C573D7" w:rsidRDefault="00CB13D4" w:rsidP="00741DCA">
            <w:pPr>
              <w:spacing w:before="120" w:after="120"/>
              <w:contextualSpacing/>
              <w:rPr>
                <w:rFonts w:eastAsia="Times New Roman"/>
              </w:rPr>
            </w:pPr>
            <w:r>
              <w:t>Сюда относятся в основном различные консультанты, которые работали над проектом и составили итоговые документы, а именно обзорное исследование и анализ ИС, отнесенные к результатам проекта.</w:t>
            </w:r>
          </w:p>
        </w:tc>
      </w:tr>
    </w:tbl>
    <w:p w14:paraId="2A56BADC" w14:textId="623A0E91" w:rsidR="00FB0B61" w:rsidRPr="00FB0B61" w:rsidRDefault="002A7A16" w:rsidP="00741DCA">
      <w:pPr>
        <w:numPr>
          <w:ilvl w:val="0"/>
          <w:numId w:val="13"/>
        </w:numPr>
        <w:spacing w:before="240" w:after="240"/>
        <w:ind w:left="432"/>
        <w:rPr>
          <w:rFonts w:eastAsia="Times New Roman"/>
          <w:szCs w:val="22"/>
        </w:rPr>
      </w:pPr>
      <w:r>
        <w:t xml:space="preserve">Эксперт по оценке в сумме рассмотрела более 20 документов, изначально предоставленных ОКПДР и руководителем проекта ВОИС, а также другие документы, полученные самостоятельно и перечисленные в дополнении III.  Было проведено 25 собеседований онлайн на различных платформах. 15 респондентов были женщинами, 10 мужчинами. </w:t>
      </w:r>
    </w:p>
    <w:p w14:paraId="0D29229C" w14:textId="6F02D8A9" w:rsidR="00E5091C" w:rsidRPr="00E36DE8" w:rsidRDefault="002A7A16" w:rsidP="00741DCA">
      <w:pPr>
        <w:numPr>
          <w:ilvl w:val="0"/>
          <w:numId w:val="13"/>
        </w:numPr>
        <w:spacing w:after="120"/>
        <w:ind w:left="432"/>
        <w:rPr>
          <w:rFonts w:eastAsia="Times New Roman"/>
          <w:szCs w:val="22"/>
        </w:rPr>
      </w:pPr>
      <w:r>
        <w:t xml:space="preserve">Хотя итоговое число опрошенных не отличалось от первоначального плана, следует отметить, что было опрошено два человека, изначально не включенных в перечень респондентов и добавленных по предложению одного из координаторов.  Кроме того, для проведения собеседований было предварительно выбрано еще два человека, отказавшихся от участия, по их словам, в связи с малыми познаниями или ограниченным участием в проекте.  Окончательное число респондентов осталось неизменным, однако в опросе приняли участие люди с другими ролями и обязанностями по реализации проекта. </w:t>
      </w:r>
    </w:p>
    <w:p w14:paraId="025B9EB8" w14:textId="77777777" w:rsidR="00E36DE8" w:rsidRPr="00741DCA" w:rsidRDefault="00E36DE8" w:rsidP="00E36DE8">
      <w:pPr>
        <w:spacing w:after="120" w:line="276" w:lineRule="auto"/>
        <w:ind w:left="432"/>
        <w:rPr>
          <w:rFonts w:eastAsia="Times New Roman"/>
          <w:szCs w:val="22"/>
        </w:rPr>
        <w:sectPr w:rsidR="00E36DE8" w:rsidRPr="00741DCA" w:rsidSect="001C6C01">
          <w:headerReference w:type="default" r:id="rId16"/>
          <w:headerReference w:type="first" r:id="rId17"/>
          <w:endnotePr>
            <w:numFmt w:val="decimal"/>
          </w:endnotePr>
          <w:pgSz w:w="11907" w:h="16840" w:code="9"/>
          <w:pgMar w:top="567" w:right="1134" w:bottom="1079" w:left="1418" w:header="510" w:footer="1021" w:gutter="0"/>
          <w:pgNumType w:start="2"/>
          <w:cols w:space="720"/>
          <w:titlePg/>
          <w:docGrid w:linePitch="299"/>
        </w:sectPr>
      </w:pPr>
    </w:p>
    <w:p w14:paraId="01FEDC51" w14:textId="6FE669FF" w:rsidR="00D941D2" w:rsidRPr="002105F6" w:rsidRDefault="002A7A16" w:rsidP="002105F6">
      <w:pPr>
        <w:ind w:left="720"/>
        <w:contextualSpacing/>
        <w:rPr>
          <w:rFonts w:eastAsia="Times New Roman"/>
          <w:i/>
          <w:iCs/>
          <w:szCs w:val="22"/>
        </w:rPr>
      </w:pPr>
      <w:r>
        <w:rPr>
          <w:b/>
          <w:i/>
        </w:rPr>
        <w:lastRenderedPageBreak/>
        <w:t>Таблица 4. Подробная информация о ключевых респондентах на этапе собеседований</w:t>
      </w:r>
    </w:p>
    <w:tbl>
      <w:tblPr>
        <w:tblStyle w:val="TableGrid1"/>
        <w:tblW w:w="0" w:type="auto"/>
        <w:tblInd w:w="720" w:type="dxa"/>
        <w:tblLook w:val="04A0" w:firstRow="1" w:lastRow="0" w:firstColumn="1" w:lastColumn="0" w:noHBand="0" w:noVBand="1"/>
        <w:tblCaption w:val="Таблица 4. Подробная информация о ключевых респондентах на этапе собеседований"/>
        <w:tblDescription w:val="Таблица 4. Подробная информация о ключевых респондентах на этапе собеседований"/>
      </w:tblPr>
      <w:tblGrid>
        <w:gridCol w:w="5371"/>
        <w:gridCol w:w="1312"/>
        <w:gridCol w:w="1262"/>
      </w:tblGrid>
      <w:tr w:rsidR="002105F6" w:rsidRPr="002105F6" w14:paraId="59E33AB8" w14:textId="77777777" w:rsidTr="00E36DE8">
        <w:trPr>
          <w:tblHeader/>
        </w:trPr>
        <w:tc>
          <w:tcPr>
            <w:tcW w:w="5371" w:type="dxa"/>
            <w:shd w:val="clear" w:color="auto" w:fill="D9E2F3"/>
          </w:tcPr>
          <w:p w14:paraId="62AA5F97" w14:textId="6C51234C" w:rsidR="002105F6" w:rsidRPr="002105F6" w:rsidRDefault="002105F6" w:rsidP="002105F6">
            <w:pPr>
              <w:contextualSpacing/>
              <w:jc w:val="center"/>
              <w:rPr>
                <w:rFonts w:eastAsia="Times New Roman"/>
                <w:b/>
                <w:bCs/>
                <w:szCs w:val="22"/>
              </w:rPr>
            </w:pPr>
            <w:r>
              <w:rPr>
                <w:b/>
              </w:rPr>
              <w:t>Ключевые респонденты для собеседований (КРС)</w:t>
            </w:r>
          </w:p>
        </w:tc>
        <w:tc>
          <w:tcPr>
            <w:tcW w:w="1275" w:type="dxa"/>
            <w:shd w:val="clear" w:color="auto" w:fill="D9E2F3"/>
          </w:tcPr>
          <w:p w14:paraId="3D221DFE" w14:textId="77777777" w:rsidR="002105F6" w:rsidRPr="002105F6" w:rsidRDefault="002105F6" w:rsidP="002105F6">
            <w:pPr>
              <w:contextualSpacing/>
              <w:jc w:val="center"/>
              <w:rPr>
                <w:rFonts w:eastAsia="Times New Roman"/>
                <w:b/>
                <w:bCs/>
                <w:szCs w:val="22"/>
              </w:rPr>
            </w:pPr>
            <w:r>
              <w:rPr>
                <w:b/>
              </w:rPr>
              <w:t>Женщины</w:t>
            </w:r>
          </w:p>
        </w:tc>
        <w:tc>
          <w:tcPr>
            <w:tcW w:w="1122" w:type="dxa"/>
            <w:shd w:val="clear" w:color="auto" w:fill="D9E2F3"/>
          </w:tcPr>
          <w:p w14:paraId="60E55B0F" w14:textId="77777777" w:rsidR="002105F6" w:rsidRPr="002105F6" w:rsidRDefault="002105F6" w:rsidP="002105F6">
            <w:pPr>
              <w:contextualSpacing/>
              <w:jc w:val="center"/>
              <w:rPr>
                <w:rFonts w:eastAsia="Times New Roman"/>
                <w:b/>
                <w:bCs/>
                <w:szCs w:val="22"/>
              </w:rPr>
            </w:pPr>
            <w:r>
              <w:rPr>
                <w:b/>
              </w:rPr>
              <w:t>Мужчины</w:t>
            </w:r>
          </w:p>
        </w:tc>
      </w:tr>
      <w:tr w:rsidR="002105F6" w:rsidRPr="002105F6" w14:paraId="64CFCDC1" w14:textId="77777777" w:rsidTr="00965DB8">
        <w:tc>
          <w:tcPr>
            <w:tcW w:w="5371" w:type="dxa"/>
          </w:tcPr>
          <w:p w14:paraId="7D5090BD" w14:textId="77777777" w:rsidR="002105F6" w:rsidRPr="002105F6" w:rsidRDefault="002105F6" w:rsidP="002105F6">
            <w:pPr>
              <w:contextualSpacing/>
              <w:jc w:val="both"/>
              <w:rPr>
                <w:rFonts w:eastAsia="Times New Roman"/>
                <w:szCs w:val="22"/>
              </w:rPr>
            </w:pPr>
            <w:r>
              <w:t>Сотрудники ВОИС</w:t>
            </w:r>
          </w:p>
        </w:tc>
        <w:tc>
          <w:tcPr>
            <w:tcW w:w="1275" w:type="dxa"/>
            <w:vAlign w:val="center"/>
          </w:tcPr>
          <w:p w14:paraId="16CD9215" w14:textId="40D72FD1" w:rsidR="002105F6" w:rsidRPr="002105F6" w:rsidRDefault="002A7A16" w:rsidP="002105F6">
            <w:pPr>
              <w:contextualSpacing/>
              <w:jc w:val="center"/>
              <w:rPr>
                <w:rFonts w:eastAsia="Times New Roman"/>
                <w:szCs w:val="22"/>
              </w:rPr>
            </w:pPr>
            <w:r>
              <w:t>5</w:t>
            </w:r>
          </w:p>
        </w:tc>
        <w:tc>
          <w:tcPr>
            <w:tcW w:w="1122" w:type="dxa"/>
            <w:vAlign w:val="center"/>
          </w:tcPr>
          <w:p w14:paraId="6769E700" w14:textId="2913EA8C" w:rsidR="002105F6" w:rsidRPr="002105F6" w:rsidRDefault="002A7A16" w:rsidP="002105F6">
            <w:pPr>
              <w:contextualSpacing/>
              <w:jc w:val="center"/>
              <w:rPr>
                <w:rFonts w:eastAsia="Times New Roman"/>
                <w:szCs w:val="22"/>
              </w:rPr>
            </w:pPr>
            <w:r>
              <w:t>4</w:t>
            </w:r>
          </w:p>
        </w:tc>
      </w:tr>
      <w:tr w:rsidR="002105F6" w:rsidRPr="002105F6" w14:paraId="494AA023" w14:textId="77777777" w:rsidTr="00965DB8">
        <w:tc>
          <w:tcPr>
            <w:tcW w:w="5371" w:type="dxa"/>
          </w:tcPr>
          <w:p w14:paraId="13154E64" w14:textId="1107E9D0" w:rsidR="002105F6" w:rsidRPr="002105F6" w:rsidRDefault="002105F6" w:rsidP="009466BE">
            <w:pPr>
              <w:contextualSpacing/>
              <w:rPr>
                <w:rFonts w:eastAsia="Times New Roman"/>
                <w:szCs w:val="22"/>
              </w:rPr>
            </w:pPr>
            <w:r>
              <w:t>Координаторы проекта ПДР по ИС и гастрономическому туризму</w:t>
            </w:r>
          </w:p>
        </w:tc>
        <w:tc>
          <w:tcPr>
            <w:tcW w:w="1275" w:type="dxa"/>
            <w:vAlign w:val="center"/>
          </w:tcPr>
          <w:p w14:paraId="336D0DAC" w14:textId="50C7FD59" w:rsidR="002105F6" w:rsidRPr="002105F6" w:rsidRDefault="002A7A16" w:rsidP="002105F6">
            <w:pPr>
              <w:contextualSpacing/>
              <w:jc w:val="center"/>
              <w:rPr>
                <w:rFonts w:eastAsia="Times New Roman"/>
                <w:szCs w:val="22"/>
              </w:rPr>
            </w:pPr>
            <w:r>
              <w:t>6</w:t>
            </w:r>
          </w:p>
        </w:tc>
        <w:tc>
          <w:tcPr>
            <w:tcW w:w="1122" w:type="dxa"/>
            <w:vAlign w:val="center"/>
          </w:tcPr>
          <w:p w14:paraId="79B253ED" w14:textId="77777777" w:rsidR="002105F6" w:rsidRPr="002105F6" w:rsidRDefault="002105F6" w:rsidP="002105F6">
            <w:pPr>
              <w:contextualSpacing/>
              <w:jc w:val="center"/>
              <w:rPr>
                <w:rFonts w:eastAsia="Times New Roman"/>
                <w:szCs w:val="22"/>
              </w:rPr>
            </w:pPr>
            <w:r>
              <w:t>3</w:t>
            </w:r>
          </w:p>
        </w:tc>
      </w:tr>
      <w:tr w:rsidR="002105F6" w:rsidRPr="002105F6" w14:paraId="745169FC" w14:textId="77777777" w:rsidTr="00965DB8">
        <w:tc>
          <w:tcPr>
            <w:tcW w:w="5371" w:type="dxa"/>
          </w:tcPr>
          <w:p w14:paraId="4EEE2E10" w14:textId="77777777" w:rsidR="002105F6" w:rsidRPr="002105F6" w:rsidRDefault="002105F6" w:rsidP="00FC19E6">
            <w:pPr>
              <w:contextualSpacing/>
              <w:rPr>
                <w:rFonts w:eastAsia="Times New Roman"/>
                <w:szCs w:val="22"/>
              </w:rPr>
            </w:pPr>
            <w:r>
              <w:t>Внешние заинтересованные стороны (эксперты и бенефициары проекта)</w:t>
            </w:r>
          </w:p>
        </w:tc>
        <w:tc>
          <w:tcPr>
            <w:tcW w:w="1275" w:type="dxa"/>
            <w:vAlign w:val="center"/>
          </w:tcPr>
          <w:p w14:paraId="226A035E" w14:textId="77777777" w:rsidR="002105F6" w:rsidRPr="002105F6" w:rsidRDefault="002105F6" w:rsidP="002105F6">
            <w:pPr>
              <w:contextualSpacing/>
              <w:jc w:val="center"/>
              <w:rPr>
                <w:rFonts w:eastAsia="Times New Roman"/>
                <w:szCs w:val="22"/>
              </w:rPr>
            </w:pPr>
            <w:r>
              <w:t>4</w:t>
            </w:r>
          </w:p>
        </w:tc>
        <w:tc>
          <w:tcPr>
            <w:tcW w:w="1122" w:type="dxa"/>
            <w:vAlign w:val="center"/>
          </w:tcPr>
          <w:p w14:paraId="580FE1AC" w14:textId="6A086546" w:rsidR="002105F6" w:rsidRPr="002105F6" w:rsidRDefault="002A7A16" w:rsidP="002105F6">
            <w:pPr>
              <w:contextualSpacing/>
              <w:jc w:val="center"/>
              <w:rPr>
                <w:rFonts w:eastAsia="Times New Roman"/>
                <w:szCs w:val="22"/>
              </w:rPr>
            </w:pPr>
            <w:r>
              <w:t>1</w:t>
            </w:r>
          </w:p>
        </w:tc>
      </w:tr>
      <w:tr w:rsidR="002105F6" w:rsidRPr="002105F6" w14:paraId="3DA55B95" w14:textId="77777777" w:rsidTr="00965DB8">
        <w:tc>
          <w:tcPr>
            <w:tcW w:w="5371" w:type="dxa"/>
          </w:tcPr>
          <w:p w14:paraId="725BD4F7" w14:textId="77777777" w:rsidR="002105F6" w:rsidRPr="002105F6" w:rsidRDefault="002105F6" w:rsidP="00FC19E6">
            <w:pPr>
              <w:contextualSpacing/>
              <w:rPr>
                <w:rFonts w:eastAsia="Times New Roman"/>
                <w:szCs w:val="22"/>
              </w:rPr>
            </w:pPr>
            <w:r>
              <w:t>Постоянные представительства</w:t>
            </w:r>
          </w:p>
        </w:tc>
        <w:tc>
          <w:tcPr>
            <w:tcW w:w="1275" w:type="dxa"/>
            <w:vAlign w:val="center"/>
          </w:tcPr>
          <w:p w14:paraId="480601A3" w14:textId="39755756" w:rsidR="002105F6" w:rsidRPr="002105F6" w:rsidRDefault="002A7A16" w:rsidP="002105F6">
            <w:pPr>
              <w:contextualSpacing/>
              <w:jc w:val="center"/>
              <w:rPr>
                <w:rFonts w:eastAsia="Times New Roman"/>
                <w:szCs w:val="22"/>
              </w:rPr>
            </w:pPr>
            <w:r>
              <w:t>0</w:t>
            </w:r>
          </w:p>
        </w:tc>
        <w:tc>
          <w:tcPr>
            <w:tcW w:w="1122" w:type="dxa"/>
            <w:vAlign w:val="center"/>
          </w:tcPr>
          <w:p w14:paraId="2979B870" w14:textId="32B03534" w:rsidR="002105F6" w:rsidRPr="002105F6" w:rsidRDefault="002A7A16" w:rsidP="002105F6">
            <w:pPr>
              <w:contextualSpacing/>
              <w:jc w:val="center"/>
              <w:rPr>
                <w:rFonts w:eastAsia="Times New Roman"/>
                <w:szCs w:val="22"/>
              </w:rPr>
            </w:pPr>
            <w:r>
              <w:t>2</w:t>
            </w:r>
          </w:p>
        </w:tc>
      </w:tr>
      <w:tr w:rsidR="005D233F" w:rsidRPr="002105F6" w14:paraId="139E3485" w14:textId="77777777" w:rsidTr="005D233F">
        <w:trPr>
          <w:trHeight w:val="242"/>
        </w:trPr>
        <w:tc>
          <w:tcPr>
            <w:tcW w:w="5371" w:type="dxa"/>
            <w:vMerge w:val="restart"/>
            <w:shd w:val="clear" w:color="auto" w:fill="D9E2F3"/>
            <w:vAlign w:val="center"/>
          </w:tcPr>
          <w:p w14:paraId="0BB73421" w14:textId="77777777" w:rsidR="005D233F" w:rsidRPr="002105F6" w:rsidRDefault="005D233F" w:rsidP="002105F6">
            <w:pPr>
              <w:contextualSpacing/>
              <w:jc w:val="center"/>
              <w:rPr>
                <w:rFonts w:eastAsia="Times New Roman"/>
                <w:szCs w:val="22"/>
              </w:rPr>
            </w:pPr>
            <w:r>
              <w:t>Итого</w:t>
            </w:r>
          </w:p>
        </w:tc>
        <w:tc>
          <w:tcPr>
            <w:tcW w:w="1275" w:type="dxa"/>
            <w:shd w:val="clear" w:color="auto" w:fill="D9E2F3"/>
            <w:vAlign w:val="center"/>
          </w:tcPr>
          <w:p w14:paraId="0E579708" w14:textId="49A48DAC" w:rsidR="005D233F" w:rsidRPr="002105F6" w:rsidRDefault="005D233F" w:rsidP="002105F6">
            <w:pPr>
              <w:contextualSpacing/>
              <w:jc w:val="center"/>
              <w:rPr>
                <w:rFonts w:eastAsia="Times New Roman"/>
                <w:szCs w:val="22"/>
              </w:rPr>
            </w:pPr>
            <w:r>
              <w:t>15</w:t>
            </w:r>
          </w:p>
        </w:tc>
        <w:tc>
          <w:tcPr>
            <w:tcW w:w="1122" w:type="dxa"/>
            <w:shd w:val="clear" w:color="auto" w:fill="D9E2F3"/>
            <w:vAlign w:val="center"/>
          </w:tcPr>
          <w:p w14:paraId="5149B47E" w14:textId="2BAB52F1" w:rsidR="005D233F" w:rsidRPr="002105F6" w:rsidRDefault="005D233F" w:rsidP="002105F6">
            <w:pPr>
              <w:contextualSpacing/>
              <w:jc w:val="center"/>
              <w:rPr>
                <w:rFonts w:eastAsia="Times New Roman"/>
                <w:szCs w:val="22"/>
              </w:rPr>
            </w:pPr>
            <w:r>
              <w:t>10</w:t>
            </w:r>
          </w:p>
        </w:tc>
      </w:tr>
      <w:tr w:rsidR="002105F6" w:rsidRPr="002105F6" w14:paraId="4388EA3D" w14:textId="77777777" w:rsidTr="002105F6">
        <w:tc>
          <w:tcPr>
            <w:tcW w:w="5371" w:type="dxa"/>
            <w:vMerge/>
            <w:shd w:val="clear" w:color="auto" w:fill="D9E2F3"/>
          </w:tcPr>
          <w:p w14:paraId="375197A0" w14:textId="77777777" w:rsidR="002105F6" w:rsidRPr="002105F6" w:rsidRDefault="002105F6" w:rsidP="002105F6">
            <w:pPr>
              <w:contextualSpacing/>
              <w:jc w:val="both"/>
              <w:rPr>
                <w:rFonts w:eastAsia="Times New Roman"/>
                <w:szCs w:val="22"/>
                <w:lang w:val="en-GB" w:eastAsia="en-US"/>
              </w:rPr>
            </w:pPr>
          </w:p>
        </w:tc>
        <w:tc>
          <w:tcPr>
            <w:tcW w:w="2397" w:type="dxa"/>
            <w:gridSpan w:val="2"/>
            <w:shd w:val="clear" w:color="auto" w:fill="D9E2F3"/>
            <w:vAlign w:val="center"/>
          </w:tcPr>
          <w:p w14:paraId="5032AFA3" w14:textId="77777777" w:rsidR="002105F6" w:rsidRPr="002105F6" w:rsidRDefault="002105F6" w:rsidP="002105F6">
            <w:pPr>
              <w:contextualSpacing/>
              <w:jc w:val="center"/>
              <w:rPr>
                <w:rFonts w:eastAsia="Times New Roman"/>
                <w:szCs w:val="22"/>
              </w:rPr>
            </w:pPr>
            <w:r>
              <w:t>25</w:t>
            </w:r>
          </w:p>
        </w:tc>
      </w:tr>
    </w:tbl>
    <w:p w14:paraId="3C2219BF" w14:textId="114D54EE" w:rsidR="002105F6" w:rsidRPr="00CF510D" w:rsidRDefault="002A7A16" w:rsidP="00E36DE8">
      <w:pPr>
        <w:pStyle w:val="ListParagraph"/>
        <w:numPr>
          <w:ilvl w:val="0"/>
          <w:numId w:val="13"/>
        </w:numPr>
        <w:spacing w:before="240" w:after="240"/>
        <w:contextualSpacing w:val="0"/>
      </w:pPr>
      <w:r>
        <w:t>Все КРС были специально отобраны с учетом их опыта, вовлеченности и участия в процессе разработки проекта, их деятельности по управлению проектом и реализации проекта, либо их принадлежности к отделу или секции, которые имеют отношение к проводимому процессу оценки.  Возможность проявления предвзятости при отборе кандидатов для проведения собеседований с ключевыми респондентами была ограничена благодаря тому, что одни и те же вопросы задавались по-разному, а ответы на них были проанализированы для триангуляции последовательности ответов.</w:t>
      </w:r>
    </w:p>
    <w:p w14:paraId="2B42F9A6" w14:textId="097C17CC" w:rsidR="002105F6" w:rsidRPr="00F77F33" w:rsidRDefault="00CF510D" w:rsidP="00F77F33">
      <w:pPr>
        <w:pStyle w:val="ListParagraph"/>
        <w:keepNext/>
        <w:keepLines/>
        <w:spacing w:after="240"/>
        <w:ind w:left="360"/>
        <w:contextualSpacing w:val="0"/>
        <w:outlineLvl w:val="0"/>
        <w:rPr>
          <w:b/>
          <w:szCs w:val="22"/>
        </w:rPr>
      </w:pPr>
      <w:bookmarkStart w:id="22" w:name="_Toc129099344"/>
      <w:r>
        <w:rPr>
          <w:b/>
        </w:rPr>
        <w:t>Ограничения</w:t>
      </w:r>
      <w:bookmarkEnd w:id="22"/>
    </w:p>
    <w:p w14:paraId="3C2D345C" w14:textId="4964F0CE" w:rsidR="00CF510D" w:rsidRDefault="00CF510D" w:rsidP="00CF510D">
      <w:pPr>
        <w:pStyle w:val="ListParagraph"/>
        <w:numPr>
          <w:ilvl w:val="0"/>
          <w:numId w:val="13"/>
        </w:numPr>
        <w:spacing w:after="240"/>
        <w:contextualSpacing w:val="0"/>
      </w:pPr>
      <w:r>
        <w:t>В первоначальном отчете об оценке был описан ряд возможных рисков и ограничений, а также соответствующие стратегии снижения рисков.  Как и предполагалось, при проведении собеседований с основными заинтересованными сторонами возник ряд трудностей, в основном связанных с плохим доступом к Интернету.  В конечном итоге все собеседования удалось провести без серьезных проблем, за исключением одного (после нескольких безуспешных попыток пришлось направить вопросник по электронной почте и получить ответы в письменной форме).</w:t>
      </w:r>
    </w:p>
    <w:p w14:paraId="741181D0" w14:textId="2F0EDCBB" w:rsidR="002105F6" w:rsidRPr="00F77F33" w:rsidRDefault="00CF510D" w:rsidP="00F77F33">
      <w:pPr>
        <w:pStyle w:val="ListParagraph"/>
        <w:numPr>
          <w:ilvl w:val="0"/>
          <w:numId w:val="13"/>
        </w:numPr>
        <w:spacing w:after="240"/>
        <w:contextualSpacing w:val="0"/>
      </w:pPr>
      <w:r>
        <w:t>Основным ограничением стали сроки проведения собеседований, которые в основном проводились в середине января 2023 года, когда в некоторых странах-участницах был сезон праздников (Новый год по Лунному календарю в Малайзии и летний отпускной сезон в Перу).  В связи с этим некоторые собеседования пришлось перенести на более позднее время.  В преодолении этих трудностей большую роль сыграла поддержка группы управления оценкой.</w:t>
      </w:r>
    </w:p>
    <w:p w14:paraId="237D93CE" w14:textId="77689763" w:rsidR="002105F6" w:rsidRPr="00F77F33" w:rsidRDefault="002105F6" w:rsidP="00F77F33">
      <w:pPr>
        <w:keepNext/>
        <w:keepLines/>
        <w:spacing w:after="240"/>
        <w:outlineLvl w:val="0"/>
        <w:rPr>
          <w:rFonts w:eastAsia="Times New Roman"/>
          <w:b/>
          <w:szCs w:val="22"/>
        </w:rPr>
      </w:pPr>
      <w:bookmarkStart w:id="23" w:name="_Toc129099345"/>
      <w:r>
        <w:rPr>
          <w:b/>
        </w:rPr>
        <w:t>ВЫВОДЫ</w:t>
      </w:r>
      <w:bookmarkEnd w:id="23"/>
    </w:p>
    <w:p w14:paraId="338FAE87" w14:textId="60385E4E" w:rsidR="002105F6" w:rsidRPr="00F77F33" w:rsidRDefault="00CF510D" w:rsidP="00F77F33">
      <w:pPr>
        <w:keepNext/>
        <w:keepLines/>
        <w:spacing w:after="240"/>
        <w:outlineLvl w:val="1"/>
        <w:rPr>
          <w:rFonts w:eastAsia="Times New Roman"/>
          <w:b/>
          <w:szCs w:val="22"/>
        </w:rPr>
      </w:pPr>
      <w:bookmarkStart w:id="24" w:name="_Toc129099346"/>
      <w:r>
        <w:rPr>
          <w:b/>
        </w:rPr>
        <w:t>Разработка проекта и система управления проектом</w:t>
      </w:r>
      <w:bookmarkEnd w:id="24"/>
      <w:r>
        <w:rPr>
          <w:b/>
        </w:rPr>
        <w:t xml:space="preserve"> </w:t>
      </w:r>
    </w:p>
    <w:p w14:paraId="3CD2FB6B" w14:textId="18B3CA80" w:rsidR="002105F6" w:rsidRPr="00B32C82" w:rsidRDefault="00CF510D" w:rsidP="00B32C82">
      <w:pPr>
        <w:pStyle w:val="ListParagraph"/>
        <w:numPr>
          <w:ilvl w:val="0"/>
          <w:numId w:val="13"/>
        </w:numPr>
        <w:spacing w:after="240"/>
        <w:contextualSpacing w:val="0"/>
        <w:rPr>
          <w:rFonts w:cs="Arial"/>
          <w:b/>
          <w:szCs w:val="22"/>
        </w:rPr>
      </w:pPr>
      <w:r>
        <w:rPr>
          <w:b/>
        </w:rPr>
        <w:t xml:space="preserve">Историческая справка о разработке проекта.  </w:t>
      </w:r>
      <w:r>
        <w:t xml:space="preserve"> </w:t>
      </w:r>
      <w:r>
        <w:rPr>
          <w:color w:val="000000"/>
        </w:rPr>
        <w:t>Правительство Перу приняло решение проанализировать возможные выгоды использования ИС в сфере кулинарных традиций по двум основным причинам: (i) растущий интерес к гастрономическому туризму в Перу; и (ii) стремление создать условия, способствующие социально-экономическому развитию районов с туристическим потенциалом, привлечения инвестиций и создания базы для предложений в сфере ИС.</w:t>
      </w:r>
      <w:r>
        <w:t xml:space="preserve">  Оцениваемый проект был разработан в соответствии с нормами, установленными для проектов ПДР по предложению Национального института защиты конкуренции и охраны интеллектуальной собственности Перу (INDECOPI). </w:t>
      </w:r>
    </w:p>
    <w:p w14:paraId="0DA3DF6E" w14:textId="3B44C036" w:rsidR="00CF510D" w:rsidRPr="00066239" w:rsidRDefault="00CF510D" w:rsidP="00957ED9">
      <w:pPr>
        <w:pStyle w:val="ListParagraph"/>
        <w:numPr>
          <w:ilvl w:val="0"/>
          <w:numId w:val="13"/>
        </w:numPr>
        <w:spacing w:after="240"/>
        <w:contextualSpacing w:val="0"/>
        <w:rPr>
          <w:rFonts w:cs="Arial"/>
          <w:bCs/>
          <w:szCs w:val="22"/>
        </w:rPr>
      </w:pPr>
      <w:r>
        <w:rPr>
          <w:b/>
          <w:bCs/>
        </w:rPr>
        <w:lastRenderedPageBreak/>
        <w:t>Процесс разработки.</w:t>
      </w:r>
      <w:r>
        <w:t xml:space="preserve">  Разработка проходила в соответствии с 8 этапами реализации проекта ПДР</w:t>
      </w:r>
      <w:r w:rsidR="001851BB">
        <w:rPr>
          <w:rStyle w:val="FootnoteReference"/>
          <w:bCs/>
          <w:szCs w:val="22"/>
        </w:rPr>
        <w:footnoteReference w:id="4"/>
      </w:r>
      <w:r>
        <w:t>, установленными ВОИС.  ОКПДР давал указания по планированию проекта и способствовал определению бюджета и сроков проекта.  Руководитель проекта, впрочем, был назначен после утверждения проекта КРИС.  Из-за этого сначала возникли незначительные трудности с выделением средств на проект.</w:t>
      </w:r>
      <w:r>
        <w:rPr>
          <w:color w:val="FF0000"/>
        </w:rPr>
        <w:t xml:space="preserve">  </w:t>
      </w:r>
    </w:p>
    <w:p w14:paraId="4E176B8F" w14:textId="5B492164" w:rsidR="00066239" w:rsidRPr="00066239" w:rsidRDefault="00066239" w:rsidP="00066239">
      <w:pPr>
        <w:pStyle w:val="ListParagraph"/>
        <w:numPr>
          <w:ilvl w:val="0"/>
          <w:numId w:val="13"/>
        </w:numPr>
        <w:spacing w:after="240"/>
        <w:contextualSpacing w:val="0"/>
        <w:rPr>
          <w:rFonts w:cs="Arial"/>
          <w:szCs w:val="22"/>
        </w:rPr>
      </w:pPr>
      <w:r>
        <w:rPr>
          <w:b/>
        </w:rPr>
        <w:t>Актуальность первоначального проектного документа.</w:t>
      </w:r>
      <w:r>
        <w:t xml:space="preserve">  Заинтересованные стороны назвали данный проект интересным и трудным.  Он вызвал интерес со стороны государств-членов и был сочтен хорошим примером проекта ПДР, т.к. способствовал достижению многих целей ПДР (ценность, содействие развитию и т.д.).  Поддержка традиционных знаний и выражений культуры была крайне актуальной и способствовала повышению осведомленности о культурном и гастрономическом наследии, а также развитию туризма с помощью ИС.  Тема проекта (ИС и гастрономический туризм) является новаторской, а потому изначально вызвала некоторое недоверие относительно ожидаемых результатов и их восприятия бенефициарами.  В результате широкий охват проекта, первоначально представленного на КРИС, был сокращен; был выбран более скромный подход к отслеживанию, исследованию и изучению связи между ИС и гастрономическим туризмом.  </w:t>
      </w:r>
    </w:p>
    <w:p w14:paraId="47FB0CFE" w14:textId="3E873DBB" w:rsidR="00066239" w:rsidRPr="00066239" w:rsidRDefault="00066239" w:rsidP="00066239">
      <w:pPr>
        <w:numPr>
          <w:ilvl w:val="0"/>
          <w:numId w:val="13"/>
        </w:numPr>
        <w:spacing w:after="240"/>
        <w:ind w:left="432"/>
        <w:rPr>
          <w:rFonts w:eastAsia="Times New Roman"/>
          <w:szCs w:val="22"/>
        </w:rPr>
      </w:pPr>
      <w:r>
        <w:t>В целом данный проект ПДР по ИС и гастрономическому туризму доказал свою актуальность и гармонично дополнил другие инициативы ВОИС</w:t>
      </w:r>
      <w:r w:rsidR="005955A8">
        <w:rPr>
          <w:rStyle w:val="FootnoteReference"/>
        </w:rPr>
        <w:footnoteReference w:id="5"/>
      </w:r>
      <w:r>
        <w:t xml:space="preserve">. </w:t>
      </w:r>
    </w:p>
    <w:p w14:paraId="2F9F7559" w14:textId="2E0D793C" w:rsidR="005944B0" w:rsidRPr="005944B0" w:rsidRDefault="00066239" w:rsidP="005944B0">
      <w:pPr>
        <w:pStyle w:val="ListParagraph"/>
        <w:numPr>
          <w:ilvl w:val="0"/>
          <w:numId w:val="13"/>
        </w:numPr>
        <w:spacing w:after="240"/>
        <w:contextualSpacing w:val="0"/>
        <w:rPr>
          <w:rFonts w:cs="Arial"/>
          <w:szCs w:val="22"/>
        </w:rPr>
      </w:pPr>
      <w:r>
        <w:rPr>
          <w:b/>
          <w:bCs/>
        </w:rPr>
        <w:t>Управление проектом</w:t>
      </w:r>
      <w:r w:rsidR="000B0790">
        <w:rPr>
          <w:b/>
          <w:bCs/>
        </w:rPr>
        <w:t>.</w:t>
      </w:r>
      <w:r>
        <w:t xml:space="preserve">  Группа управления, для которой это был первый опыт работы с проектом ПДР, в ходе его реализации столкнулась с несколькими трудностями, особенно на начальной стадии.  Первая трудность была связана с определением ведомств, отвечающих за реализацию проекта в странах-бенефициарах.   Формирование национальных групп в трех странах-участницах и взаимодействие с этими группами сначала шло медленно и заняло больше времени, чем предполагалось.  Вторая трудность касалась ожиданий координаторов и потребности привести их ожидания в соответствие с процедурами ВОИС.  Все вышеперечисленные затруднения были преодолены благодаря тесному сотрудничеству и прекрасному пониманию, со временем возникшему между всеми сторонами, участвующими в реализации проекта. </w:t>
      </w:r>
    </w:p>
    <w:p w14:paraId="69D8A21D" w14:textId="4EA473AF" w:rsidR="005944B0" w:rsidRPr="005944B0" w:rsidRDefault="005944B0" w:rsidP="005944B0">
      <w:pPr>
        <w:numPr>
          <w:ilvl w:val="0"/>
          <w:numId w:val="13"/>
        </w:numPr>
        <w:spacing w:after="240"/>
        <w:ind w:left="432"/>
        <w:rPr>
          <w:rFonts w:eastAsia="Times New Roman"/>
          <w:szCs w:val="22"/>
        </w:rPr>
      </w:pPr>
      <w:r>
        <w:t>Три региональных отдела ВОИС сыграли активную роль в выстраивании эффективных каналов коммуникации между группой управления проектом в ВОИС и координационными группами на местах.  Советники из этих трех региональных отделов выполняли особо важную функцию на ранних этапах проекта, передавая информацию координационным группам на местах, мотивируя и вовлекая заинтересованные стороны в проект.   Заинтересованные стороны отметили, что интерес, ответственность и уровень вовлеченности росли по мере того, как их роль в проекте расширялась, а понимание вопроса улучшалось.</w:t>
      </w:r>
    </w:p>
    <w:p w14:paraId="421236BD" w14:textId="56E45786" w:rsidR="00066239" w:rsidRPr="00066239" w:rsidRDefault="00066239" w:rsidP="00535D72">
      <w:pPr>
        <w:numPr>
          <w:ilvl w:val="0"/>
          <w:numId w:val="13"/>
        </w:numPr>
        <w:spacing w:after="240"/>
        <w:ind w:left="432"/>
        <w:rPr>
          <w:rFonts w:eastAsia="Times New Roman"/>
          <w:szCs w:val="22"/>
        </w:rPr>
      </w:pPr>
      <w:r>
        <w:t xml:space="preserve">На реализацию проекта повлияла пандемия COVID-19.  Результаты и мероприятия планировались в очном формате, с поездками в регионы, составлением отчетов и проведением исследований лицом к лицу.  Однако данный подход пришлось изменить из-за ограничений на поездки, наложенных в связи пандемией.  Руководители проекта вовсе не пытались держаться за первоначальный план, а, </w:t>
      </w:r>
      <w:r>
        <w:lastRenderedPageBreak/>
        <w:t xml:space="preserve">напротив, продемонстрировали высокую чуткость и способность понимать новые события и обстоятельства и адаптироваться к ним.  </w:t>
      </w:r>
    </w:p>
    <w:p w14:paraId="0D0E93A7" w14:textId="2BEE4311" w:rsidR="00535D72" w:rsidRPr="00B07DD1" w:rsidRDefault="00535D72" w:rsidP="00B07DD1">
      <w:pPr>
        <w:numPr>
          <w:ilvl w:val="0"/>
          <w:numId w:val="13"/>
        </w:numPr>
        <w:spacing w:after="240"/>
        <w:ind w:left="432"/>
        <w:rPr>
          <w:rFonts w:eastAsia="Times New Roman"/>
          <w:szCs w:val="22"/>
        </w:rPr>
      </w:pPr>
      <w:r>
        <w:rPr>
          <w:b/>
          <w:bCs/>
        </w:rPr>
        <w:t>Средства контроля реализации проекта, самооценки проекта и формирования отчетности.</w:t>
      </w:r>
      <w:r>
        <w:t xml:space="preserve">  Индикаторы проекта не являются </w:t>
      </w:r>
      <w:r>
        <w:rPr>
          <w:color w:val="202124"/>
          <w:shd w:val="clear" w:color="auto" w:fill="FFFFFF"/>
        </w:rPr>
        <w:t>конкретными, измеримыми, достижимыми, актуальными и привязанными по времени</w:t>
      </w:r>
      <w:r>
        <w:t xml:space="preserve"> (SMART), но достаточны для демонстрации достижения каждого из результатов проекта.   В ходе реализации проекта в качестве основного средства контроля использовались проектные планы на страновом уровне.  Эти планы были крайне полезны и для последующих мероприятий по итогам проекта.  Различные респонденты отметили, что первая стадия заняла больше времени, чем ожидалось, поскольку ее сложность была недооценена, но впоследствии структура управления проектом была пересмотрена.  ОКПДР представил шаблон отчета о ходе реализации и самооценки.  Анализ в середине срока реализации получил высокую оценку государств-членов и позволил руководителю проекта запросить продление сроков проекта в связи с трудностями, вызванными пандемией COVID-19.  Национальные координаторы и координаторы проекта назвали поддержание непрерывной связи с должностными лицами ВОИС, отвечающими за проект, постоянные онлайн-совещания для обмена информацией, переписку по электронной почте и устные консультации основными средствами контроля, позволявшими достигать прогресса и отслеживать ход реализации проекта.</w:t>
      </w:r>
    </w:p>
    <w:p w14:paraId="418C8040" w14:textId="36D53CFD" w:rsidR="002105F6" w:rsidRPr="00535D72" w:rsidRDefault="00535D72" w:rsidP="00535D72">
      <w:pPr>
        <w:numPr>
          <w:ilvl w:val="0"/>
          <w:numId w:val="13"/>
        </w:numPr>
        <w:spacing w:after="240"/>
        <w:ind w:left="432"/>
        <w:rPr>
          <w:rFonts w:eastAsia="Times New Roman"/>
          <w:szCs w:val="22"/>
        </w:rPr>
      </w:pPr>
      <w:r>
        <w:t xml:space="preserve">В первоначальном проектном документе были предусмотрены возможные риски общего характера и меры по их снижению, которые были сочтены уместными.  Было принято мудрое решение о составлении схемы заинтересованных сторон, перечня рисков и плана по их снижению для каждой страны, а также проектных планов странового уровня, позволившее достичь не предусмотренного изначально прогресса в определенных областях.  Из-за пандемии пришлось приостановить проект на 2020 год и несколько месяцев 2021 года, что привело к необходимости начинать проект практически с нуля и вызвало соответствующие затруднения.  В перечень рисков по проекту были добавлены изначально не предусмотренные риски, такие как постоянная смена представителей гастрономических союзов и органов государственной власти, изменения в составе правительств и политическая нестабильность в странах-бенефициарах.  Все эти риски были минимизированы, и проект продолжился без серьезных затруднений. </w:t>
      </w:r>
    </w:p>
    <w:p w14:paraId="4620E241" w14:textId="77777777" w:rsidR="002105F6" w:rsidRPr="0037128F" w:rsidRDefault="002105F6" w:rsidP="00957ED9">
      <w:pPr>
        <w:keepNext/>
        <w:keepLines/>
        <w:spacing w:before="40" w:after="240"/>
        <w:outlineLvl w:val="1"/>
        <w:rPr>
          <w:rFonts w:eastAsia="Times New Roman"/>
          <w:b/>
          <w:szCs w:val="22"/>
        </w:rPr>
      </w:pPr>
      <w:bookmarkStart w:id="25" w:name="_Toc129099347"/>
      <w:r>
        <w:rPr>
          <w:b/>
        </w:rPr>
        <w:t>Действенность</w:t>
      </w:r>
      <w:bookmarkEnd w:id="25"/>
    </w:p>
    <w:p w14:paraId="169791F5" w14:textId="7E2EBD50" w:rsidR="0037128F" w:rsidRPr="00EB1036" w:rsidRDefault="0037128F" w:rsidP="00957ED9">
      <w:pPr>
        <w:pStyle w:val="ListParagraph"/>
        <w:numPr>
          <w:ilvl w:val="0"/>
          <w:numId w:val="13"/>
        </w:numPr>
        <w:spacing w:after="240"/>
        <w:contextualSpacing w:val="0"/>
        <w:rPr>
          <w:rFonts w:cs="Arial"/>
          <w:szCs w:val="22"/>
        </w:rPr>
      </w:pPr>
      <w:r>
        <w:t>Цели проекта ПДР по ИС и гастрономическому туризму были достигнуты, несмотря на ряд корректировок в связи с изменениями на стадии реализации, в том числе, например, изменениями, вызванными периодами политической нестабильности или пандемией COVID-19.  Что касается реализации мероприятий, большинство респондентов отметили, что проект оказался весьма действенным, и ожидаемые результаты были достигнуты.  Использованная методология и подход позволили определить потенциал каждой страны в сфере ИС и гастрономического туризма.</w:t>
      </w:r>
    </w:p>
    <w:p w14:paraId="4416C568" w14:textId="7FEEFBA2" w:rsidR="00EB1036" w:rsidRPr="00EB1036" w:rsidRDefault="00EB1036" w:rsidP="00957ED9">
      <w:pPr>
        <w:pStyle w:val="ListParagraph"/>
        <w:numPr>
          <w:ilvl w:val="0"/>
          <w:numId w:val="13"/>
        </w:numPr>
        <w:spacing w:after="240"/>
        <w:contextualSpacing w:val="0"/>
        <w:rPr>
          <w:rFonts w:cs="Arial"/>
          <w:szCs w:val="22"/>
        </w:rPr>
      </w:pPr>
      <w:r>
        <w:t xml:space="preserve">Окончательные результаты были сочтены полезными, т.к. позволили исследовать связь между ИС и гастрономическим туризмом.  Многие бенефициары впервые познакомились с темой ИС только в рамках этого проекта.  Он позволил повысить осведомленность и укрепить потенциал в сфере связей между ИС и гастрономическим туризмом.  Оценка показала, что проект вызвал чувство гордости за свою страну.  Лица, участвовавшие в реализации, отметили, что этот проект заставил их гордиться своим кулинарным наследием, гастрономическими традициями, богатством и разнообразием местных пищевых продуктов.  Проект также дал возможность наладить контакт с новыми заинтересованными сторонами, работающими в секторах туризма и гастрономии, чтобы вывести национальную кухню </w:t>
      </w:r>
      <w:r>
        <w:lastRenderedPageBreak/>
        <w:t xml:space="preserve">на новый уровень.  Все результаты были подтверждены участниками проекта благодаря проведенным семинарам и круглым столам. </w:t>
      </w:r>
    </w:p>
    <w:p w14:paraId="603A3D85" w14:textId="170E33FB" w:rsidR="00EB1036" w:rsidRPr="00241008" w:rsidRDefault="00EB1036" w:rsidP="00241008">
      <w:pPr>
        <w:pStyle w:val="ListParagraph"/>
        <w:numPr>
          <w:ilvl w:val="0"/>
          <w:numId w:val="13"/>
        </w:numPr>
        <w:spacing w:after="240"/>
        <w:contextualSpacing w:val="0"/>
        <w:rPr>
          <w:rFonts w:cs="Arial"/>
          <w:szCs w:val="22"/>
        </w:rPr>
      </w:pPr>
      <w:r>
        <w:t>Заинтересованные стороны отметили, что эти мероприятия позволили укрепить национальный, институциональный и профессиональный потенциал для повышения осведомленности об ИС и ее охраны.  По словам респондентов, информация о важности ИС была донесена крайне успешно.  Бенефициары проекта осознали, что правильное управление ИС может добавлять ценность продукции, и смогли понять актуальность использования этих инструментов и управления ими не только для охраны, но и для активизации своего бизнеса.  Благодаря круглым столам и семинарам, организованным в рамках проекта, его бенефициары смогли определить существующие инструменты в сфере ИС, что впоследствии породило многочисленные вопросы относительно коллективных прав и элементов ИС других типов.  Кроме того, по сообщениям респондентов, в рамках проекта появились возможности наладить важные деловые связи с заинтересованными сторонами, что привело к последующему обмену информацией и продуктивным обсуждениям и позволило добиться положительного отношения к охране прав ИС в сфере продуктов и услуг, связанных с гастрономическим туризмом.  Неожиданные возможности, возникшие в ходе различных мероприятий, которые проводились с новыми партнерами, получили весьма положительную оценку.</w:t>
      </w:r>
    </w:p>
    <w:p w14:paraId="17629570" w14:textId="1B05667F" w:rsidR="00EB1036" w:rsidRPr="00EB1036" w:rsidRDefault="00EB1036" w:rsidP="00EB1036">
      <w:pPr>
        <w:numPr>
          <w:ilvl w:val="0"/>
          <w:numId w:val="13"/>
        </w:numPr>
        <w:spacing w:after="240"/>
        <w:ind w:left="432"/>
        <w:rPr>
          <w:rFonts w:eastAsia="Times New Roman"/>
          <w:szCs w:val="22"/>
        </w:rPr>
      </w:pPr>
      <w:r>
        <w:t xml:space="preserve">Учитывая характеристики проекта и тот факт, что он завершился совсем недавно, все респонденты сошлись во мнении, что еще рано оценивать результативность полученных бенефициарами возможностей использовать инструменты и стратегии ИС для добавления стоимости, отличающей их продукты и услуги от конкурентов и диверсифицирующей их экономическую деятельность с уважением к местным традициям и культуре. </w:t>
      </w:r>
    </w:p>
    <w:p w14:paraId="0C24CD62" w14:textId="7823A746" w:rsidR="00B25B66" w:rsidRPr="00FA689C" w:rsidRDefault="00EB1036" w:rsidP="00645DB7">
      <w:pPr>
        <w:numPr>
          <w:ilvl w:val="0"/>
          <w:numId w:val="13"/>
        </w:numPr>
        <w:spacing w:after="240"/>
        <w:ind w:left="432"/>
        <w:rPr>
          <w:rFonts w:eastAsia="Times New Roman"/>
          <w:szCs w:val="22"/>
        </w:rPr>
      </w:pPr>
      <w:r>
        <w:t>Информационная поддержка проекта получила очень высокую оценку, хотя она была реализована с некоторым опозданием.  Более ранняя реализация коммуникационной стратегии позволила бы еще сильнее повысить осведомленность о проекте и расширить число участников круглых столов и семинаров.  Веб-сайт проекта</w:t>
      </w:r>
      <w:r w:rsidR="00003D32">
        <w:rPr>
          <w:rStyle w:val="FootnoteReference"/>
        </w:rPr>
        <w:footnoteReference w:id="6"/>
      </w:r>
      <w:r>
        <w:t xml:space="preserve"> был запущен на завершающем этапе в июле 2022 года.  О сайте знали и периодически заходили на него только заинтересованные стороны, напрямую участвующие в реализации.  Веб-сайт содержит достоверную информацию о всей проделанной работе, о полученных страной результатах и мероприятиях, проведенных в рамках проекта.</w:t>
      </w:r>
    </w:p>
    <w:tbl>
      <w:tblPr>
        <w:tblStyle w:val="TableGrid"/>
        <w:tblW w:w="0" w:type="auto"/>
        <w:tblLook w:val="04A0" w:firstRow="1" w:lastRow="0" w:firstColumn="1" w:lastColumn="0" w:noHBand="0" w:noVBand="1"/>
        <w:tblCaption w:val="Figure 2 - only available in English"/>
        <w:tblDescription w:val="Figure 2 - only available in English"/>
      </w:tblPr>
      <w:tblGrid>
        <w:gridCol w:w="9345"/>
      </w:tblGrid>
      <w:tr w:rsidR="00A5751A" w14:paraId="2D935EAE" w14:textId="77777777" w:rsidTr="00E36DE8">
        <w:trPr>
          <w:tblHeader/>
        </w:trPr>
        <w:tc>
          <w:tcPr>
            <w:tcW w:w="9345" w:type="dxa"/>
          </w:tcPr>
          <w:p w14:paraId="37FADA3E" w14:textId="7D45B841" w:rsidR="00A5751A" w:rsidRDefault="00A5751A" w:rsidP="00A5751A">
            <w:r>
              <w:rPr>
                <w:noProof/>
                <w:lang w:val="en-US" w:eastAsia="en-US"/>
              </w:rPr>
              <w:drawing>
                <wp:inline distT="0" distB="0" distL="0" distR="0" wp14:anchorId="76BA9357" wp14:editId="70453E88">
                  <wp:extent cx="6155055" cy="1307347"/>
                  <wp:effectExtent l="0" t="0" r="0" b="7620"/>
                  <wp:docPr id="2" name="Picture 2" descr="Графический интерфейс пользователя&#10;&#10;Описание генерируется автоматически" title="Рисунок 2. Доступен только на английском язык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 application&#10;&#10;Description automatically generated"/>
                          <pic:cNvPicPr/>
                        </pic:nvPicPr>
                        <pic:blipFill rotWithShape="1">
                          <a:blip r:embed="rId18" cstate="print">
                            <a:extLst>
                              <a:ext uri="{28A0092B-C50C-407E-A947-70E740481C1C}">
                                <a14:useLocalDpi xmlns:a14="http://schemas.microsoft.com/office/drawing/2010/main" val="0"/>
                              </a:ext>
                            </a:extLst>
                          </a:blip>
                          <a:srcRect t="27474"/>
                          <a:stretch/>
                        </pic:blipFill>
                        <pic:spPr bwMode="auto">
                          <a:xfrm>
                            <a:off x="0" y="0"/>
                            <a:ext cx="6234304" cy="1324180"/>
                          </a:xfrm>
                          <a:prstGeom prst="rect">
                            <a:avLst/>
                          </a:prstGeom>
                          <a:ln>
                            <a:noFill/>
                          </a:ln>
                          <a:extLst>
                            <a:ext uri="{53640926-AAD7-44D8-BBD7-CCE9431645EC}">
                              <a14:shadowObscured xmlns:a14="http://schemas.microsoft.com/office/drawing/2010/main"/>
                            </a:ext>
                          </a:extLst>
                        </pic:spPr>
                      </pic:pic>
                    </a:graphicData>
                  </a:graphic>
                </wp:inline>
              </w:drawing>
            </w:r>
          </w:p>
        </w:tc>
      </w:tr>
      <w:tr w:rsidR="00A5751A" w14:paraId="7630EEC1" w14:textId="77777777" w:rsidTr="00E36DE8">
        <w:trPr>
          <w:tblHeader/>
        </w:trPr>
        <w:tc>
          <w:tcPr>
            <w:tcW w:w="9345" w:type="dxa"/>
          </w:tcPr>
          <w:p w14:paraId="09A4111B" w14:textId="3D3D0E7D" w:rsidR="00A5751A" w:rsidRPr="00A5751A" w:rsidRDefault="00A5751A" w:rsidP="005B4A93">
            <w:pPr>
              <w:rPr>
                <w:b/>
                <w:i/>
                <w:sz w:val="18"/>
                <w:szCs w:val="18"/>
              </w:rPr>
            </w:pPr>
            <w:r>
              <w:rPr>
                <w:b/>
                <w:i/>
                <w:sz w:val="18"/>
              </w:rPr>
              <w:t>Рисунок 2. Доступен только на английском языке</w:t>
            </w:r>
          </w:p>
        </w:tc>
      </w:tr>
    </w:tbl>
    <w:p w14:paraId="0648B74A" w14:textId="6844B170" w:rsidR="006E4511" w:rsidRPr="006E4511" w:rsidRDefault="006E4511" w:rsidP="00645DB7">
      <w:pPr>
        <w:numPr>
          <w:ilvl w:val="0"/>
          <w:numId w:val="13"/>
        </w:numPr>
        <w:spacing w:before="240" w:after="240"/>
        <w:ind w:left="432"/>
        <w:rPr>
          <w:rFonts w:eastAsia="Times New Roman"/>
          <w:szCs w:val="22"/>
        </w:rPr>
      </w:pPr>
      <w:r>
        <w:t xml:space="preserve">Проект был удовлетворительно воспринят в сети Интернет, о чем свидетельствует рекордное число посещений в некоторые дни, вплоть до 113 посетителей за один день, как показано на Рисунке 2.  Как показано на Рисунке 3, больше всего посещений сайта, как ни удивительно, приходится на страны, не являющиеся непосредственными бенефициарами проекта, такие как Китай (137), Швейцария (93) </w:t>
      </w:r>
      <w:r>
        <w:lastRenderedPageBreak/>
        <w:t>и Соединенные Штаты Америки (86).  За ними идут Перу (67) и Марокко (47).  Посещений из Камеруна и Малайзии было совсем мало.</w:t>
      </w:r>
    </w:p>
    <w:tbl>
      <w:tblPr>
        <w:tblStyle w:val="TableGrid"/>
        <w:tblW w:w="0" w:type="auto"/>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Figure 3 - only available in English"/>
        <w:tblDescription w:val="Figure 3 - only available in English"/>
      </w:tblPr>
      <w:tblGrid>
        <w:gridCol w:w="8923"/>
      </w:tblGrid>
      <w:tr w:rsidR="006E4511" w14:paraId="52F72D40" w14:textId="77777777" w:rsidTr="00E36DE8">
        <w:trPr>
          <w:trHeight w:val="305"/>
          <w:tblHeader/>
        </w:trPr>
        <w:tc>
          <w:tcPr>
            <w:tcW w:w="9345" w:type="dxa"/>
          </w:tcPr>
          <w:p w14:paraId="3D99DE6F" w14:textId="5FC24241" w:rsidR="006E4511" w:rsidRPr="00A5751A" w:rsidRDefault="006E4511" w:rsidP="006E4511">
            <w:pPr>
              <w:pStyle w:val="Caption"/>
              <w:jc w:val="both"/>
              <w:rPr>
                <w:rFonts w:eastAsia="Times New Roman"/>
                <w:i/>
              </w:rPr>
            </w:pPr>
            <w:r>
              <w:rPr>
                <w:i/>
              </w:rPr>
              <w:t>Рисунок 3. Доступен только на английском языке</w:t>
            </w:r>
          </w:p>
        </w:tc>
      </w:tr>
      <w:tr w:rsidR="006E4511" w14:paraId="7E2299AA" w14:textId="77777777" w:rsidTr="006E4511">
        <w:tc>
          <w:tcPr>
            <w:tcW w:w="9345" w:type="dxa"/>
          </w:tcPr>
          <w:p w14:paraId="6F8FE3C9" w14:textId="2F9BDBAE" w:rsidR="006E4511" w:rsidRDefault="006E4511" w:rsidP="00935D3A">
            <w:pPr>
              <w:rPr>
                <w:rFonts w:eastAsia="Times New Roman"/>
              </w:rPr>
            </w:pPr>
            <w:r>
              <w:rPr>
                <w:noProof/>
                <w:lang w:val="en-US" w:eastAsia="en-US"/>
              </w:rPr>
              <w:drawing>
                <wp:inline distT="0" distB="0" distL="0" distR="0" wp14:anchorId="09477190" wp14:editId="7E1DE06B">
                  <wp:extent cx="2948940" cy="3100855"/>
                  <wp:effectExtent l="0" t="0" r="3810" b="4445"/>
                  <wp:docPr id="8" name="Picture 8" descr="Диаграмма&#10;&#10;Описание генерируется автоматически" title="Рисунок 3. Доступен только на английском язык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Chart, funnel chart&#10;&#10;Description automatically generated"/>
                          <pic:cNvPicPr/>
                        </pic:nvPicPr>
                        <pic:blipFill>
                          <a:blip r:embed="rId19">
                            <a:extLst>
                              <a:ext uri="{28A0092B-C50C-407E-A947-70E740481C1C}">
                                <a14:useLocalDpi xmlns:a14="http://schemas.microsoft.com/office/drawing/2010/main" val="0"/>
                              </a:ext>
                            </a:extLst>
                          </a:blip>
                          <a:stretch>
                            <a:fillRect/>
                          </a:stretch>
                        </pic:blipFill>
                        <pic:spPr>
                          <a:xfrm>
                            <a:off x="0" y="0"/>
                            <a:ext cx="2955700" cy="3107963"/>
                          </a:xfrm>
                          <a:prstGeom prst="rect">
                            <a:avLst/>
                          </a:prstGeom>
                        </pic:spPr>
                      </pic:pic>
                    </a:graphicData>
                  </a:graphic>
                </wp:inline>
              </w:drawing>
            </w:r>
          </w:p>
        </w:tc>
      </w:tr>
    </w:tbl>
    <w:p w14:paraId="30C270FC" w14:textId="41677E5D" w:rsidR="006E4511" w:rsidRPr="0050484E" w:rsidRDefault="006E4511" w:rsidP="0050484E">
      <w:pPr>
        <w:numPr>
          <w:ilvl w:val="0"/>
          <w:numId w:val="13"/>
        </w:numPr>
        <w:spacing w:before="240" w:after="240"/>
        <w:ind w:left="432"/>
        <w:rPr>
          <w:rFonts w:eastAsia="Times New Roman"/>
          <w:szCs w:val="22"/>
        </w:rPr>
      </w:pPr>
      <w:r>
        <w:t>Во всех странах-бенефициарах женщины играют ключевую роль в передаче кулинарных традиций и типичных блюд в каждой семье, области или регионе.  Роль женщин в сфере бизнеса не столь велика.  Согласно рассмотренным источникам, в проекте предполагалось достичь равного участия мужчин и женщин.  Хотя экспертов-женщин, отвечающих за проведение обзорных исследований и анализа ИС, было больше, чем мужчин, доля мужчин в общем числе участников круглых столов и национальных семинаров всегда превышала долю женщин, за исключением Малайзии, где в национальных семинарах приняло участие больше женщин, чем мужчин (43% мужчин, 57% женщин).  Аналогичным образом распределились участники обсуждений на круглых столах (52% мужчин, 48% женщин).</w:t>
      </w:r>
    </w:p>
    <w:tbl>
      <w:tblPr>
        <w:tblStyle w:val="TableGrid"/>
        <w:tblW w:w="0" w:type="auto"/>
        <w:tblInd w:w="720" w:type="dxa"/>
        <w:tblLook w:val="04A0" w:firstRow="1" w:lastRow="0" w:firstColumn="1" w:lastColumn="0" w:noHBand="0" w:noVBand="1"/>
        <w:tblCaption w:val="Таблица 5. Обсуждение в формате круглого стола"/>
        <w:tblDescription w:val="Таблица 5. Обсуждение в формате круглого стола"/>
      </w:tblPr>
      <w:tblGrid>
        <w:gridCol w:w="1498"/>
        <w:gridCol w:w="1705"/>
        <w:gridCol w:w="1262"/>
        <w:gridCol w:w="1094"/>
        <w:gridCol w:w="1425"/>
        <w:gridCol w:w="1094"/>
      </w:tblGrid>
      <w:tr w:rsidR="006E4511" w:rsidRPr="00785940" w14:paraId="18A0BFD2" w14:textId="77777777" w:rsidTr="00E36DE8">
        <w:trPr>
          <w:tblHeader/>
        </w:trPr>
        <w:tc>
          <w:tcPr>
            <w:tcW w:w="8052" w:type="dxa"/>
            <w:gridSpan w:val="6"/>
          </w:tcPr>
          <w:p w14:paraId="58178045" w14:textId="1E452ABD" w:rsidR="006E4511" w:rsidRPr="00775D47" w:rsidRDefault="006E4511" w:rsidP="007E13C0">
            <w:pPr>
              <w:pStyle w:val="ListParagraph"/>
              <w:ind w:left="0"/>
              <w:rPr>
                <w:rFonts w:cs="Arial"/>
                <w:b/>
                <w:i/>
              </w:rPr>
            </w:pPr>
            <w:r>
              <w:rPr>
                <w:b/>
                <w:i/>
              </w:rPr>
              <w:t>Таблица 5. Обсуждение в формате круглого стола</w:t>
            </w:r>
          </w:p>
        </w:tc>
      </w:tr>
      <w:tr w:rsidR="006E4511" w:rsidRPr="00785940" w14:paraId="6AE5B422" w14:textId="77777777" w:rsidTr="007E13C0">
        <w:tc>
          <w:tcPr>
            <w:tcW w:w="1498" w:type="dxa"/>
          </w:tcPr>
          <w:p w14:paraId="69EB8C37" w14:textId="77777777" w:rsidR="006E4511" w:rsidRPr="00785940" w:rsidRDefault="006E4511" w:rsidP="007E13C0">
            <w:pPr>
              <w:pStyle w:val="ListParagraph"/>
              <w:ind w:left="0"/>
              <w:rPr>
                <w:rFonts w:cs="Arial"/>
                <w:b/>
              </w:rPr>
            </w:pPr>
            <w:r>
              <w:rPr>
                <w:b/>
              </w:rPr>
              <w:t>Страна</w:t>
            </w:r>
          </w:p>
        </w:tc>
        <w:tc>
          <w:tcPr>
            <w:tcW w:w="1705" w:type="dxa"/>
          </w:tcPr>
          <w:p w14:paraId="0C6F0B47" w14:textId="77777777" w:rsidR="006E4511" w:rsidRPr="00785940" w:rsidRDefault="006E4511" w:rsidP="007E13C0">
            <w:pPr>
              <w:pStyle w:val="ListParagraph"/>
              <w:ind w:left="0"/>
              <w:rPr>
                <w:rFonts w:cs="Arial"/>
                <w:b/>
              </w:rPr>
            </w:pPr>
            <w:r>
              <w:rPr>
                <w:b/>
              </w:rPr>
              <w:t>Число участников</w:t>
            </w:r>
          </w:p>
        </w:tc>
        <w:tc>
          <w:tcPr>
            <w:tcW w:w="1236" w:type="dxa"/>
          </w:tcPr>
          <w:p w14:paraId="1B10487C" w14:textId="77777777" w:rsidR="006E4511" w:rsidRPr="00785940" w:rsidRDefault="006E4511" w:rsidP="007E13C0">
            <w:pPr>
              <w:pStyle w:val="ListParagraph"/>
              <w:ind w:left="0"/>
              <w:rPr>
                <w:rFonts w:cs="Arial"/>
                <w:b/>
              </w:rPr>
            </w:pPr>
            <w:r>
              <w:rPr>
                <w:b/>
              </w:rPr>
              <w:t>Мужчины</w:t>
            </w:r>
          </w:p>
        </w:tc>
        <w:tc>
          <w:tcPr>
            <w:tcW w:w="1094" w:type="dxa"/>
          </w:tcPr>
          <w:p w14:paraId="5AB97E88" w14:textId="77777777" w:rsidR="006E4511" w:rsidRPr="00785940" w:rsidRDefault="006E4511" w:rsidP="007E13C0">
            <w:pPr>
              <w:pStyle w:val="ListParagraph"/>
              <w:ind w:left="0"/>
              <w:rPr>
                <w:rFonts w:cs="Arial"/>
                <w:b/>
              </w:rPr>
            </w:pPr>
            <w:r>
              <w:rPr>
                <w:b/>
              </w:rPr>
              <w:t>%</w:t>
            </w:r>
          </w:p>
        </w:tc>
        <w:tc>
          <w:tcPr>
            <w:tcW w:w="1425" w:type="dxa"/>
          </w:tcPr>
          <w:p w14:paraId="19381E2C" w14:textId="77777777" w:rsidR="006E4511" w:rsidRPr="00785940" w:rsidRDefault="006E4511" w:rsidP="007E13C0">
            <w:pPr>
              <w:pStyle w:val="ListParagraph"/>
              <w:ind w:left="0"/>
              <w:rPr>
                <w:rFonts w:cs="Arial"/>
                <w:b/>
              </w:rPr>
            </w:pPr>
            <w:r>
              <w:rPr>
                <w:b/>
              </w:rPr>
              <w:t>Женщины</w:t>
            </w:r>
          </w:p>
        </w:tc>
        <w:tc>
          <w:tcPr>
            <w:tcW w:w="1094" w:type="dxa"/>
          </w:tcPr>
          <w:p w14:paraId="18EA2DA4" w14:textId="77777777" w:rsidR="006E4511" w:rsidRPr="00785940" w:rsidRDefault="006E4511" w:rsidP="007E13C0">
            <w:pPr>
              <w:pStyle w:val="ListParagraph"/>
              <w:ind w:left="0"/>
              <w:rPr>
                <w:rFonts w:cs="Arial"/>
                <w:b/>
              </w:rPr>
            </w:pPr>
            <w:r>
              <w:rPr>
                <w:b/>
              </w:rPr>
              <w:t>%</w:t>
            </w:r>
          </w:p>
        </w:tc>
      </w:tr>
      <w:tr w:rsidR="006E4511" w:rsidRPr="00785940" w14:paraId="6BFE8DE7" w14:textId="77777777" w:rsidTr="007E13C0">
        <w:tc>
          <w:tcPr>
            <w:tcW w:w="1498" w:type="dxa"/>
          </w:tcPr>
          <w:p w14:paraId="093C681A" w14:textId="77777777" w:rsidR="006E4511" w:rsidRPr="00785940" w:rsidRDefault="006E4511" w:rsidP="007E13C0">
            <w:pPr>
              <w:pStyle w:val="ListParagraph"/>
              <w:ind w:left="0"/>
              <w:rPr>
                <w:rFonts w:cs="Arial"/>
              </w:rPr>
            </w:pPr>
            <w:r>
              <w:t>Перу</w:t>
            </w:r>
          </w:p>
        </w:tc>
        <w:tc>
          <w:tcPr>
            <w:tcW w:w="1705" w:type="dxa"/>
          </w:tcPr>
          <w:p w14:paraId="6D7268B6" w14:textId="77777777" w:rsidR="006E4511" w:rsidRPr="00785940" w:rsidRDefault="006E4511" w:rsidP="007E13C0">
            <w:pPr>
              <w:pStyle w:val="ListParagraph"/>
              <w:ind w:left="0"/>
              <w:rPr>
                <w:rFonts w:cs="Arial"/>
              </w:rPr>
            </w:pPr>
            <w:r>
              <w:t>35</w:t>
            </w:r>
          </w:p>
        </w:tc>
        <w:tc>
          <w:tcPr>
            <w:tcW w:w="1236" w:type="dxa"/>
          </w:tcPr>
          <w:p w14:paraId="592801F5" w14:textId="77777777" w:rsidR="006E4511" w:rsidRPr="00785940" w:rsidRDefault="006E4511" w:rsidP="007E13C0">
            <w:pPr>
              <w:pStyle w:val="ListParagraph"/>
              <w:ind w:left="0"/>
              <w:rPr>
                <w:rFonts w:cs="Arial"/>
              </w:rPr>
            </w:pPr>
            <w:r>
              <w:t>25</w:t>
            </w:r>
          </w:p>
        </w:tc>
        <w:tc>
          <w:tcPr>
            <w:tcW w:w="1094" w:type="dxa"/>
          </w:tcPr>
          <w:p w14:paraId="6EDFE6F2" w14:textId="77777777" w:rsidR="006E4511" w:rsidRPr="00785940" w:rsidRDefault="006E4511" w:rsidP="007E13C0">
            <w:pPr>
              <w:pStyle w:val="ListParagraph"/>
              <w:ind w:left="0"/>
              <w:rPr>
                <w:rFonts w:cs="Arial"/>
              </w:rPr>
            </w:pPr>
            <w:r>
              <w:t>71 %</w:t>
            </w:r>
          </w:p>
        </w:tc>
        <w:tc>
          <w:tcPr>
            <w:tcW w:w="1425" w:type="dxa"/>
          </w:tcPr>
          <w:p w14:paraId="1EABD50A" w14:textId="77777777" w:rsidR="006E4511" w:rsidRPr="00785940" w:rsidRDefault="006E4511" w:rsidP="007E13C0">
            <w:pPr>
              <w:pStyle w:val="ListParagraph"/>
              <w:ind w:left="0"/>
              <w:rPr>
                <w:rFonts w:cs="Arial"/>
              </w:rPr>
            </w:pPr>
            <w:r>
              <w:t>10</w:t>
            </w:r>
          </w:p>
        </w:tc>
        <w:tc>
          <w:tcPr>
            <w:tcW w:w="1094" w:type="dxa"/>
          </w:tcPr>
          <w:p w14:paraId="4118B5AD" w14:textId="77777777" w:rsidR="006E4511" w:rsidRPr="00785940" w:rsidRDefault="006E4511" w:rsidP="007E13C0">
            <w:pPr>
              <w:pStyle w:val="ListParagraph"/>
              <w:ind w:left="0"/>
              <w:rPr>
                <w:rFonts w:cs="Arial"/>
              </w:rPr>
            </w:pPr>
            <w:r>
              <w:t>29 %</w:t>
            </w:r>
          </w:p>
        </w:tc>
      </w:tr>
      <w:tr w:rsidR="006E4511" w:rsidRPr="00785940" w14:paraId="56725C42" w14:textId="77777777" w:rsidTr="007E13C0">
        <w:tc>
          <w:tcPr>
            <w:tcW w:w="1498" w:type="dxa"/>
          </w:tcPr>
          <w:p w14:paraId="1F96D1E1" w14:textId="77777777" w:rsidR="006E4511" w:rsidRPr="00785940" w:rsidRDefault="006E4511" w:rsidP="007E13C0">
            <w:pPr>
              <w:pStyle w:val="ListParagraph"/>
              <w:ind w:left="0"/>
              <w:rPr>
                <w:rFonts w:cs="Arial"/>
              </w:rPr>
            </w:pPr>
            <w:r>
              <w:t>Камерун</w:t>
            </w:r>
          </w:p>
        </w:tc>
        <w:tc>
          <w:tcPr>
            <w:tcW w:w="1705" w:type="dxa"/>
          </w:tcPr>
          <w:p w14:paraId="77FE5B0F" w14:textId="77777777" w:rsidR="006E4511" w:rsidRPr="00785940" w:rsidRDefault="006E4511" w:rsidP="007E13C0">
            <w:pPr>
              <w:pStyle w:val="ListParagraph"/>
              <w:ind w:left="0"/>
              <w:rPr>
                <w:rFonts w:cs="Arial"/>
              </w:rPr>
            </w:pPr>
            <w:r>
              <w:t>100</w:t>
            </w:r>
          </w:p>
        </w:tc>
        <w:tc>
          <w:tcPr>
            <w:tcW w:w="1236" w:type="dxa"/>
          </w:tcPr>
          <w:p w14:paraId="73F842BC" w14:textId="77777777" w:rsidR="006E4511" w:rsidRPr="00785940" w:rsidRDefault="006E4511" w:rsidP="007E13C0">
            <w:pPr>
              <w:pStyle w:val="ListParagraph"/>
              <w:ind w:left="0"/>
              <w:rPr>
                <w:rFonts w:cs="Arial"/>
              </w:rPr>
            </w:pPr>
            <w:r>
              <w:t>65</w:t>
            </w:r>
          </w:p>
        </w:tc>
        <w:tc>
          <w:tcPr>
            <w:tcW w:w="1094" w:type="dxa"/>
          </w:tcPr>
          <w:p w14:paraId="162522E8" w14:textId="77777777" w:rsidR="006E4511" w:rsidRPr="00785940" w:rsidRDefault="006E4511" w:rsidP="007E13C0">
            <w:pPr>
              <w:pStyle w:val="ListParagraph"/>
              <w:ind w:left="0"/>
              <w:rPr>
                <w:rFonts w:cs="Arial"/>
              </w:rPr>
            </w:pPr>
            <w:r>
              <w:t>65 %</w:t>
            </w:r>
          </w:p>
        </w:tc>
        <w:tc>
          <w:tcPr>
            <w:tcW w:w="1425" w:type="dxa"/>
          </w:tcPr>
          <w:p w14:paraId="29B8D475" w14:textId="77777777" w:rsidR="006E4511" w:rsidRPr="00785940" w:rsidRDefault="006E4511" w:rsidP="007E13C0">
            <w:pPr>
              <w:pStyle w:val="ListParagraph"/>
              <w:ind w:left="0"/>
              <w:rPr>
                <w:rFonts w:cs="Arial"/>
              </w:rPr>
            </w:pPr>
            <w:r>
              <w:t>35</w:t>
            </w:r>
          </w:p>
        </w:tc>
        <w:tc>
          <w:tcPr>
            <w:tcW w:w="1094" w:type="dxa"/>
          </w:tcPr>
          <w:p w14:paraId="32BB4C7E" w14:textId="77777777" w:rsidR="006E4511" w:rsidRPr="00785940" w:rsidRDefault="006E4511" w:rsidP="007E13C0">
            <w:pPr>
              <w:pStyle w:val="ListParagraph"/>
              <w:ind w:left="0"/>
              <w:rPr>
                <w:rFonts w:cs="Arial"/>
              </w:rPr>
            </w:pPr>
            <w:r>
              <w:t>35 %</w:t>
            </w:r>
          </w:p>
        </w:tc>
      </w:tr>
      <w:tr w:rsidR="006E4511" w:rsidRPr="00785940" w14:paraId="624788E2" w14:textId="77777777" w:rsidTr="007E13C0">
        <w:tc>
          <w:tcPr>
            <w:tcW w:w="1498" w:type="dxa"/>
          </w:tcPr>
          <w:p w14:paraId="7C4A2BAF" w14:textId="77777777" w:rsidR="006E4511" w:rsidRPr="00785940" w:rsidRDefault="006E4511" w:rsidP="007E13C0">
            <w:pPr>
              <w:pStyle w:val="ListParagraph"/>
              <w:ind w:left="0"/>
              <w:rPr>
                <w:rFonts w:cs="Arial"/>
              </w:rPr>
            </w:pPr>
            <w:r>
              <w:t>Малайзия</w:t>
            </w:r>
          </w:p>
        </w:tc>
        <w:tc>
          <w:tcPr>
            <w:tcW w:w="1705" w:type="dxa"/>
          </w:tcPr>
          <w:p w14:paraId="447AE55D" w14:textId="77777777" w:rsidR="006E4511" w:rsidRPr="00785940" w:rsidRDefault="006E4511" w:rsidP="007E13C0">
            <w:pPr>
              <w:pStyle w:val="ListParagraph"/>
              <w:ind w:left="0"/>
              <w:rPr>
                <w:rFonts w:cs="Arial"/>
              </w:rPr>
            </w:pPr>
            <w:r>
              <w:t>21</w:t>
            </w:r>
          </w:p>
        </w:tc>
        <w:tc>
          <w:tcPr>
            <w:tcW w:w="1236" w:type="dxa"/>
          </w:tcPr>
          <w:p w14:paraId="39BE0650" w14:textId="77777777" w:rsidR="006E4511" w:rsidRPr="00785940" w:rsidRDefault="006E4511" w:rsidP="007E13C0">
            <w:pPr>
              <w:pStyle w:val="ListParagraph"/>
              <w:ind w:left="0"/>
              <w:rPr>
                <w:rFonts w:cs="Arial"/>
              </w:rPr>
            </w:pPr>
            <w:r>
              <w:t>11</w:t>
            </w:r>
          </w:p>
        </w:tc>
        <w:tc>
          <w:tcPr>
            <w:tcW w:w="1094" w:type="dxa"/>
          </w:tcPr>
          <w:p w14:paraId="4A05099F" w14:textId="77777777" w:rsidR="006E4511" w:rsidRPr="00785940" w:rsidRDefault="006E4511" w:rsidP="007E13C0">
            <w:pPr>
              <w:pStyle w:val="ListParagraph"/>
              <w:ind w:left="0"/>
              <w:rPr>
                <w:rFonts w:cs="Arial"/>
              </w:rPr>
            </w:pPr>
            <w:r>
              <w:t>52 %</w:t>
            </w:r>
          </w:p>
        </w:tc>
        <w:tc>
          <w:tcPr>
            <w:tcW w:w="1425" w:type="dxa"/>
          </w:tcPr>
          <w:p w14:paraId="3E4EFB71" w14:textId="77777777" w:rsidR="006E4511" w:rsidRPr="00785940" w:rsidRDefault="006E4511" w:rsidP="007E13C0">
            <w:pPr>
              <w:pStyle w:val="ListParagraph"/>
              <w:ind w:left="0"/>
              <w:rPr>
                <w:rFonts w:cs="Arial"/>
              </w:rPr>
            </w:pPr>
            <w:r>
              <w:t>10</w:t>
            </w:r>
          </w:p>
        </w:tc>
        <w:tc>
          <w:tcPr>
            <w:tcW w:w="1094" w:type="dxa"/>
          </w:tcPr>
          <w:p w14:paraId="7711005B" w14:textId="77777777" w:rsidR="006E4511" w:rsidRPr="00785940" w:rsidRDefault="006E4511" w:rsidP="007E13C0">
            <w:pPr>
              <w:pStyle w:val="ListParagraph"/>
              <w:ind w:left="0"/>
              <w:rPr>
                <w:rFonts w:cs="Arial"/>
              </w:rPr>
            </w:pPr>
            <w:r>
              <w:t>48 %</w:t>
            </w:r>
          </w:p>
        </w:tc>
      </w:tr>
      <w:tr w:rsidR="006E4511" w:rsidRPr="00785940" w14:paraId="347AE8DD" w14:textId="77777777" w:rsidTr="007E13C0">
        <w:tc>
          <w:tcPr>
            <w:tcW w:w="1498" w:type="dxa"/>
          </w:tcPr>
          <w:p w14:paraId="6D5B409B" w14:textId="77777777" w:rsidR="006E4511" w:rsidRPr="00785940" w:rsidRDefault="006E4511" w:rsidP="007E13C0">
            <w:pPr>
              <w:pStyle w:val="ListParagraph"/>
              <w:ind w:left="0"/>
              <w:rPr>
                <w:rFonts w:cs="Arial"/>
              </w:rPr>
            </w:pPr>
            <w:r>
              <w:t>Марокко</w:t>
            </w:r>
          </w:p>
        </w:tc>
        <w:tc>
          <w:tcPr>
            <w:tcW w:w="1705" w:type="dxa"/>
          </w:tcPr>
          <w:p w14:paraId="60CA79D6" w14:textId="77777777" w:rsidR="006E4511" w:rsidRPr="00785940" w:rsidRDefault="006E4511" w:rsidP="007E13C0">
            <w:pPr>
              <w:pStyle w:val="ListParagraph"/>
              <w:ind w:left="0"/>
              <w:rPr>
                <w:rFonts w:cs="Arial"/>
              </w:rPr>
            </w:pPr>
            <w:r>
              <w:t>14</w:t>
            </w:r>
          </w:p>
        </w:tc>
        <w:tc>
          <w:tcPr>
            <w:tcW w:w="1236" w:type="dxa"/>
          </w:tcPr>
          <w:p w14:paraId="52B0E693" w14:textId="77777777" w:rsidR="006E4511" w:rsidRPr="00785940" w:rsidRDefault="006E4511" w:rsidP="007E13C0">
            <w:pPr>
              <w:pStyle w:val="ListParagraph"/>
              <w:ind w:left="0"/>
              <w:rPr>
                <w:rFonts w:cs="Arial"/>
              </w:rPr>
            </w:pPr>
            <w:r>
              <w:t>11</w:t>
            </w:r>
          </w:p>
        </w:tc>
        <w:tc>
          <w:tcPr>
            <w:tcW w:w="1094" w:type="dxa"/>
          </w:tcPr>
          <w:p w14:paraId="678A7B74" w14:textId="77777777" w:rsidR="006E4511" w:rsidRPr="00785940" w:rsidRDefault="006E4511" w:rsidP="007E13C0">
            <w:pPr>
              <w:pStyle w:val="ListParagraph"/>
              <w:ind w:left="0"/>
              <w:rPr>
                <w:rFonts w:cs="Arial"/>
              </w:rPr>
            </w:pPr>
            <w:r>
              <w:t>79 %</w:t>
            </w:r>
          </w:p>
        </w:tc>
        <w:tc>
          <w:tcPr>
            <w:tcW w:w="1425" w:type="dxa"/>
          </w:tcPr>
          <w:p w14:paraId="46AEFA1D" w14:textId="77777777" w:rsidR="006E4511" w:rsidRPr="00785940" w:rsidRDefault="006E4511" w:rsidP="007E13C0">
            <w:pPr>
              <w:pStyle w:val="ListParagraph"/>
              <w:ind w:left="0"/>
              <w:rPr>
                <w:rFonts w:cs="Arial"/>
              </w:rPr>
            </w:pPr>
            <w:r>
              <w:t>3</w:t>
            </w:r>
          </w:p>
        </w:tc>
        <w:tc>
          <w:tcPr>
            <w:tcW w:w="1094" w:type="dxa"/>
          </w:tcPr>
          <w:p w14:paraId="41BE16BB" w14:textId="77777777" w:rsidR="006E4511" w:rsidRPr="00785940" w:rsidRDefault="006E4511" w:rsidP="007E13C0">
            <w:pPr>
              <w:pStyle w:val="ListParagraph"/>
              <w:ind w:left="0"/>
              <w:rPr>
                <w:rFonts w:cs="Arial"/>
              </w:rPr>
            </w:pPr>
            <w:r>
              <w:t>21 %</w:t>
            </w:r>
          </w:p>
        </w:tc>
      </w:tr>
      <w:tr w:rsidR="006E4511" w:rsidRPr="00785940" w14:paraId="10847145" w14:textId="77777777" w:rsidTr="007E13C0">
        <w:tc>
          <w:tcPr>
            <w:tcW w:w="1498" w:type="dxa"/>
            <w:shd w:val="clear" w:color="auto" w:fill="DEEAF6" w:themeFill="accent1" w:themeFillTint="33"/>
          </w:tcPr>
          <w:p w14:paraId="6A443376" w14:textId="77777777" w:rsidR="006E4511" w:rsidRPr="00785940" w:rsidRDefault="006E4511" w:rsidP="007E13C0">
            <w:pPr>
              <w:pStyle w:val="ListParagraph"/>
              <w:ind w:left="0"/>
              <w:rPr>
                <w:rFonts w:eastAsiaTheme="minorEastAsia" w:cs="Arial"/>
                <w:color w:val="000000" w:themeColor="text1"/>
              </w:rPr>
            </w:pPr>
            <w:r>
              <w:rPr>
                <w:color w:val="000000" w:themeColor="text1"/>
              </w:rPr>
              <w:t>Всего</w:t>
            </w:r>
          </w:p>
        </w:tc>
        <w:tc>
          <w:tcPr>
            <w:tcW w:w="1705" w:type="dxa"/>
            <w:shd w:val="clear" w:color="auto" w:fill="DEEAF6" w:themeFill="accent1" w:themeFillTint="33"/>
          </w:tcPr>
          <w:p w14:paraId="55771327" w14:textId="77777777" w:rsidR="006E4511" w:rsidRPr="00785940" w:rsidRDefault="006E4511" w:rsidP="007E13C0">
            <w:pPr>
              <w:pStyle w:val="ListParagraph"/>
              <w:ind w:left="0"/>
              <w:rPr>
                <w:rFonts w:cs="Arial"/>
                <w:color w:val="000000" w:themeColor="text1"/>
              </w:rPr>
            </w:pPr>
            <w:r>
              <w:rPr>
                <w:color w:val="000000" w:themeColor="text1"/>
              </w:rPr>
              <w:t>170</w:t>
            </w:r>
          </w:p>
        </w:tc>
        <w:tc>
          <w:tcPr>
            <w:tcW w:w="1236" w:type="dxa"/>
            <w:shd w:val="clear" w:color="auto" w:fill="DEEAF6" w:themeFill="accent1" w:themeFillTint="33"/>
          </w:tcPr>
          <w:p w14:paraId="54269E7A" w14:textId="77777777" w:rsidR="006E4511" w:rsidRPr="00785940" w:rsidRDefault="006E4511" w:rsidP="007E13C0">
            <w:pPr>
              <w:pStyle w:val="ListParagraph"/>
              <w:ind w:left="0"/>
              <w:rPr>
                <w:rFonts w:cs="Arial"/>
                <w:color w:val="000000" w:themeColor="text1"/>
              </w:rPr>
            </w:pPr>
            <w:r>
              <w:rPr>
                <w:color w:val="000000" w:themeColor="text1"/>
              </w:rPr>
              <w:t>112</w:t>
            </w:r>
          </w:p>
        </w:tc>
        <w:tc>
          <w:tcPr>
            <w:tcW w:w="1094" w:type="dxa"/>
            <w:shd w:val="clear" w:color="auto" w:fill="DEEAF6" w:themeFill="accent1" w:themeFillTint="33"/>
          </w:tcPr>
          <w:p w14:paraId="689A89F5" w14:textId="77777777" w:rsidR="006E4511" w:rsidRPr="00785940" w:rsidRDefault="006E4511" w:rsidP="007E13C0">
            <w:pPr>
              <w:pStyle w:val="ListParagraph"/>
              <w:ind w:left="0"/>
              <w:rPr>
                <w:rFonts w:cs="Arial"/>
                <w:color w:val="000000" w:themeColor="text1"/>
              </w:rPr>
            </w:pPr>
            <w:r>
              <w:rPr>
                <w:color w:val="000000" w:themeColor="text1"/>
              </w:rPr>
              <w:t>66 %</w:t>
            </w:r>
          </w:p>
        </w:tc>
        <w:tc>
          <w:tcPr>
            <w:tcW w:w="1425" w:type="dxa"/>
            <w:shd w:val="clear" w:color="auto" w:fill="DEEAF6" w:themeFill="accent1" w:themeFillTint="33"/>
          </w:tcPr>
          <w:p w14:paraId="0BAB5B77" w14:textId="77777777" w:rsidR="006E4511" w:rsidRPr="00785940" w:rsidRDefault="006E4511" w:rsidP="007E13C0">
            <w:pPr>
              <w:pStyle w:val="ListParagraph"/>
              <w:ind w:left="0"/>
              <w:rPr>
                <w:rFonts w:cs="Arial"/>
                <w:color w:val="000000" w:themeColor="text1"/>
              </w:rPr>
            </w:pPr>
            <w:r>
              <w:rPr>
                <w:color w:val="000000" w:themeColor="text1"/>
              </w:rPr>
              <w:t>58</w:t>
            </w:r>
          </w:p>
        </w:tc>
        <w:tc>
          <w:tcPr>
            <w:tcW w:w="1094" w:type="dxa"/>
            <w:shd w:val="clear" w:color="auto" w:fill="DEEAF6" w:themeFill="accent1" w:themeFillTint="33"/>
          </w:tcPr>
          <w:p w14:paraId="47E0A771" w14:textId="77777777" w:rsidR="006E4511" w:rsidRPr="00785940" w:rsidRDefault="006E4511" w:rsidP="007E13C0">
            <w:pPr>
              <w:pStyle w:val="ListParagraph"/>
              <w:ind w:left="0"/>
              <w:rPr>
                <w:rFonts w:cs="Arial"/>
                <w:color w:val="000000" w:themeColor="text1"/>
              </w:rPr>
            </w:pPr>
            <w:r>
              <w:rPr>
                <w:color w:val="000000" w:themeColor="text1"/>
              </w:rPr>
              <w:t>34 %</w:t>
            </w:r>
          </w:p>
        </w:tc>
      </w:tr>
    </w:tbl>
    <w:p w14:paraId="729A456F" w14:textId="5E855326" w:rsidR="002105F6" w:rsidRPr="002105F6" w:rsidRDefault="002105F6" w:rsidP="0050484E">
      <w:pPr>
        <w:spacing w:after="120"/>
        <w:ind w:left="432"/>
        <w:rPr>
          <w:rFonts w:eastAsia="Times New Roman"/>
          <w:szCs w:val="22"/>
          <w:lang w:eastAsia="en-US"/>
        </w:rPr>
      </w:pPr>
    </w:p>
    <w:tbl>
      <w:tblPr>
        <w:tblStyle w:val="TableGrid"/>
        <w:tblW w:w="0" w:type="auto"/>
        <w:tblInd w:w="720" w:type="dxa"/>
        <w:tblLook w:val="04A0" w:firstRow="1" w:lastRow="0" w:firstColumn="1" w:lastColumn="0" w:noHBand="0" w:noVBand="1"/>
        <w:tblCaption w:val="Таблица 6. Национальные семинары по ИС и гастрономическому туризму"/>
        <w:tblDescription w:val="Таблица 6. Национальные семинары по ИС и гастрономическому туризму"/>
      </w:tblPr>
      <w:tblGrid>
        <w:gridCol w:w="1497"/>
        <w:gridCol w:w="1706"/>
        <w:gridCol w:w="1262"/>
        <w:gridCol w:w="1092"/>
        <w:gridCol w:w="1427"/>
        <w:gridCol w:w="1092"/>
      </w:tblGrid>
      <w:tr w:rsidR="00A5751A" w:rsidRPr="00785940" w14:paraId="7DCE724B" w14:textId="77777777" w:rsidTr="00E36DE8">
        <w:trPr>
          <w:tblHeader/>
        </w:trPr>
        <w:tc>
          <w:tcPr>
            <w:tcW w:w="8052" w:type="dxa"/>
            <w:gridSpan w:val="6"/>
          </w:tcPr>
          <w:p w14:paraId="6A4F431C" w14:textId="5E855326" w:rsidR="00A5751A" w:rsidRPr="00775D47" w:rsidRDefault="00A5751A" w:rsidP="007E13C0">
            <w:pPr>
              <w:pStyle w:val="ListParagraph"/>
              <w:ind w:left="0"/>
              <w:rPr>
                <w:rFonts w:cs="Arial"/>
                <w:b/>
              </w:rPr>
            </w:pPr>
            <w:r>
              <w:rPr>
                <w:b/>
                <w:i/>
              </w:rPr>
              <w:t>Таблица 6. Национальные семинары по ИС и гастрономическому туризму</w:t>
            </w:r>
          </w:p>
        </w:tc>
      </w:tr>
      <w:tr w:rsidR="00A5751A" w:rsidRPr="00785940" w14:paraId="40D76326" w14:textId="77777777" w:rsidTr="007E13C0">
        <w:tc>
          <w:tcPr>
            <w:tcW w:w="1497" w:type="dxa"/>
          </w:tcPr>
          <w:p w14:paraId="7403A160" w14:textId="77777777" w:rsidR="00A5751A" w:rsidRPr="00785940" w:rsidRDefault="00A5751A" w:rsidP="007E13C0">
            <w:pPr>
              <w:pStyle w:val="ListParagraph"/>
              <w:ind w:left="0"/>
              <w:rPr>
                <w:rFonts w:cs="Arial"/>
                <w:b/>
              </w:rPr>
            </w:pPr>
            <w:r>
              <w:rPr>
                <w:b/>
              </w:rPr>
              <w:t>Страна</w:t>
            </w:r>
          </w:p>
        </w:tc>
        <w:tc>
          <w:tcPr>
            <w:tcW w:w="1706" w:type="dxa"/>
          </w:tcPr>
          <w:p w14:paraId="4A52E313" w14:textId="77777777" w:rsidR="00A5751A" w:rsidRPr="00785940" w:rsidRDefault="00A5751A" w:rsidP="007E13C0">
            <w:pPr>
              <w:pStyle w:val="ListParagraph"/>
              <w:ind w:left="0"/>
              <w:rPr>
                <w:rFonts w:cs="Arial"/>
                <w:b/>
              </w:rPr>
            </w:pPr>
            <w:r>
              <w:rPr>
                <w:b/>
              </w:rPr>
              <w:t>Число участников</w:t>
            </w:r>
          </w:p>
        </w:tc>
        <w:tc>
          <w:tcPr>
            <w:tcW w:w="1238" w:type="dxa"/>
          </w:tcPr>
          <w:p w14:paraId="68DE2BD6" w14:textId="77777777" w:rsidR="00A5751A" w:rsidRPr="00785940" w:rsidRDefault="00A5751A" w:rsidP="007E13C0">
            <w:pPr>
              <w:pStyle w:val="ListParagraph"/>
              <w:ind w:left="0"/>
              <w:rPr>
                <w:rFonts w:cs="Arial"/>
                <w:b/>
              </w:rPr>
            </w:pPr>
            <w:r>
              <w:rPr>
                <w:b/>
              </w:rPr>
              <w:t>Мужчины</w:t>
            </w:r>
          </w:p>
        </w:tc>
        <w:tc>
          <w:tcPr>
            <w:tcW w:w="1092" w:type="dxa"/>
          </w:tcPr>
          <w:p w14:paraId="2E44AC13" w14:textId="77777777" w:rsidR="00A5751A" w:rsidRPr="00785940" w:rsidRDefault="00A5751A" w:rsidP="007E13C0">
            <w:pPr>
              <w:pStyle w:val="ListParagraph"/>
              <w:ind w:left="0"/>
              <w:rPr>
                <w:rFonts w:cs="Arial"/>
                <w:b/>
              </w:rPr>
            </w:pPr>
            <w:r>
              <w:rPr>
                <w:b/>
              </w:rPr>
              <w:t>%</w:t>
            </w:r>
          </w:p>
        </w:tc>
        <w:tc>
          <w:tcPr>
            <w:tcW w:w="1427" w:type="dxa"/>
          </w:tcPr>
          <w:p w14:paraId="1B8A2DFF" w14:textId="77777777" w:rsidR="00A5751A" w:rsidRPr="00785940" w:rsidRDefault="00A5751A" w:rsidP="007E13C0">
            <w:pPr>
              <w:pStyle w:val="ListParagraph"/>
              <w:ind w:left="0"/>
              <w:rPr>
                <w:rFonts w:cs="Arial"/>
                <w:b/>
              </w:rPr>
            </w:pPr>
            <w:r>
              <w:rPr>
                <w:b/>
              </w:rPr>
              <w:t>Женщины</w:t>
            </w:r>
          </w:p>
        </w:tc>
        <w:tc>
          <w:tcPr>
            <w:tcW w:w="1092" w:type="dxa"/>
          </w:tcPr>
          <w:p w14:paraId="1F1341FE" w14:textId="77777777" w:rsidR="00A5751A" w:rsidRPr="00785940" w:rsidRDefault="00A5751A" w:rsidP="007E13C0">
            <w:pPr>
              <w:pStyle w:val="ListParagraph"/>
              <w:ind w:left="0"/>
              <w:rPr>
                <w:rFonts w:cs="Arial"/>
                <w:b/>
              </w:rPr>
            </w:pPr>
            <w:r>
              <w:rPr>
                <w:b/>
              </w:rPr>
              <w:t>%</w:t>
            </w:r>
          </w:p>
        </w:tc>
      </w:tr>
      <w:tr w:rsidR="00A5751A" w:rsidRPr="00785940" w14:paraId="246BFAB2" w14:textId="77777777" w:rsidTr="007E13C0">
        <w:tc>
          <w:tcPr>
            <w:tcW w:w="1497" w:type="dxa"/>
          </w:tcPr>
          <w:p w14:paraId="22037349" w14:textId="77777777" w:rsidR="00A5751A" w:rsidRPr="00785940" w:rsidRDefault="00A5751A" w:rsidP="007E13C0">
            <w:pPr>
              <w:pStyle w:val="ListParagraph"/>
              <w:ind w:left="0"/>
              <w:rPr>
                <w:rFonts w:cs="Arial"/>
              </w:rPr>
            </w:pPr>
            <w:r>
              <w:t>Перу</w:t>
            </w:r>
          </w:p>
        </w:tc>
        <w:tc>
          <w:tcPr>
            <w:tcW w:w="1706" w:type="dxa"/>
          </w:tcPr>
          <w:p w14:paraId="796A801F" w14:textId="77777777" w:rsidR="00A5751A" w:rsidRPr="00785940" w:rsidRDefault="00A5751A" w:rsidP="007E13C0">
            <w:pPr>
              <w:pStyle w:val="ListParagraph"/>
              <w:ind w:left="0"/>
              <w:rPr>
                <w:rFonts w:cs="Arial"/>
              </w:rPr>
            </w:pPr>
            <w:r>
              <w:t>204</w:t>
            </w:r>
          </w:p>
        </w:tc>
        <w:tc>
          <w:tcPr>
            <w:tcW w:w="1238" w:type="dxa"/>
          </w:tcPr>
          <w:p w14:paraId="05C225D8" w14:textId="77777777" w:rsidR="00A5751A" w:rsidRPr="00785940" w:rsidRDefault="00A5751A" w:rsidP="007E13C0">
            <w:pPr>
              <w:pStyle w:val="ListParagraph"/>
              <w:ind w:left="0"/>
              <w:rPr>
                <w:rFonts w:cs="Arial"/>
              </w:rPr>
            </w:pPr>
            <w:r>
              <w:t>77</w:t>
            </w:r>
          </w:p>
        </w:tc>
        <w:tc>
          <w:tcPr>
            <w:tcW w:w="1092" w:type="dxa"/>
          </w:tcPr>
          <w:p w14:paraId="04327742" w14:textId="77777777" w:rsidR="00A5751A" w:rsidRPr="00785940" w:rsidRDefault="00A5751A" w:rsidP="007E13C0">
            <w:pPr>
              <w:pStyle w:val="ListParagraph"/>
              <w:ind w:left="0"/>
              <w:rPr>
                <w:rFonts w:cs="Arial"/>
              </w:rPr>
            </w:pPr>
            <w:r>
              <w:t>38 %</w:t>
            </w:r>
          </w:p>
        </w:tc>
        <w:tc>
          <w:tcPr>
            <w:tcW w:w="1427" w:type="dxa"/>
          </w:tcPr>
          <w:p w14:paraId="1F15E3C3" w14:textId="77777777" w:rsidR="00A5751A" w:rsidRPr="00785940" w:rsidRDefault="00A5751A" w:rsidP="007E13C0">
            <w:pPr>
              <w:pStyle w:val="ListParagraph"/>
              <w:ind w:left="0"/>
              <w:rPr>
                <w:rFonts w:cs="Arial"/>
              </w:rPr>
            </w:pPr>
            <w:r>
              <w:t>127</w:t>
            </w:r>
          </w:p>
        </w:tc>
        <w:tc>
          <w:tcPr>
            <w:tcW w:w="1092" w:type="dxa"/>
          </w:tcPr>
          <w:p w14:paraId="25CF7FF1" w14:textId="77777777" w:rsidR="00A5751A" w:rsidRPr="00785940" w:rsidRDefault="00A5751A" w:rsidP="007E13C0">
            <w:pPr>
              <w:pStyle w:val="ListParagraph"/>
              <w:ind w:left="0"/>
              <w:rPr>
                <w:rFonts w:cs="Arial"/>
              </w:rPr>
            </w:pPr>
            <w:r>
              <w:t>62 %</w:t>
            </w:r>
          </w:p>
        </w:tc>
      </w:tr>
      <w:tr w:rsidR="00A5751A" w:rsidRPr="00785940" w14:paraId="620C7922" w14:textId="77777777" w:rsidTr="007E13C0">
        <w:tc>
          <w:tcPr>
            <w:tcW w:w="1497" w:type="dxa"/>
          </w:tcPr>
          <w:p w14:paraId="5D7D56B4" w14:textId="77777777" w:rsidR="00A5751A" w:rsidRPr="00785940" w:rsidRDefault="00A5751A" w:rsidP="007E13C0">
            <w:pPr>
              <w:pStyle w:val="ListParagraph"/>
              <w:ind w:left="0"/>
              <w:rPr>
                <w:rFonts w:cs="Arial"/>
              </w:rPr>
            </w:pPr>
            <w:r>
              <w:t>Камерун</w:t>
            </w:r>
          </w:p>
        </w:tc>
        <w:tc>
          <w:tcPr>
            <w:tcW w:w="1706" w:type="dxa"/>
          </w:tcPr>
          <w:p w14:paraId="2C7421A4" w14:textId="77777777" w:rsidR="00A5751A" w:rsidRPr="00785940" w:rsidRDefault="00A5751A" w:rsidP="007E13C0">
            <w:pPr>
              <w:pStyle w:val="ListParagraph"/>
              <w:ind w:left="0"/>
              <w:rPr>
                <w:rFonts w:cs="Arial"/>
              </w:rPr>
            </w:pPr>
            <w:r>
              <w:t>151</w:t>
            </w:r>
          </w:p>
        </w:tc>
        <w:tc>
          <w:tcPr>
            <w:tcW w:w="1238" w:type="dxa"/>
          </w:tcPr>
          <w:p w14:paraId="7E3B59C8" w14:textId="77777777" w:rsidR="00A5751A" w:rsidRPr="00785940" w:rsidRDefault="00A5751A" w:rsidP="007E13C0">
            <w:pPr>
              <w:pStyle w:val="ListParagraph"/>
              <w:ind w:left="0"/>
              <w:rPr>
                <w:rFonts w:cs="Arial"/>
              </w:rPr>
            </w:pPr>
            <w:r>
              <w:t>101</w:t>
            </w:r>
          </w:p>
        </w:tc>
        <w:tc>
          <w:tcPr>
            <w:tcW w:w="1092" w:type="dxa"/>
          </w:tcPr>
          <w:p w14:paraId="45F03941" w14:textId="77777777" w:rsidR="00A5751A" w:rsidRPr="00785940" w:rsidRDefault="00A5751A" w:rsidP="007E13C0">
            <w:pPr>
              <w:pStyle w:val="ListParagraph"/>
              <w:ind w:left="0"/>
              <w:rPr>
                <w:rFonts w:cs="Arial"/>
              </w:rPr>
            </w:pPr>
            <w:r>
              <w:t>67 %</w:t>
            </w:r>
          </w:p>
        </w:tc>
        <w:tc>
          <w:tcPr>
            <w:tcW w:w="1427" w:type="dxa"/>
          </w:tcPr>
          <w:p w14:paraId="2BD14629" w14:textId="77777777" w:rsidR="00A5751A" w:rsidRPr="00785940" w:rsidRDefault="00A5751A" w:rsidP="007E13C0">
            <w:pPr>
              <w:pStyle w:val="ListParagraph"/>
              <w:ind w:left="0"/>
              <w:rPr>
                <w:rFonts w:cs="Arial"/>
              </w:rPr>
            </w:pPr>
            <w:r>
              <w:t>50</w:t>
            </w:r>
          </w:p>
        </w:tc>
        <w:tc>
          <w:tcPr>
            <w:tcW w:w="1092" w:type="dxa"/>
          </w:tcPr>
          <w:p w14:paraId="167D5AAE" w14:textId="77777777" w:rsidR="00A5751A" w:rsidRPr="00785940" w:rsidRDefault="00A5751A" w:rsidP="007E13C0">
            <w:pPr>
              <w:pStyle w:val="ListParagraph"/>
              <w:ind w:left="0"/>
              <w:rPr>
                <w:rFonts w:cs="Arial"/>
              </w:rPr>
            </w:pPr>
            <w:r>
              <w:t>33 %</w:t>
            </w:r>
          </w:p>
        </w:tc>
      </w:tr>
      <w:tr w:rsidR="00A5751A" w:rsidRPr="00785940" w14:paraId="08927163" w14:textId="77777777" w:rsidTr="007E13C0">
        <w:tc>
          <w:tcPr>
            <w:tcW w:w="1497" w:type="dxa"/>
          </w:tcPr>
          <w:p w14:paraId="139008D6" w14:textId="77777777" w:rsidR="00A5751A" w:rsidRPr="00785940" w:rsidRDefault="00A5751A" w:rsidP="007E13C0">
            <w:pPr>
              <w:pStyle w:val="ListParagraph"/>
              <w:ind w:left="0"/>
              <w:rPr>
                <w:rFonts w:cs="Arial"/>
              </w:rPr>
            </w:pPr>
            <w:r>
              <w:t>Малайзия</w:t>
            </w:r>
          </w:p>
        </w:tc>
        <w:tc>
          <w:tcPr>
            <w:tcW w:w="1706" w:type="dxa"/>
          </w:tcPr>
          <w:p w14:paraId="17AFBA68" w14:textId="77777777" w:rsidR="00A5751A" w:rsidRPr="00785940" w:rsidRDefault="00A5751A" w:rsidP="007E13C0">
            <w:pPr>
              <w:pStyle w:val="ListParagraph"/>
              <w:ind w:left="0"/>
              <w:rPr>
                <w:rFonts w:cs="Arial"/>
              </w:rPr>
            </w:pPr>
            <w:r>
              <w:t>62</w:t>
            </w:r>
          </w:p>
        </w:tc>
        <w:tc>
          <w:tcPr>
            <w:tcW w:w="1238" w:type="dxa"/>
          </w:tcPr>
          <w:p w14:paraId="4B8EF841" w14:textId="77777777" w:rsidR="00A5751A" w:rsidRPr="00785940" w:rsidRDefault="00A5751A" w:rsidP="007E13C0">
            <w:pPr>
              <w:pStyle w:val="ListParagraph"/>
              <w:ind w:left="0"/>
              <w:rPr>
                <w:rFonts w:cs="Arial"/>
              </w:rPr>
            </w:pPr>
            <w:r>
              <w:t>25</w:t>
            </w:r>
          </w:p>
        </w:tc>
        <w:tc>
          <w:tcPr>
            <w:tcW w:w="1092" w:type="dxa"/>
          </w:tcPr>
          <w:p w14:paraId="46D6B299" w14:textId="77777777" w:rsidR="00A5751A" w:rsidRPr="00785940" w:rsidRDefault="00A5751A" w:rsidP="007E13C0">
            <w:pPr>
              <w:pStyle w:val="ListParagraph"/>
              <w:ind w:left="0"/>
              <w:rPr>
                <w:rFonts w:cs="Arial"/>
              </w:rPr>
            </w:pPr>
            <w:r>
              <w:t>40 %</w:t>
            </w:r>
          </w:p>
        </w:tc>
        <w:tc>
          <w:tcPr>
            <w:tcW w:w="1427" w:type="dxa"/>
          </w:tcPr>
          <w:p w14:paraId="358E8162" w14:textId="77777777" w:rsidR="00A5751A" w:rsidRPr="00785940" w:rsidRDefault="00A5751A" w:rsidP="007E13C0">
            <w:pPr>
              <w:pStyle w:val="ListParagraph"/>
              <w:ind w:left="0"/>
              <w:rPr>
                <w:rFonts w:cs="Arial"/>
              </w:rPr>
            </w:pPr>
            <w:r>
              <w:t>37</w:t>
            </w:r>
          </w:p>
        </w:tc>
        <w:tc>
          <w:tcPr>
            <w:tcW w:w="1092" w:type="dxa"/>
          </w:tcPr>
          <w:p w14:paraId="3706525C" w14:textId="77777777" w:rsidR="00A5751A" w:rsidRPr="00785940" w:rsidRDefault="00A5751A" w:rsidP="007E13C0">
            <w:pPr>
              <w:pStyle w:val="ListParagraph"/>
              <w:ind w:left="0"/>
              <w:rPr>
                <w:rFonts w:cs="Arial"/>
              </w:rPr>
            </w:pPr>
            <w:r>
              <w:t>60 %</w:t>
            </w:r>
          </w:p>
        </w:tc>
      </w:tr>
      <w:tr w:rsidR="00A5751A" w:rsidRPr="00785940" w14:paraId="3A88F7AC" w14:textId="77777777" w:rsidTr="007E13C0">
        <w:tc>
          <w:tcPr>
            <w:tcW w:w="1497" w:type="dxa"/>
          </w:tcPr>
          <w:p w14:paraId="75148DE5" w14:textId="77777777" w:rsidR="00A5751A" w:rsidRPr="00785940" w:rsidRDefault="00A5751A" w:rsidP="007E13C0">
            <w:pPr>
              <w:pStyle w:val="ListParagraph"/>
              <w:ind w:left="0"/>
              <w:rPr>
                <w:rFonts w:cs="Arial"/>
              </w:rPr>
            </w:pPr>
            <w:r>
              <w:t>Марокко</w:t>
            </w:r>
          </w:p>
        </w:tc>
        <w:tc>
          <w:tcPr>
            <w:tcW w:w="1706" w:type="dxa"/>
          </w:tcPr>
          <w:p w14:paraId="30948D78" w14:textId="77777777" w:rsidR="00A5751A" w:rsidRPr="00785940" w:rsidRDefault="00A5751A" w:rsidP="007E13C0">
            <w:pPr>
              <w:pStyle w:val="ListParagraph"/>
              <w:ind w:left="0"/>
              <w:rPr>
                <w:rFonts w:cs="Arial"/>
              </w:rPr>
            </w:pPr>
            <w:r>
              <w:t>46</w:t>
            </w:r>
          </w:p>
        </w:tc>
        <w:tc>
          <w:tcPr>
            <w:tcW w:w="1238" w:type="dxa"/>
          </w:tcPr>
          <w:p w14:paraId="4E03F10F" w14:textId="77777777" w:rsidR="00A5751A" w:rsidRPr="00785940" w:rsidRDefault="00A5751A" w:rsidP="007E13C0">
            <w:pPr>
              <w:pStyle w:val="ListParagraph"/>
              <w:ind w:left="0"/>
              <w:rPr>
                <w:rFonts w:cs="Arial"/>
              </w:rPr>
            </w:pPr>
            <w:r>
              <w:t>33</w:t>
            </w:r>
          </w:p>
        </w:tc>
        <w:tc>
          <w:tcPr>
            <w:tcW w:w="1092" w:type="dxa"/>
          </w:tcPr>
          <w:p w14:paraId="0843BCB2" w14:textId="77777777" w:rsidR="00A5751A" w:rsidRPr="00785940" w:rsidRDefault="00A5751A" w:rsidP="007E13C0">
            <w:pPr>
              <w:pStyle w:val="ListParagraph"/>
              <w:ind w:left="0"/>
              <w:rPr>
                <w:rFonts w:cs="Arial"/>
              </w:rPr>
            </w:pPr>
            <w:r>
              <w:t>72 %</w:t>
            </w:r>
          </w:p>
        </w:tc>
        <w:tc>
          <w:tcPr>
            <w:tcW w:w="1427" w:type="dxa"/>
          </w:tcPr>
          <w:p w14:paraId="29AAAFE3" w14:textId="77777777" w:rsidR="00A5751A" w:rsidRPr="00785940" w:rsidRDefault="00A5751A" w:rsidP="007E13C0">
            <w:pPr>
              <w:pStyle w:val="ListParagraph"/>
              <w:ind w:left="0"/>
              <w:rPr>
                <w:rFonts w:cs="Arial"/>
              </w:rPr>
            </w:pPr>
            <w:r>
              <w:t>13</w:t>
            </w:r>
          </w:p>
        </w:tc>
        <w:tc>
          <w:tcPr>
            <w:tcW w:w="1092" w:type="dxa"/>
          </w:tcPr>
          <w:p w14:paraId="142A6C49" w14:textId="77777777" w:rsidR="00A5751A" w:rsidRPr="00785940" w:rsidRDefault="00A5751A" w:rsidP="007E13C0">
            <w:pPr>
              <w:pStyle w:val="ListParagraph"/>
              <w:ind w:left="0"/>
              <w:rPr>
                <w:rFonts w:cs="Arial"/>
              </w:rPr>
            </w:pPr>
            <w:r>
              <w:t>28 %</w:t>
            </w:r>
          </w:p>
        </w:tc>
      </w:tr>
      <w:tr w:rsidR="00A5751A" w:rsidRPr="00785940" w14:paraId="6223B219" w14:textId="77777777" w:rsidTr="007E13C0">
        <w:tc>
          <w:tcPr>
            <w:tcW w:w="1497" w:type="dxa"/>
            <w:shd w:val="clear" w:color="auto" w:fill="DEEAF6" w:themeFill="accent1" w:themeFillTint="33"/>
          </w:tcPr>
          <w:p w14:paraId="33926271" w14:textId="77777777" w:rsidR="00A5751A" w:rsidRPr="00785940" w:rsidRDefault="00A5751A" w:rsidP="007E13C0">
            <w:pPr>
              <w:pStyle w:val="ListParagraph"/>
              <w:ind w:left="0"/>
              <w:rPr>
                <w:rFonts w:eastAsiaTheme="minorEastAsia" w:cs="Arial"/>
              </w:rPr>
            </w:pPr>
            <w:r>
              <w:t>Всего</w:t>
            </w:r>
          </w:p>
        </w:tc>
        <w:tc>
          <w:tcPr>
            <w:tcW w:w="1706" w:type="dxa"/>
            <w:shd w:val="clear" w:color="auto" w:fill="DEEAF6" w:themeFill="accent1" w:themeFillTint="33"/>
          </w:tcPr>
          <w:p w14:paraId="11D7648B" w14:textId="77777777" w:rsidR="00A5751A" w:rsidRPr="00785940" w:rsidRDefault="00A5751A" w:rsidP="007E13C0">
            <w:pPr>
              <w:pStyle w:val="ListParagraph"/>
              <w:ind w:left="0"/>
              <w:rPr>
                <w:rFonts w:cs="Arial"/>
              </w:rPr>
            </w:pPr>
            <w:r>
              <w:t>463</w:t>
            </w:r>
          </w:p>
        </w:tc>
        <w:tc>
          <w:tcPr>
            <w:tcW w:w="1238" w:type="dxa"/>
            <w:shd w:val="clear" w:color="auto" w:fill="DEEAF6" w:themeFill="accent1" w:themeFillTint="33"/>
          </w:tcPr>
          <w:p w14:paraId="0F38D3A8" w14:textId="77777777" w:rsidR="00A5751A" w:rsidRPr="00785940" w:rsidRDefault="00A5751A" w:rsidP="007E13C0">
            <w:pPr>
              <w:pStyle w:val="ListParagraph"/>
              <w:ind w:left="0"/>
              <w:rPr>
                <w:rFonts w:cs="Arial"/>
              </w:rPr>
            </w:pPr>
            <w:r>
              <w:t>236</w:t>
            </w:r>
          </w:p>
        </w:tc>
        <w:tc>
          <w:tcPr>
            <w:tcW w:w="1092" w:type="dxa"/>
            <w:shd w:val="clear" w:color="auto" w:fill="DEEAF6" w:themeFill="accent1" w:themeFillTint="33"/>
          </w:tcPr>
          <w:p w14:paraId="121C9F7D" w14:textId="77777777" w:rsidR="00A5751A" w:rsidRPr="00785940" w:rsidRDefault="00A5751A" w:rsidP="007E13C0">
            <w:pPr>
              <w:pStyle w:val="ListParagraph"/>
              <w:ind w:left="0"/>
              <w:rPr>
                <w:rFonts w:cs="Arial"/>
              </w:rPr>
            </w:pPr>
            <w:r>
              <w:t>51 %</w:t>
            </w:r>
          </w:p>
        </w:tc>
        <w:tc>
          <w:tcPr>
            <w:tcW w:w="1427" w:type="dxa"/>
            <w:shd w:val="clear" w:color="auto" w:fill="DEEAF6" w:themeFill="accent1" w:themeFillTint="33"/>
          </w:tcPr>
          <w:p w14:paraId="6F1F2E83" w14:textId="77777777" w:rsidR="00A5751A" w:rsidRPr="00785940" w:rsidRDefault="00A5751A" w:rsidP="007E13C0">
            <w:pPr>
              <w:pStyle w:val="ListParagraph"/>
              <w:ind w:left="0"/>
              <w:rPr>
                <w:rFonts w:cs="Arial"/>
              </w:rPr>
            </w:pPr>
            <w:r>
              <w:t>227</w:t>
            </w:r>
          </w:p>
        </w:tc>
        <w:tc>
          <w:tcPr>
            <w:tcW w:w="1092" w:type="dxa"/>
            <w:shd w:val="clear" w:color="auto" w:fill="DEEAF6" w:themeFill="accent1" w:themeFillTint="33"/>
          </w:tcPr>
          <w:p w14:paraId="1A4848F5" w14:textId="77777777" w:rsidR="00A5751A" w:rsidRPr="00785940" w:rsidRDefault="00A5751A" w:rsidP="007E13C0">
            <w:pPr>
              <w:pStyle w:val="ListParagraph"/>
              <w:ind w:left="0"/>
              <w:rPr>
                <w:rFonts w:cs="Arial"/>
              </w:rPr>
            </w:pPr>
            <w:r>
              <w:t>49 %</w:t>
            </w:r>
          </w:p>
        </w:tc>
      </w:tr>
    </w:tbl>
    <w:p w14:paraId="2690F07E" w14:textId="77777777" w:rsidR="00A5751A" w:rsidRDefault="00A5751A" w:rsidP="0050484E">
      <w:pPr>
        <w:spacing w:after="120"/>
        <w:ind w:left="432"/>
        <w:rPr>
          <w:rFonts w:eastAsia="Times New Roman"/>
          <w:szCs w:val="22"/>
          <w:lang w:eastAsia="en-US"/>
        </w:rPr>
      </w:pPr>
    </w:p>
    <w:tbl>
      <w:tblPr>
        <w:tblStyle w:val="TableGrid"/>
        <w:tblW w:w="0" w:type="auto"/>
        <w:tblInd w:w="715" w:type="dxa"/>
        <w:tblLook w:val="04A0" w:firstRow="1" w:lastRow="0" w:firstColumn="1" w:lastColumn="0" w:noHBand="0" w:noVBand="1"/>
        <w:tblCaption w:val="Таблица 7. Общее число участников (круглые столы и национальные семинары)"/>
        <w:tblDescription w:val="Таблица 7. Общее число участников (круглые столы и национальные семинары)"/>
      </w:tblPr>
      <w:tblGrid>
        <w:gridCol w:w="1358"/>
        <w:gridCol w:w="1823"/>
        <w:gridCol w:w="1263"/>
        <w:gridCol w:w="1084"/>
        <w:gridCol w:w="1445"/>
        <w:gridCol w:w="1084"/>
      </w:tblGrid>
      <w:tr w:rsidR="00A5751A" w:rsidRPr="00785940" w14:paraId="48FC81D9" w14:textId="77777777" w:rsidTr="00E36DE8">
        <w:trPr>
          <w:tblHeader/>
        </w:trPr>
        <w:tc>
          <w:tcPr>
            <w:tcW w:w="8057" w:type="dxa"/>
            <w:gridSpan w:val="6"/>
          </w:tcPr>
          <w:p w14:paraId="2A1028DD" w14:textId="3BD3C560" w:rsidR="00A5751A" w:rsidRPr="00785940" w:rsidRDefault="00A5751A" w:rsidP="007E13C0">
            <w:pPr>
              <w:pStyle w:val="ListParagraph"/>
              <w:ind w:left="0"/>
              <w:rPr>
                <w:rFonts w:cs="Arial"/>
                <w:b/>
              </w:rPr>
            </w:pPr>
            <w:r>
              <w:rPr>
                <w:b/>
                <w:bCs/>
                <w:i/>
              </w:rPr>
              <w:t>Таблица 7. Общее число участников (круглые столы и национальные семинары)</w:t>
            </w:r>
          </w:p>
        </w:tc>
      </w:tr>
      <w:tr w:rsidR="00A5751A" w:rsidRPr="00785940" w14:paraId="0D28CCEB" w14:textId="77777777" w:rsidTr="007E13C0">
        <w:tc>
          <w:tcPr>
            <w:tcW w:w="1358" w:type="dxa"/>
          </w:tcPr>
          <w:p w14:paraId="1A0E3A53" w14:textId="77777777" w:rsidR="00A5751A" w:rsidRPr="00785940" w:rsidRDefault="00A5751A" w:rsidP="007E13C0">
            <w:pPr>
              <w:pStyle w:val="ListParagraph"/>
              <w:ind w:left="0"/>
              <w:rPr>
                <w:rFonts w:cs="Arial"/>
                <w:b/>
              </w:rPr>
            </w:pPr>
            <w:r>
              <w:rPr>
                <w:b/>
              </w:rPr>
              <w:t>Страна</w:t>
            </w:r>
          </w:p>
        </w:tc>
        <w:tc>
          <w:tcPr>
            <w:tcW w:w="1823" w:type="dxa"/>
          </w:tcPr>
          <w:p w14:paraId="2EE0497C" w14:textId="77777777" w:rsidR="00A5751A" w:rsidRPr="00785940" w:rsidRDefault="00A5751A" w:rsidP="007E13C0">
            <w:pPr>
              <w:pStyle w:val="ListParagraph"/>
              <w:ind w:left="0"/>
              <w:rPr>
                <w:rFonts w:cs="Arial"/>
                <w:b/>
              </w:rPr>
            </w:pPr>
            <w:r>
              <w:rPr>
                <w:b/>
              </w:rPr>
              <w:t>Общее число участников</w:t>
            </w:r>
          </w:p>
        </w:tc>
        <w:tc>
          <w:tcPr>
            <w:tcW w:w="1263" w:type="dxa"/>
          </w:tcPr>
          <w:p w14:paraId="6D6FF0E3" w14:textId="77777777" w:rsidR="00A5751A" w:rsidRPr="00785940" w:rsidRDefault="00A5751A" w:rsidP="007E13C0">
            <w:pPr>
              <w:pStyle w:val="ListParagraph"/>
              <w:ind w:left="0"/>
              <w:rPr>
                <w:rFonts w:cs="Arial"/>
                <w:b/>
              </w:rPr>
            </w:pPr>
            <w:r>
              <w:rPr>
                <w:b/>
              </w:rPr>
              <w:t>Мужчины</w:t>
            </w:r>
          </w:p>
        </w:tc>
        <w:tc>
          <w:tcPr>
            <w:tcW w:w="1084" w:type="dxa"/>
          </w:tcPr>
          <w:p w14:paraId="7A79224E" w14:textId="77777777" w:rsidR="00A5751A" w:rsidRPr="00785940" w:rsidRDefault="00A5751A" w:rsidP="007E13C0">
            <w:pPr>
              <w:pStyle w:val="ListParagraph"/>
              <w:ind w:left="0"/>
              <w:rPr>
                <w:rFonts w:cs="Arial"/>
                <w:b/>
              </w:rPr>
            </w:pPr>
            <w:r>
              <w:rPr>
                <w:b/>
              </w:rPr>
              <w:t>%</w:t>
            </w:r>
          </w:p>
        </w:tc>
        <w:tc>
          <w:tcPr>
            <w:tcW w:w="1445" w:type="dxa"/>
          </w:tcPr>
          <w:p w14:paraId="142615A1" w14:textId="77777777" w:rsidR="00A5751A" w:rsidRPr="00785940" w:rsidRDefault="00A5751A" w:rsidP="007E13C0">
            <w:pPr>
              <w:pStyle w:val="ListParagraph"/>
              <w:ind w:left="0"/>
              <w:rPr>
                <w:rFonts w:cs="Arial"/>
                <w:b/>
              </w:rPr>
            </w:pPr>
            <w:r>
              <w:rPr>
                <w:b/>
              </w:rPr>
              <w:t>Женщины</w:t>
            </w:r>
          </w:p>
        </w:tc>
        <w:tc>
          <w:tcPr>
            <w:tcW w:w="1084" w:type="dxa"/>
          </w:tcPr>
          <w:p w14:paraId="14188EBE" w14:textId="77777777" w:rsidR="00A5751A" w:rsidRPr="00785940" w:rsidRDefault="00A5751A" w:rsidP="007E13C0">
            <w:pPr>
              <w:pStyle w:val="ListParagraph"/>
              <w:ind w:left="0"/>
              <w:rPr>
                <w:rFonts w:cs="Arial"/>
                <w:b/>
              </w:rPr>
            </w:pPr>
            <w:r>
              <w:rPr>
                <w:b/>
              </w:rPr>
              <w:t>%</w:t>
            </w:r>
          </w:p>
        </w:tc>
      </w:tr>
      <w:tr w:rsidR="00A5751A" w:rsidRPr="00785940" w14:paraId="03D3662B" w14:textId="77777777" w:rsidTr="007E13C0">
        <w:tc>
          <w:tcPr>
            <w:tcW w:w="1358" w:type="dxa"/>
          </w:tcPr>
          <w:p w14:paraId="714A0831" w14:textId="77777777" w:rsidR="00A5751A" w:rsidRPr="00785940" w:rsidRDefault="00A5751A" w:rsidP="007E13C0">
            <w:pPr>
              <w:pStyle w:val="ListParagraph"/>
              <w:ind w:left="0"/>
              <w:rPr>
                <w:rFonts w:cs="Arial"/>
              </w:rPr>
            </w:pPr>
            <w:r>
              <w:t>Перу</w:t>
            </w:r>
          </w:p>
        </w:tc>
        <w:tc>
          <w:tcPr>
            <w:tcW w:w="1823" w:type="dxa"/>
          </w:tcPr>
          <w:p w14:paraId="4029422D" w14:textId="77777777" w:rsidR="00A5751A" w:rsidRPr="00785940" w:rsidRDefault="00A5751A" w:rsidP="007E13C0">
            <w:pPr>
              <w:pStyle w:val="ListParagraph"/>
              <w:ind w:left="0"/>
              <w:rPr>
                <w:rFonts w:cs="Arial"/>
              </w:rPr>
            </w:pPr>
            <w:r>
              <w:t>239</w:t>
            </w:r>
          </w:p>
        </w:tc>
        <w:tc>
          <w:tcPr>
            <w:tcW w:w="1263" w:type="dxa"/>
          </w:tcPr>
          <w:p w14:paraId="09DC944A" w14:textId="77777777" w:rsidR="00A5751A" w:rsidRPr="00785940" w:rsidRDefault="00A5751A" w:rsidP="007E13C0">
            <w:pPr>
              <w:pStyle w:val="ListParagraph"/>
              <w:ind w:left="0"/>
              <w:rPr>
                <w:rFonts w:cs="Arial"/>
              </w:rPr>
            </w:pPr>
            <w:r>
              <w:t>102</w:t>
            </w:r>
          </w:p>
        </w:tc>
        <w:tc>
          <w:tcPr>
            <w:tcW w:w="1084" w:type="dxa"/>
          </w:tcPr>
          <w:p w14:paraId="6E31897C" w14:textId="77777777" w:rsidR="00A5751A" w:rsidRPr="00785940" w:rsidRDefault="00A5751A" w:rsidP="007E13C0">
            <w:pPr>
              <w:pStyle w:val="ListParagraph"/>
              <w:ind w:left="0"/>
              <w:rPr>
                <w:rFonts w:cs="Arial"/>
              </w:rPr>
            </w:pPr>
            <w:r>
              <w:t>43 %</w:t>
            </w:r>
          </w:p>
        </w:tc>
        <w:tc>
          <w:tcPr>
            <w:tcW w:w="1445" w:type="dxa"/>
          </w:tcPr>
          <w:p w14:paraId="7D74597F" w14:textId="77777777" w:rsidR="00A5751A" w:rsidRPr="00785940" w:rsidRDefault="00A5751A" w:rsidP="007E13C0">
            <w:pPr>
              <w:pStyle w:val="ListParagraph"/>
              <w:ind w:left="0"/>
              <w:rPr>
                <w:rFonts w:cs="Arial"/>
              </w:rPr>
            </w:pPr>
            <w:r>
              <w:t>137</w:t>
            </w:r>
          </w:p>
        </w:tc>
        <w:tc>
          <w:tcPr>
            <w:tcW w:w="1084" w:type="dxa"/>
          </w:tcPr>
          <w:p w14:paraId="739A5C4A" w14:textId="77777777" w:rsidR="00A5751A" w:rsidRPr="00785940" w:rsidRDefault="00A5751A" w:rsidP="007E13C0">
            <w:pPr>
              <w:pStyle w:val="ListParagraph"/>
              <w:ind w:left="0"/>
              <w:rPr>
                <w:rFonts w:cs="Arial"/>
              </w:rPr>
            </w:pPr>
            <w:r>
              <w:t>57 %</w:t>
            </w:r>
          </w:p>
        </w:tc>
      </w:tr>
      <w:tr w:rsidR="00A5751A" w:rsidRPr="00785940" w14:paraId="517C0C40" w14:textId="77777777" w:rsidTr="007E13C0">
        <w:tc>
          <w:tcPr>
            <w:tcW w:w="1358" w:type="dxa"/>
          </w:tcPr>
          <w:p w14:paraId="600326A8" w14:textId="77777777" w:rsidR="00A5751A" w:rsidRPr="00785940" w:rsidRDefault="00A5751A" w:rsidP="007E13C0">
            <w:pPr>
              <w:pStyle w:val="ListParagraph"/>
              <w:ind w:left="0"/>
              <w:rPr>
                <w:rFonts w:cs="Arial"/>
              </w:rPr>
            </w:pPr>
            <w:r>
              <w:t>Камерун</w:t>
            </w:r>
          </w:p>
        </w:tc>
        <w:tc>
          <w:tcPr>
            <w:tcW w:w="1823" w:type="dxa"/>
          </w:tcPr>
          <w:p w14:paraId="73EEED38" w14:textId="77777777" w:rsidR="00A5751A" w:rsidRPr="00785940" w:rsidRDefault="00A5751A" w:rsidP="007E13C0">
            <w:pPr>
              <w:pStyle w:val="ListParagraph"/>
              <w:ind w:left="0"/>
              <w:rPr>
                <w:rFonts w:cs="Arial"/>
              </w:rPr>
            </w:pPr>
            <w:r>
              <w:t>251</w:t>
            </w:r>
          </w:p>
        </w:tc>
        <w:tc>
          <w:tcPr>
            <w:tcW w:w="1263" w:type="dxa"/>
          </w:tcPr>
          <w:p w14:paraId="300F76A7" w14:textId="77777777" w:rsidR="00A5751A" w:rsidRPr="00785940" w:rsidRDefault="00A5751A" w:rsidP="007E13C0">
            <w:pPr>
              <w:pStyle w:val="ListParagraph"/>
              <w:ind w:left="0"/>
              <w:rPr>
                <w:rFonts w:cs="Arial"/>
              </w:rPr>
            </w:pPr>
            <w:r>
              <w:t>166</w:t>
            </w:r>
          </w:p>
        </w:tc>
        <w:tc>
          <w:tcPr>
            <w:tcW w:w="1084" w:type="dxa"/>
          </w:tcPr>
          <w:p w14:paraId="5C47C181" w14:textId="77777777" w:rsidR="00A5751A" w:rsidRPr="00785940" w:rsidRDefault="00A5751A" w:rsidP="007E13C0">
            <w:pPr>
              <w:pStyle w:val="ListParagraph"/>
              <w:ind w:left="0"/>
              <w:rPr>
                <w:rFonts w:cs="Arial"/>
              </w:rPr>
            </w:pPr>
            <w:r>
              <w:t>66 %</w:t>
            </w:r>
          </w:p>
        </w:tc>
        <w:tc>
          <w:tcPr>
            <w:tcW w:w="1445" w:type="dxa"/>
          </w:tcPr>
          <w:p w14:paraId="47D74DBA" w14:textId="77777777" w:rsidR="00A5751A" w:rsidRPr="00785940" w:rsidRDefault="00A5751A" w:rsidP="007E13C0">
            <w:pPr>
              <w:pStyle w:val="ListParagraph"/>
              <w:ind w:left="0"/>
              <w:rPr>
                <w:rFonts w:cs="Arial"/>
              </w:rPr>
            </w:pPr>
            <w:r>
              <w:t>85</w:t>
            </w:r>
          </w:p>
        </w:tc>
        <w:tc>
          <w:tcPr>
            <w:tcW w:w="1084" w:type="dxa"/>
          </w:tcPr>
          <w:p w14:paraId="29CDA693" w14:textId="77777777" w:rsidR="00A5751A" w:rsidRPr="00785940" w:rsidRDefault="00A5751A" w:rsidP="007E13C0">
            <w:pPr>
              <w:pStyle w:val="ListParagraph"/>
              <w:ind w:left="0"/>
              <w:rPr>
                <w:rFonts w:cs="Arial"/>
              </w:rPr>
            </w:pPr>
            <w:r>
              <w:t>34 %</w:t>
            </w:r>
          </w:p>
        </w:tc>
      </w:tr>
      <w:tr w:rsidR="00A5751A" w:rsidRPr="00785940" w14:paraId="7B1BBC66" w14:textId="77777777" w:rsidTr="007E13C0">
        <w:tc>
          <w:tcPr>
            <w:tcW w:w="1358" w:type="dxa"/>
          </w:tcPr>
          <w:p w14:paraId="1EEECB98" w14:textId="77777777" w:rsidR="00A5751A" w:rsidRPr="00785940" w:rsidRDefault="00A5751A" w:rsidP="007E13C0">
            <w:pPr>
              <w:pStyle w:val="ListParagraph"/>
              <w:ind w:left="0"/>
              <w:rPr>
                <w:rFonts w:cs="Arial"/>
              </w:rPr>
            </w:pPr>
            <w:r>
              <w:t>Малайзия</w:t>
            </w:r>
          </w:p>
        </w:tc>
        <w:tc>
          <w:tcPr>
            <w:tcW w:w="1823" w:type="dxa"/>
          </w:tcPr>
          <w:p w14:paraId="4A053F9D" w14:textId="77777777" w:rsidR="00A5751A" w:rsidRPr="00785940" w:rsidRDefault="00A5751A" w:rsidP="007E13C0">
            <w:pPr>
              <w:pStyle w:val="ListParagraph"/>
              <w:ind w:left="0"/>
              <w:rPr>
                <w:rFonts w:cs="Arial"/>
              </w:rPr>
            </w:pPr>
            <w:r>
              <w:t>83</w:t>
            </w:r>
          </w:p>
        </w:tc>
        <w:tc>
          <w:tcPr>
            <w:tcW w:w="1263" w:type="dxa"/>
          </w:tcPr>
          <w:p w14:paraId="4666491E" w14:textId="77777777" w:rsidR="00A5751A" w:rsidRPr="00785940" w:rsidRDefault="00A5751A" w:rsidP="007E13C0">
            <w:pPr>
              <w:pStyle w:val="ListParagraph"/>
              <w:ind w:left="0"/>
              <w:rPr>
                <w:rFonts w:cs="Arial"/>
              </w:rPr>
            </w:pPr>
            <w:r>
              <w:t>36</w:t>
            </w:r>
          </w:p>
        </w:tc>
        <w:tc>
          <w:tcPr>
            <w:tcW w:w="1084" w:type="dxa"/>
          </w:tcPr>
          <w:p w14:paraId="5D0FF0FE" w14:textId="77777777" w:rsidR="00A5751A" w:rsidRPr="00785940" w:rsidRDefault="00A5751A" w:rsidP="007E13C0">
            <w:pPr>
              <w:pStyle w:val="ListParagraph"/>
              <w:ind w:left="0"/>
              <w:rPr>
                <w:rFonts w:cs="Arial"/>
              </w:rPr>
            </w:pPr>
            <w:r>
              <w:t>43 %</w:t>
            </w:r>
          </w:p>
        </w:tc>
        <w:tc>
          <w:tcPr>
            <w:tcW w:w="1445" w:type="dxa"/>
          </w:tcPr>
          <w:p w14:paraId="479D2C18" w14:textId="77777777" w:rsidR="00A5751A" w:rsidRPr="00785940" w:rsidRDefault="00A5751A" w:rsidP="007E13C0">
            <w:pPr>
              <w:pStyle w:val="ListParagraph"/>
              <w:ind w:left="0"/>
              <w:rPr>
                <w:rFonts w:cs="Arial"/>
              </w:rPr>
            </w:pPr>
            <w:r>
              <w:t>47</w:t>
            </w:r>
          </w:p>
        </w:tc>
        <w:tc>
          <w:tcPr>
            <w:tcW w:w="1084" w:type="dxa"/>
          </w:tcPr>
          <w:p w14:paraId="73B17D2A" w14:textId="77777777" w:rsidR="00A5751A" w:rsidRPr="00785940" w:rsidRDefault="00A5751A" w:rsidP="007E13C0">
            <w:pPr>
              <w:pStyle w:val="ListParagraph"/>
              <w:ind w:left="0"/>
              <w:rPr>
                <w:rFonts w:cs="Arial"/>
              </w:rPr>
            </w:pPr>
            <w:r>
              <w:t>57 %</w:t>
            </w:r>
          </w:p>
        </w:tc>
      </w:tr>
      <w:tr w:rsidR="00A5751A" w:rsidRPr="00785940" w14:paraId="7F7FD95C" w14:textId="77777777" w:rsidTr="007E13C0">
        <w:tc>
          <w:tcPr>
            <w:tcW w:w="1358" w:type="dxa"/>
          </w:tcPr>
          <w:p w14:paraId="721796E7" w14:textId="77777777" w:rsidR="00A5751A" w:rsidRPr="00785940" w:rsidRDefault="00A5751A" w:rsidP="007E13C0">
            <w:pPr>
              <w:pStyle w:val="ListParagraph"/>
              <w:ind w:left="0"/>
              <w:rPr>
                <w:rFonts w:cs="Arial"/>
              </w:rPr>
            </w:pPr>
            <w:r>
              <w:t>Марокко</w:t>
            </w:r>
          </w:p>
        </w:tc>
        <w:tc>
          <w:tcPr>
            <w:tcW w:w="1823" w:type="dxa"/>
          </w:tcPr>
          <w:p w14:paraId="0E0513E2" w14:textId="77777777" w:rsidR="00A5751A" w:rsidRPr="00785940" w:rsidRDefault="00A5751A" w:rsidP="007E13C0">
            <w:pPr>
              <w:pStyle w:val="ListParagraph"/>
              <w:ind w:left="0"/>
              <w:rPr>
                <w:rFonts w:cs="Arial"/>
              </w:rPr>
            </w:pPr>
            <w:r>
              <w:t>60</w:t>
            </w:r>
          </w:p>
        </w:tc>
        <w:tc>
          <w:tcPr>
            <w:tcW w:w="1263" w:type="dxa"/>
          </w:tcPr>
          <w:p w14:paraId="73D8713B" w14:textId="77777777" w:rsidR="00A5751A" w:rsidRPr="00785940" w:rsidRDefault="00A5751A" w:rsidP="007E13C0">
            <w:pPr>
              <w:pStyle w:val="ListParagraph"/>
              <w:ind w:left="0"/>
              <w:rPr>
                <w:rFonts w:cs="Arial"/>
              </w:rPr>
            </w:pPr>
            <w:r>
              <w:t>44</w:t>
            </w:r>
          </w:p>
        </w:tc>
        <w:tc>
          <w:tcPr>
            <w:tcW w:w="1084" w:type="dxa"/>
          </w:tcPr>
          <w:p w14:paraId="517CE41C" w14:textId="77777777" w:rsidR="00A5751A" w:rsidRPr="00785940" w:rsidRDefault="00A5751A" w:rsidP="007E13C0">
            <w:pPr>
              <w:pStyle w:val="ListParagraph"/>
              <w:ind w:left="0"/>
              <w:rPr>
                <w:rFonts w:cs="Arial"/>
              </w:rPr>
            </w:pPr>
            <w:r>
              <w:t>73 %</w:t>
            </w:r>
          </w:p>
        </w:tc>
        <w:tc>
          <w:tcPr>
            <w:tcW w:w="1445" w:type="dxa"/>
          </w:tcPr>
          <w:p w14:paraId="3F47F3CB" w14:textId="77777777" w:rsidR="00A5751A" w:rsidRPr="00785940" w:rsidRDefault="00A5751A" w:rsidP="007E13C0">
            <w:pPr>
              <w:pStyle w:val="ListParagraph"/>
              <w:ind w:left="0"/>
              <w:rPr>
                <w:rFonts w:cs="Arial"/>
              </w:rPr>
            </w:pPr>
            <w:r>
              <w:t>16</w:t>
            </w:r>
          </w:p>
        </w:tc>
        <w:tc>
          <w:tcPr>
            <w:tcW w:w="1084" w:type="dxa"/>
          </w:tcPr>
          <w:p w14:paraId="4660829F" w14:textId="77777777" w:rsidR="00A5751A" w:rsidRPr="00785940" w:rsidRDefault="00A5751A" w:rsidP="007E13C0">
            <w:pPr>
              <w:pStyle w:val="ListParagraph"/>
              <w:ind w:left="0"/>
              <w:rPr>
                <w:rFonts w:cs="Arial"/>
              </w:rPr>
            </w:pPr>
            <w:r>
              <w:t>27 %</w:t>
            </w:r>
          </w:p>
        </w:tc>
      </w:tr>
      <w:tr w:rsidR="00A5751A" w:rsidRPr="00785940" w14:paraId="09445BA7" w14:textId="77777777" w:rsidTr="007E13C0">
        <w:tc>
          <w:tcPr>
            <w:tcW w:w="1358" w:type="dxa"/>
            <w:shd w:val="clear" w:color="auto" w:fill="9CC2E5" w:themeFill="accent1" w:themeFillTint="99"/>
            <w:vAlign w:val="center"/>
          </w:tcPr>
          <w:p w14:paraId="66C2A930" w14:textId="77777777" w:rsidR="00A5751A" w:rsidRPr="00785940" w:rsidRDefault="00A5751A" w:rsidP="007E13C0">
            <w:pPr>
              <w:pStyle w:val="ListParagraph"/>
              <w:ind w:left="0"/>
              <w:rPr>
                <w:rFonts w:eastAsiaTheme="minorEastAsia" w:cs="Arial"/>
                <w:b/>
                <w:bCs/>
              </w:rPr>
            </w:pPr>
            <w:r>
              <w:rPr>
                <w:b/>
              </w:rPr>
              <w:t>Итого</w:t>
            </w:r>
          </w:p>
        </w:tc>
        <w:tc>
          <w:tcPr>
            <w:tcW w:w="1823" w:type="dxa"/>
            <w:shd w:val="clear" w:color="auto" w:fill="9CC2E5" w:themeFill="accent1" w:themeFillTint="99"/>
            <w:vAlign w:val="center"/>
          </w:tcPr>
          <w:p w14:paraId="54E17F90" w14:textId="77777777" w:rsidR="00A5751A" w:rsidRPr="00785940" w:rsidRDefault="00A5751A" w:rsidP="007E13C0">
            <w:pPr>
              <w:pStyle w:val="ListParagraph"/>
              <w:ind w:left="0"/>
              <w:rPr>
                <w:rFonts w:cs="Arial"/>
                <w:b/>
                <w:bCs/>
              </w:rPr>
            </w:pPr>
            <w:r>
              <w:rPr>
                <w:b/>
              </w:rPr>
              <w:t>633</w:t>
            </w:r>
          </w:p>
        </w:tc>
        <w:tc>
          <w:tcPr>
            <w:tcW w:w="1263" w:type="dxa"/>
            <w:shd w:val="clear" w:color="auto" w:fill="9CC2E5" w:themeFill="accent1" w:themeFillTint="99"/>
            <w:vAlign w:val="center"/>
          </w:tcPr>
          <w:p w14:paraId="69E78B15" w14:textId="77777777" w:rsidR="00A5751A" w:rsidRPr="00785940" w:rsidRDefault="00A5751A" w:rsidP="007E13C0">
            <w:pPr>
              <w:pStyle w:val="ListParagraph"/>
              <w:ind w:left="0"/>
              <w:rPr>
                <w:rFonts w:cs="Arial"/>
                <w:b/>
                <w:bCs/>
              </w:rPr>
            </w:pPr>
            <w:r>
              <w:rPr>
                <w:b/>
              </w:rPr>
              <w:t>348</w:t>
            </w:r>
          </w:p>
        </w:tc>
        <w:tc>
          <w:tcPr>
            <w:tcW w:w="1084" w:type="dxa"/>
            <w:shd w:val="clear" w:color="auto" w:fill="9CC2E5" w:themeFill="accent1" w:themeFillTint="99"/>
            <w:vAlign w:val="center"/>
          </w:tcPr>
          <w:p w14:paraId="72CF8150" w14:textId="77777777" w:rsidR="00A5751A" w:rsidRPr="00785940" w:rsidRDefault="00A5751A" w:rsidP="007E13C0">
            <w:pPr>
              <w:pStyle w:val="ListParagraph"/>
              <w:ind w:left="0"/>
              <w:rPr>
                <w:rFonts w:cs="Arial"/>
                <w:b/>
                <w:bCs/>
              </w:rPr>
            </w:pPr>
            <w:r>
              <w:rPr>
                <w:b/>
              </w:rPr>
              <w:t>55 %</w:t>
            </w:r>
          </w:p>
        </w:tc>
        <w:tc>
          <w:tcPr>
            <w:tcW w:w="1445" w:type="dxa"/>
            <w:shd w:val="clear" w:color="auto" w:fill="9CC2E5" w:themeFill="accent1" w:themeFillTint="99"/>
            <w:vAlign w:val="center"/>
          </w:tcPr>
          <w:p w14:paraId="1DA0CE5B" w14:textId="77777777" w:rsidR="00A5751A" w:rsidRPr="00785940" w:rsidRDefault="00A5751A" w:rsidP="007E13C0">
            <w:pPr>
              <w:pStyle w:val="ListParagraph"/>
              <w:ind w:left="0"/>
              <w:rPr>
                <w:rFonts w:cs="Arial"/>
                <w:b/>
                <w:bCs/>
              </w:rPr>
            </w:pPr>
            <w:r>
              <w:rPr>
                <w:b/>
              </w:rPr>
              <w:t>285</w:t>
            </w:r>
          </w:p>
        </w:tc>
        <w:tc>
          <w:tcPr>
            <w:tcW w:w="1084" w:type="dxa"/>
            <w:shd w:val="clear" w:color="auto" w:fill="9CC2E5" w:themeFill="accent1" w:themeFillTint="99"/>
            <w:vAlign w:val="center"/>
          </w:tcPr>
          <w:p w14:paraId="3D1928F0" w14:textId="77777777" w:rsidR="00A5751A" w:rsidRPr="00785940" w:rsidRDefault="00A5751A" w:rsidP="007E13C0">
            <w:pPr>
              <w:pStyle w:val="ListParagraph"/>
              <w:ind w:left="0"/>
              <w:rPr>
                <w:rFonts w:cs="Arial"/>
                <w:b/>
                <w:bCs/>
              </w:rPr>
            </w:pPr>
            <w:r>
              <w:rPr>
                <w:b/>
              </w:rPr>
              <w:t>45 %</w:t>
            </w:r>
          </w:p>
        </w:tc>
      </w:tr>
    </w:tbl>
    <w:p w14:paraId="2122392C" w14:textId="51C69C74" w:rsidR="002105F6" w:rsidRPr="00216E05" w:rsidRDefault="002105F6" w:rsidP="0050484E">
      <w:pPr>
        <w:keepNext/>
        <w:keepLines/>
        <w:spacing w:before="240" w:after="240"/>
        <w:jc w:val="both"/>
        <w:outlineLvl w:val="1"/>
        <w:rPr>
          <w:rFonts w:eastAsia="Times New Roman"/>
          <w:b/>
          <w:szCs w:val="22"/>
        </w:rPr>
      </w:pPr>
      <w:bookmarkStart w:id="26" w:name="_Toc129099348"/>
      <w:r>
        <w:rPr>
          <w:b/>
        </w:rPr>
        <w:t>Устойчивость</w:t>
      </w:r>
      <w:bookmarkEnd w:id="26"/>
    </w:p>
    <w:p w14:paraId="1FA084BC" w14:textId="28A02B2B" w:rsidR="002105F6" w:rsidRPr="00523C8A" w:rsidRDefault="007E13C0" w:rsidP="00523C8A">
      <w:pPr>
        <w:numPr>
          <w:ilvl w:val="0"/>
          <w:numId w:val="13"/>
        </w:numPr>
        <w:spacing w:after="240"/>
        <w:ind w:left="432"/>
        <w:rPr>
          <w:rFonts w:eastAsia="Times New Roman"/>
          <w:szCs w:val="22"/>
        </w:rPr>
      </w:pPr>
      <w:r>
        <w:t>В ходе проекта подчеркивалась важность таких принципов, как ответственность за результаты и устойчивость.  Проект привлек внимание к местным ведомствам ИС, повысил осведомленность министерств туризма о работе в сфере ИС, а также популяризовал мандат и роль ВОИС.  Была проведена работа для реализации изменений в будущем, однако оценка и количественное измерение долгосрочных результатов, достигнутых в ходе данного проекта, затруднительны.  За исключением Перу, в странах-бенефициарах в начале реализации проекта не была установлена связь между ИС и пищевыми продуктами или пищевыми продуктами и туризмом.</w:t>
      </w:r>
    </w:p>
    <w:p w14:paraId="4AEF2CDB" w14:textId="010B4D1A" w:rsidR="007E13C0" w:rsidRPr="007E13C0" w:rsidRDefault="007E13C0" w:rsidP="007E13C0">
      <w:pPr>
        <w:numPr>
          <w:ilvl w:val="0"/>
          <w:numId w:val="13"/>
        </w:numPr>
        <w:spacing w:after="240"/>
        <w:ind w:left="432"/>
        <w:rPr>
          <w:rFonts w:eastAsia="Times New Roman"/>
          <w:szCs w:val="22"/>
        </w:rPr>
      </w:pPr>
      <w:r>
        <w:t>Эксперт по оценке согласна со всеми респондентами, заявившими, что долгосрочные результаты проекта будут зависеть от последующей работы.  Разработка и реализация данного проекта сыграли важнейшую роль: были заложены основы и собрана статистика и данные по теме ИС и гастрономического туризма, которая была совершенно новой для стран-бенефициаров.  Проект способствовал созданию фундамента для последующей работы и повышения осведомленности о том, какой вклад использование ИС может внести в деятельность в сфере гастрономического туризма.</w:t>
      </w:r>
    </w:p>
    <w:p w14:paraId="6E948DBD" w14:textId="2B625639" w:rsidR="007E13C0" w:rsidRPr="00E36522" w:rsidRDefault="007E13C0" w:rsidP="00E36522">
      <w:pPr>
        <w:keepNext/>
        <w:keepLines/>
        <w:spacing w:after="240"/>
        <w:jc w:val="both"/>
        <w:outlineLvl w:val="1"/>
        <w:rPr>
          <w:b/>
          <w:szCs w:val="22"/>
        </w:rPr>
      </w:pPr>
      <w:bookmarkStart w:id="27" w:name="_Toc129099349"/>
      <w:r>
        <w:rPr>
          <w:b/>
        </w:rPr>
        <w:t>Выполнение рекомендаций Повестки дня в области развития</w:t>
      </w:r>
      <w:bookmarkEnd w:id="27"/>
    </w:p>
    <w:p w14:paraId="1696D2BC" w14:textId="0A714299" w:rsidR="00EB4DFE" w:rsidRPr="00EB4DFE" w:rsidRDefault="00EB4DFE" w:rsidP="007E13C0">
      <w:pPr>
        <w:numPr>
          <w:ilvl w:val="0"/>
          <w:numId w:val="13"/>
        </w:numPr>
        <w:spacing w:after="240"/>
        <w:rPr>
          <w:rFonts w:eastAsia="Times New Roman"/>
          <w:szCs w:val="22"/>
        </w:rPr>
      </w:pPr>
      <w:r>
        <w:t>Все респонденты согласились, что рекомендации ПДР 1, 10 и 12, безусловно, были выполнены.  Проект был обусловлен спросом, ориентирован на развитие и реализован прозрачным способом.  Хотя в рамках данного проекта не была разработана инфраструктура, он помог государствам-членам укрепить национальный потенциал в сфере ИС и обеспечить охрану ИС.</w:t>
      </w:r>
    </w:p>
    <w:p w14:paraId="536CBEB4" w14:textId="5641DEC5" w:rsidR="00EB4DFE" w:rsidRPr="00EB4DFE" w:rsidRDefault="00EB4DFE" w:rsidP="00EB4DFE">
      <w:pPr>
        <w:keepNext/>
        <w:keepLines/>
        <w:spacing w:after="240"/>
        <w:jc w:val="both"/>
        <w:outlineLvl w:val="1"/>
        <w:rPr>
          <w:b/>
          <w:szCs w:val="22"/>
        </w:rPr>
      </w:pPr>
      <w:bookmarkStart w:id="28" w:name="_Toc129099350"/>
      <w:r>
        <w:rPr>
          <w:b/>
        </w:rPr>
        <w:t>Привлечение внимания к ВОИС</w:t>
      </w:r>
      <w:bookmarkEnd w:id="28"/>
    </w:p>
    <w:p w14:paraId="25C7501B" w14:textId="0D058D29" w:rsidR="00EB4DFE" w:rsidRPr="00EB4DFE" w:rsidRDefault="00EB4DFE" w:rsidP="00EB4DFE">
      <w:pPr>
        <w:numPr>
          <w:ilvl w:val="0"/>
          <w:numId w:val="13"/>
        </w:numPr>
        <w:spacing w:after="240"/>
        <w:rPr>
          <w:rFonts w:eastAsia="Times New Roman"/>
          <w:szCs w:val="22"/>
        </w:rPr>
      </w:pPr>
      <w:r>
        <w:t xml:space="preserve">Реализованные мероприятия укрепили репутацию ВОИС среди заинтересованных сторон и органов государственной власти стран-бенефициаров.  По мнению заинтересованных сторон, мероприятия в рамках проекта стали ярким примером работы ВОИС и ее содействия охране ИС.  Стороны также отметили, что проект повысил осведомленность общественности о вопросах ИС и гастрономии.  Рассмотренные документы и проведенные собеседования показали, что в ряде стран ранее не было известно о деятельности ВОИС, в том числе о ней не знали представители министерств туризма, повара и члены гастрономических гильдий.  Данный проект предоставил возможность осветить ИС в рамках новой темы, популяризовать ВОИС в других сегментах, где о ней раньше не знали, и продемонстрировать возможность использования ИС в секторе экономики, связанном с гастрономией.  В ходе семинаров, круглых столов и обсуждений происходило крайне </w:t>
      </w:r>
      <w:r>
        <w:lastRenderedPageBreak/>
        <w:t>положительное взаимодействие, которое помогло повысить информированность о мандате и работе ВОИС.</w:t>
      </w:r>
    </w:p>
    <w:p w14:paraId="24343E49" w14:textId="64366E14" w:rsidR="00EB4DFE" w:rsidRPr="00EB4DFE" w:rsidRDefault="00EB4DFE" w:rsidP="00EB4DFE">
      <w:pPr>
        <w:numPr>
          <w:ilvl w:val="0"/>
          <w:numId w:val="13"/>
        </w:numPr>
        <w:spacing w:after="240"/>
        <w:rPr>
          <w:rFonts w:eastAsia="Times New Roman"/>
          <w:szCs w:val="22"/>
        </w:rPr>
      </w:pPr>
      <w:r>
        <w:t>Оценка позволила установить, что данный проект также способствовал налаживанию новых направлений сотрудничества с профильными органами власти и другими учреждениями ООН (Всемирная туристская организация (ЮНВТО)), дав им возможность объединить усилия и совместно работать над аналогичными проектами в будущем.</w:t>
      </w:r>
    </w:p>
    <w:p w14:paraId="72863C4B" w14:textId="22877DF3" w:rsidR="00EB4DFE" w:rsidRPr="00EB4DFE" w:rsidRDefault="00EB4DFE" w:rsidP="00EB4DFE">
      <w:pPr>
        <w:keepNext/>
        <w:keepLines/>
        <w:spacing w:after="240"/>
        <w:jc w:val="both"/>
        <w:outlineLvl w:val="1"/>
        <w:rPr>
          <w:b/>
          <w:szCs w:val="22"/>
        </w:rPr>
      </w:pPr>
      <w:bookmarkStart w:id="29" w:name="_Toc129099351"/>
      <w:r>
        <w:rPr>
          <w:b/>
        </w:rPr>
        <w:t>Ценность вмешательства ВОИС</w:t>
      </w:r>
      <w:bookmarkEnd w:id="29"/>
    </w:p>
    <w:p w14:paraId="61BAC97F" w14:textId="466E6606" w:rsidR="002105F6" w:rsidRPr="00EB4DFE" w:rsidRDefault="00EB4DFE" w:rsidP="00EB4DFE">
      <w:pPr>
        <w:numPr>
          <w:ilvl w:val="0"/>
          <w:numId w:val="13"/>
        </w:numPr>
        <w:spacing w:after="240"/>
        <w:rPr>
          <w:rFonts w:eastAsia="Times New Roman"/>
          <w:szCs w:val="22"/>
        </w:rPr>
      </w:pPr>
      <w:r>
        <w:t>Проект стал поворотным моментом для всех стран-бенефициаров.  Все они согласились, что проект помог им лучше понять ИС как инструмент, способный принести выгоду туризму, в частности гастрономическому туризму.  Для большинства респондентов техническая помощь, знания, обучение и поддержка, полученная странами-бенефициарами, стали показателями ценности работы ВОИС.  Тем не менее, реальное добавление стоимости произойдет, только когда какое-либо лицо подаст заявку или зарегистрирует ИС.</w:t>
      </w:r>
    </w:p>
    <w:p w14:paraId="0A52CC87" w14:textId="7F270A1E" w:rsidR="002105F6" w:rsidRPr="00EB4DFE" w:rsidRDefault="00C131C3" w:rsidP="00EB4DFE">
      <w:pPr>
        <w:keepNext/>
        <w:keepLines/>
        <w:spacing w:after="240"/>
        <w:outlineLvl w:val="0"/>
        <w:rPr>
          <w:rFonts w:eastAsia="Times New Roman"/>
          <w:b/>
          <w:szCs w:val="22"/>
        </w:rPr>
      </w:pPr>
      <w:bookmarkStart w:id="30" w:name="_Toc129099352"/>
      <w:r>
        <w:rPr>
          <w:b/>
        </w:rPr>
        <w:t>ОСНОВНЫЕ ЗАКЛЮЧЕНИЯ И ИЗВЛЕЧЕННЫЕ УРОКИ</w:t>
      </w:r>
      <w:bookmarkEnd w:id="30"/>
    </w:p>
    <w:p w14:paraId="33E7BD86" w14:textId="02082F71" w:rsidR="00F0398C" w:rsidRDefault="00F0398C" w:rsidP="00F0398C">
      <w:pPr>
        <w:numPr>
          <w:ilvl w:val="0"/>
          <w:numId w:val="13"/>
        </w:numPr>
        <w:spacing w:after="240"/>
        <w:rPr>
          <w:rFonts w:eastAsia="Times New Roman"/>
          <w:szCs w:val="22"/>
        </w:rPr>
      </w:pPr>
      <w:r>
        <w:t>Опрошенные заинтересованные стороны высоко оценили работу ВОИС.  Высокая актуальность обеспечивается оригинальностью темы, новаторской для бенефициаров проекта, и ценностью компетенций и опыта ВОИС в пилотных проектах такого типа.  Опрошенные заинтересованные стороны (координаторы в странах, где был реализован проект, эксперты, координаторы проекта и представители государств-членов) единодушно заявили, что интерес к гастрономическому туризму и его связи с ИС возрастал по мере реализации проекта.</w:t>
      </w:r>
    </w:p>
    <w:p w14:paraId="52E9C25B" w14:textId="70B9D7C7" w:rsidR="002105F6" w:rsidRPr="00F0398C" w:rsidRDefault="00F0398C" w:rsidP="00F0398C">
      <w:pPr>
        <w:numPr>
          <w:ilvl w:val="0"/>
          <w:numId w:val="13"/>
        </w:numPr>
        <w:spacing w:after="240"/>
        <w:rPr>
          <w:rFonts w:eastAsia="Times New Roman"/>
          <w:szCs w:val="22"/>
        </w:rPr>
      </w:pPr>
      <w:r>
        <w:t xml:space="preserve">Проект был разработан в соответствии с нормами, установленными для проектов ПДР, однако сначала возник ряд трудностей, связанных с реальной обстановкой в каждой стране. Из этих проблем были оперативно извлечены следующие уроки: 1) важность вовлечения руководителя и координаторов проекта с самого начала; 2) составление проектных планов на страновом уровне, позволяющих сосредоточить усилия и добиться ответственности на местах; 3) необходимость включения в график проекта периода времени, посвященного выбору координационной группы в каждой стране, а также вводного периода для совместного обсуждения проекта и начала работы над ним; 4) объяснение процедур функционирования, требований и обязательств ВОИС, в том числе передача информации о внутренних процедурах и правилах (т.е. иерархии, предполагаемых суточных для участия в семинарах и т.д.), необходимость ясности с самого начала во избежание недопонимания и задержек в реализации проекта.  </w:t>
      </w:r>
    </w:p>
    <w:p w14:paraId="6F0D431E" w14:textId="3A2A1868" w:rsidR="00F0398C" w:rsidRDefault="00F0398C" w:rsidP="00F0398C">
      <w:pPr>
        <w:numPr>
          <w:ilvl w:val="0"/>
          <w:numId w:val="13"/>
        </w:numPr>
        <w:spacing w:after="240"/>
        <w:rPr>
          <w:rFonts w:eastAsia="Times New Roman"/>
          <w:szCs w:val="22"/>
        </w:rPr>
      </w:pPr>
      <w:r>
        <w:t>Стиль управления, использованный для реализации оцениваемого проекта, можно охарактеризовать как гибкий.  Проект гибко адаптировался к меняющимся обстоятельствам.  Меры реагирования были точными и своевременными.  Хорошей практикой является работа межведомственного совета, благодаря которому реализация проекта продолжалась после задержек, вызванных разногласиями в понимании, восприятии или ожиданиях стран-бенефициаров.  Данный проект служит доказательством того, что ключевым условием является установление связей между государственным и частным сектором, профсоюзами и научно-образовательным сообществом, позволяющее добиться синергии, расширяющее возможности проекта и повышающее его потенциал.</w:t>
      </w:r>
    </w:p>
    <w:p w14:paraId="0DF45E5B" w14:textId="7B838ED8" w:rsidR="00F0398C" w:rsidRPr="00F0398C" w:rsidRDefault="00F0398C" w:rsidP="00F0398C">
      <w:pPr>
        <w:numPr>
          <w:ilvl w:val="0"/>
          <w:numId w:val="13"/>
        </w:numPr>
        <w:contextualSpacing/>
        <w:rPr>
          <w:rFonts w:eastAsia="Times New Roman"/>
          <w:szCs w:val="22"/>
        </w:rPr>
      </w:pPr>
      <w:r>
        <w:lastRenderedPageBreak/>
        <w:t xml:space="preserve">Управление проектом было названо безупречным.  Руководители были внимательны к деталям, принимали проактивные меры на фоне трудностей и реагировали на проблемы.  Управление проектом способствовало получению ожидаемых предварительных результатов и итогов проекта.  В ходе оценки было установлено, что проект позволил достичь выдающихся результатов с точки зрения укрепления потенциала и повышения осведомленности о выгодах использования ИС в деятельности по гастрономическому туризму.  На результат не повлияли различные трудности, возникавшие в ходе реализации проекта (например, незнание типов инструментов ИС основными участниками; высокая текучесть кадров среди представителей профсоюзов и ассоциаций, связанных с туризмом и гастрономией; ограничения на перемещения в связи с пандемией COVID-19 и влияние этого на выполняемую работу). </w:t>
      </w:r>
    </w:p>
    <w:p w14:paraId="77E44836" w14:textId="10DD4F8C" w:rsidR="00F0398C" w:rsidRPr="00741DCA" w:rsidRDefault="00F0398C" w:rsidP="00F0398C">
      <w:pPr>
        <w:contextualSpacing/>
        <w:rPr>
          <w:rFonts w:eastAsia="Times New Roman"/>
          <w:szCs w:val="22"/>
          <w:lang w:eastAsia="en-US"/>
        </w:rPr>
      </w:pPr>
    </w:p>
    <w:p w14:paraId="43F0C926" w14:textId="5502BCC0" w:rsidR="002105F6" w:rsidRPr="00F0398C" w:rsidRDefault="00F0398C" w:rsidP="00F0398C">
      <w:pPr>
        <w:numPr>
          <w:ilvl w:val="0"/>
          <w:numId w:val="13"/>
        </w:numPr>
        <w:contextualSpacing/>
        <w:rPr>
          <w:rFonts w:eastAsia="Times New Roman"/>
          <w:szCs w:val="22"/>
        </w:rPr>
      </w:pPr>
      <w:r>
        <w:t xml:space="preserve">Мероприятия по распространению информации и привлечению внимания в рамках проекта были реализованы, и они дали различные результаты.  Однако такие мероприятия, как считается, были реализованы с опозданием и названы выдающимися только в Перу.  Более активная работа по распространению информации на ранних этапах проекта позволила бы повысить ожидания и привлечь новых стратегических союзников, которые изначально не были выявлены.  Тем не менее, мероприятия по привлечению внимания позволили повысить информированность о том, как ВОИС поддерживает развитие, а также о преимуществах использования ИС в гастрономическом туризме, и вовлечь в работу большее число национальных ведомств ИС, профсоюзов, представителей частного сектора и научно-образовательного сообщества.  </w:t>
      </w:r>
    </w:p>
    <w:p w14:paraId="44336468" w14:textId="77777777" w:rsidR="002105F6" w:rsidRPr="008B4CB3" w:rsidRDefault="002105F6" w:rsidP="002105F6">
      <w:pPr>
        <w:keepNext/>
        <w:keepLines/>
        <w:spacing w:before="240"/>
        <w:outlineLvl w:val="0"/>
        <w:rPr>
          <w:rFonts w:eastAsia="Times New Roman"/>
          <w:b/>
          <w:szCs w:val="22"/>
        </w:rPr>
      </w:pPr>
      <w:bookmarkStart w:id="31" w:name="_Toc129099353"/>
      <w:r>
        <w:rPr>
          <w:b/>
        </w:rPr>
        <w:t>РЕКОМЕНДАЦИИ</w:t>
      </w:r>
      <w:bookmarkEnd w:id="31"/>
    </w:p>
    <w:p w14:paraId="029FCEDD" w14:textId="77777777" w:rsidR="002105F6" w:rsidRPr="00E61EB7" w:rsidRDefault="002105F6" w:rsidP="002105F6">
      <w:pPr>
        <w:rPr>
          <w:rFonts w:eastAsia="Times New Roman"/>
          <w:szCs w:val="22"/>
          <w:lang w:val="en-GB" w:eastAsia="en-US"/>
        </w:rPr>
      </w:pPr>
    </w:p>
    <w:p w14:paraId="11497B6D" w14:textId="650FE525" w:rsidR="008B4CB3" w:rsidRPr="00E61EB7" w:rsidRDefault="008B4CB3" w:rsidP="0050484E">
      <w:pPr>
        <w:pStyle w:val="ListParagraph"/>
        <w:numPr>
          <w:ilvl w:val="0"/>
          <w:numId w:val="13"/>
        </w:numPr>
        <w:spacing w:after="240"/>
        <w:contextualSpacing w:val="0"/>
      </w:pPr>
      <w:r>
        <w:t>Ниже представлены рекомендации, основанные на вышеприведенных заключениях.  Во многих случаях наилучшие результаты дает сотрудничество между участниками процесса.</w:t>
      </w:r>
    </w:p>
    <w:p w14:paraId="41B3D1E1" w14:textId="655CDC1C" w:rsidR="008B4CB3" w:rsidRPr="00E61EB7" w:rsidRDefault="008B4CB3" w:rsidP="000B0790">
      <w:pPr>
        <w:numPr>
          <w:ilvl w:val="1"/>
          <w:numId w:val="33"/>
        </w:numPr>
        <w:ind w:left="1059"/>
        <w:contextualSpacing/>
        <w:rPr>
          <w:rFonts w:eastAsia="Times New Roman"/>
          <w:szCs w:val="22"/>
        </w:rPr>
      </w:pPr>
      <w:r>
        <w:t xml:space="preserve">Оказывать дальнейшую поддержку деятельности в сфере ИС и гастрономического туризма в странах – бенефициарах проекта. </w:t>
      </w:r>
    </w:p>
    <w:p w14:paraId="1D88A628" w14:textId="436379D8" w:rsidR="002105F6" w:rsidRPr="00E61EB7" w:rsidRDefault="008B4CB3" w:rsidP="000B0790">
      <w:pPr>
        <w:pStyle w:val="ListParagraph"/>
        <w:numPr>
          <w:ilvl w:val="0"/>
          <w:numId w:val="35"/>
        </w:numPr>
        <w:spacing w:before="120" w:after="120" w:line="240" w:lineRule="auto"/>
        <w:ind w:left="1440"/>
        <w:rPr>
          <w:bCs/>
        </w:rPr>
      </w:pPr>
      <w:r>
        <w:t>Рассмотреть возможность распространения данного проекта на другие страны, заинтересованные в этой теме, учитывая извлеченные уроки и лучшие практики.</w:t>
      </w:r>
    </w:p>
    <w:p w14:paraId="239B236E" w14:textId="3A2038A5" w:rsidR="008B4CB3" w:rsidRPr="00E61EB7" w:rsidRDefault="008B4CB3" w:rsidP="000B0790">
      <w:pPr>
        <w:numPr>
          <w:ilvl w:val="1"/>
          <w:numId w:val="33"/>
        </w:numPr>
        <w:spacing w:after="240"/>
        <w:ind w:left="1066"/>
        <w:rPr>
          <w:rFonts w:eastAsia="Times New Roman"/>
          <w:szCs w:val="22"/>
        </w:rPr>
      </w:pPr>
      <w:r>
        <w:t>Уделять больше внимания стадии подготовки / планирования проекта с привлечением руководителя и координаторов проекта, чтобы они взяли на себя ответственность за проект с момента его разработки и могли внести больший вклад в его реализацию.</w:t>
      </w:r>
    </w:p>
    <w:p w14:paraId="14396D65" w14:textId="32CE1F16" w:rsidR="008B4CB3" w:rsidRPr="00E61EB7" w:rsidRDefault="008B4CB3" w:rsidP="000B0790">
      <w:pPr>
        <w:numPr>
          <w:ilvl w:val="1"/>
          <w:numId w:val="33"/>
        </w:numPr>
        <w:ind w:left="1059"/>
        <w:contextualSpacing/>
        <w:rPr>
          <w:rFonts w:eastAsia="Times New Roman"/>
          <w:szCs w:val="22"/>
        </w:rPr>
      </w:pPr>
      <w:r>
        <w:t>Рассмотреть возможность выделения большего времени на стадии создания проекта, чтобы выработать уникальный подход, ознакомиться с ожиданиями, внутренними ролями и процедурами всех заинтересованных сторон, сформировать проектные группы на местах, пояснить процедуры функционирования ВОИС и т.д.</w:t>
      </w:r>
    </w:p>
    <w:p w14:paraId="71ABA763" w14:textId="77777777" w:rsidR="008B4CB3" w:rsidRPr="00E61EB7" w:rsidRDefault="008B4CB3" w:rsidP="000B0790">
      <w:pPr>
        <w:pStyle w:val="ListParagraph"/>
        <w:numPr>
          <w:ilvl w:val="0"/>
          <w:numId w:val="36"/>
        </w:numPr>
        <w:spacing w:before="120" w:after="120" w:line="240" w:lineRule="auto"/>
        <w:ind w:left="1440"/>
      </w:pPr>
      <w:r>
        <w:t xml:space="preserve">Вовлечь делегации из государств-членов на подготовительной стадии проекта, чтобы облегчить переход от разработки проекта к формированию проектных групп на местах. </w:t>
      </w:r>
    </w:p>
    <w:p w14:paraId="38B0EF05" w14:textId="04B57F0C" w:rsidR="008B4CB3" w:rsidRPr="00E61EB7" w:rsidRDefault="008B4CB3" w:rsidP="000B0790">
      <w:pPr>
        <w:pStyle w:val="ListParagraph"/>
        <w:numPr>
          <w:ilvl w:val="0"/>
          <w:numId w:val="36"/>
        </w:numPr>
        <w:spacing w:before="120" w:after="120" w:line="240" w:lineRule="auto"/>
        <w:ind w:left="1440"/>
      </w:pPr>
      <w:r>
        <w:t>Разработать ясные руководства и профиль участия для стран-бенефициаров.</w:t>
      </w:r>
    </w:p>
    <w:p w14:paraId="5802F063" w14:textId="77777777" w:rsidR="008B4CB3" w:rsidRPr="00E61EB7" w:rsidRDefault="008B4CB3" w:rsidP="000B0790">
      <w:pPr>
        <w:pStyle w:val="ListParagraph"/>
        <w:numPr>
          <w:ilvl w:val="0"/>
          <w:numId w:val="36"/>
        </w:numPr>
        <w:spacing w:before="120" w:after="120" w:line="240" w:lineRule="auto"/>
        <w:ind w:left="1440"/>
      </w:pPr>
      <w:r>
        <w:t xml:space="preserve">Обеспечить участие на этом этапе межведомственного совета и координаторов на местах, чтобы добиться знания темы и </w:t>
      </w:r>
      <w:r>
        <w:lastRenderedPageBreak/>
        <w:t>заинтересованности в мероприятиях и результатах, которые будут достигнуты, а также динамичной реализации проекта.</w:t>
      </w:r>
    </w:p>
    <w:p w14:paraId="3E5572A1" w14:textId="65964BD7" w:rsidR="00826616" w:rsidRPr="00826616" w:rsidRDefault="008B4CB3" w:rsidP="000B0790">
      <w:pPr>
        <w:pStyle w:val="ListParagraph"/>
        <w:numPr>
          <w:ilvl w:val="0"/>
          <w:numId w:val="36"/>
        </w:numPr>
        <w:spacing w:before="120" w:after="120" w:line="240" w:lineRule="auto"/>
        <w:ind w:left="1440"/>
      </w:pPr>
      <w:r>
        <w:t>Разрабатывать стратегии путем составления схемы заинтересованных сторон в странах-бенефициарах, чтобы обеспечить максимально широкое участие, консенсус и подтверждение ценности проекта.</w:t>
      </w:r>
    </w:p>
    <w:p w14:paraId="733F1D37" w14:textId="1119D3E5" w:rsidR="008B4CB3" w:rsidRPr="00E61EB7" w:rsidRDefault="008B4CB3" w:rsidP="000B0790">
      <w:pPr>
        <w:numPr>
          <w:ilvl w:val="1"/>
          <w:numId w:val="33"/>
        </w:numPr>
        <w:ind w:left="1059"/>
        <w:contextualSpacing/>
        <w:rPr>
          <w:rFonts w:eastAsia="Times New Roman"/>
          <w:szCs w:val="22"/>
        </w:rPr>
      </w:pPr>
      <w:r>
        <w:t xml:space="preserve">Создать внутреннее сообщество специалистов-практиков, чтобы национальные координаторы, координаторы проекта и руководитель проекта могли с легкостью обмениваться опытом и общаться.  Данная платформа поможет совместно преодолевать препятствия с учетом индивидуального подхода в каждой стране.  Кроме того, это сообщество станет платформой для обмена информацией и извлеченными уроками, а также для организации более тесной командной работы. </w:t>
      </w:r>
    </w:p>
    <w:p w14:paraId="3A013688" w14:textId="26E2A3BA" w:rsidR="008B4CB3" w:rsidRPr="00E61EB7" w:rsidRDefault="008B4CB3" w:rsidP="000B0790">
      <w:pPr>
        <w:pStyle w:val="ListParagraph"/>
        <w:numPr>
          <w:ilvl w:val="0"/>
          <w:numId w:val="37"/>
        </w:numPr>
        <w:spacing w:before="120" w:after="120" w:line="240" w:lineRule="auto"/>
        <w:ind w:left="1440"/>
      </w:pPr>
      <w:r>
        <w:t>Добиться более глубокого понимания проекта на страновом уровне за счет регулярных совещаний, обсуждений и т.д.</w:t>
      </w:r>
    </w:p>
    <w:p w14:paraId="29B17334" w14:textId="7F6E8A22" w:rsidR="00991A9F" w:rsidRPr="00E61EB7" w:rsidRDefault="00991A9F" w:rsidP="000B0790">
      <w:pPr>
        <w:pStyle w:val="ListParagraph"/>
        <w:numPr>
          <w:ilvl w:val="0"/>
          <w:numId w:val="37"/>
        </w:numPr>
        <w:spacing w:before="120" w:after="120" w:line="240" w:lineRule="auto"/>
        <w:ind w:left="1440"/>
      </w:pPr>
      <w:r>
        <w:t>Стимулировать участие и повысить интерес координаторов за счет частого обмена информацией, опытом и лучшими практиками.</w:t>
      </w:r>
    </w:p>
    <w:p w14:paraId="77DA9A2E" w14:textId="607A1E1A" w:rsidR="008B4CB3" w:rsidRPr="00E61EB7" w:rsidRDefault="008B4CB3" w:rsidP="000B0790">
      <w:pPr>
        <w:numPr>
          <w:ilvl w:val="1"/>
          <w:numId w:val="33"/>
        </w:numPr>
        <w:spacing w:after="240"/>
        <w:ind w:left="1066"/>
        <w:rPr>
          <w:rFonts w:eastAsia="Times New Roman"/>
          <w:szCs w:val="22"/>
        </w:rPr>
      </w:pPr>
      <w:r>
        <w:t>Продолжить работу с государственным и частным сектором, профсоюзами и научно-образовательным сообществом, чтобы выявить как можно больше точек зрения, получить максимум информации и знаний, одновременно повышая вероятность долгосрочной устойчивости за счет вовлечения в проект этих сторон.</w:t>
      </w:r>
    </w:p>
    <w:p w14:paraId="750893BE" w14:textId="530FF872" w:rsidR="008B4CB3" w:rsidRPr="00E61EB7" w:rsidRDefault="008B4CB3" w:rsidP="000B0790">
      <w:pPr>
        <w:numPr>
          <w:ilvl w:val="1"/>
          <w:numId w:val="33"/>
        </w:numPr>
        <w:spacing w:after="240"/>
        <w:ind w:left="1066"/>
        <w:rPr>
          <w:rFonts w:eastAsia="Times New Roman"/>
          <w:szCs w:val="22"/>
        </w:rPr>
      </w:pPr>
      <w:r>
        <w:t>Разработать структуру результатов и контроля со стандартизированными и проверяемыми индикаторами, применимыми к различным мероприятиям, чтобы отчитываться по результатам; такие индикаторы должны указывать, что является успешным проектом в сфере ИС и гастрономического туризма.</w:t>
      </w:r>
    </w:p>
    <w:p w14:paraId="6033FDEF" w14:textId="33D98814" w:rsidR="008B4CB3" w:rsidRPr="00E61EB7" w:rsidRDefault="008B4CB3" w:rsidP="000B0790">
      <w:pPr>
        <w:numPr>
          <w:ilvl w:val="1"/>
          <w:numId w:val="33"/>
        </w:numPr>
        <w:spacing w:after="240"/>
        <w:ind w:left="1066"/>
        <w:rPr>
          <w:rFonts w:eastAsia="Times New Roman"/>
          <w:szCs w:val="22"/>
        </w:rPr>
      </w:pPr>
      <w:r>
        <w:t>Разработать коммуникационную стратегию для формирования стратегических союзов с самого начала реализации проекта и распространения информации о проекте не только на его веб-странице.</w:t>
      </w:r>
    </w:p>
    <w:p w14:paraId="119D64E3" w14:textId="0980FE79" w:rsidR="002105F6" w:rsidRDefault="00E61EB7" w:rsidP="000B0790">
      <w:pPr>
        <w:numPr>
          <w:ilvl w:val="1"/>
          <w:numId w:val="33"/>
        </w:numPr>
        <w:ind w:left="1059"/>
        <w:contextualSpacing/>
        <w:rPr>
          <w:rFonts w:eastAsia="Times New Roman"/>
          <w:szCs w:val="22"/>
        </w:rPr>
      </w:pPr>
      <w:r>
        <w:t>Формирование новых партнерских отношений и усиление взаимодействия с ЮНВТО.</w:t>
      </w:r>
    </w:p>
    <w:p w14:paraId="0D837571" w14:textId="6633BC23" w:rsidR="00CB286E" w:rsidRPr="009D1764" w:rsidRDefault="00CB286E" w:rsidP="00E36DE8">
      <w:pPr>
        <w:pStyle w:val="Endofdocument"/>
        <w:spacing w:before="720"/>
        <w:ind w:left="5530"/>
        <w:rPr>
          <w:rFonts w:asciiTheme="minorBidi" w:hAnsiTheme="minorBidi" w:cstheme="minorBidi"/>
          <w:color w:val="000000" w:themeColor="text1"/>
        </w:rPr>
      </w:pPr>
      <w:r>
        <w:rPr>
          <w:rFonts w:asciiTheme="minorBidi" w:hAnsiTheme="minorBidi"/>
          <w:color w:val="000000" w:themeColor="text1"/>
        </w:rPr>
        <w:t>[Дополнения прилагаются отдельно (только на английском языке)]</w:t>
      </w:r>
    </w:p>
    <w:sectPr w:rsidR="00CB286E" w:rsidRPr="009D1764" w:rsidSect="00E36DE8">
      <w:headerReference w:type="first" r:id="rId20"/>
      <w:endnotePr>
        <w:numFmt w:val="decimal"/>
      </w:endnotePr>
      <w:pgSz w:w="11907" w:h="16840" w:code="9"/>
      <w:pgMar w:top="567" w:right="1134" w:bottom="1079"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EDB581" w14:textId="77777777" w:rsidR="00741DCA" w:rsidRDefault="00741DCA">
      <w:r>
        <w:separator/>
      </w:r>
    </w:p>
  </w:endnote>
  <w:endnote w:type="continuationSeparator" w:id="0">
    <w:p w14:paraId="0A126E79" w14:textId="77777777" w:rsidR="00741DCA" w:rsidRDefault="00741DCA" w:rsidP="003B38C1">
      <w:r>
        <w:separator/>
      </w:r>
    </w:p>
    <w:p w14:paraId="0024DCF8" w14:textId="77777777" w:rsidR="00741DCA" w:rsidRPr="00741DCA" w:rsidRDefault="00741DCA" w:rsidP="003B38C1">
      <w:pPr>
        <w:spacing w:after="60"/>
        <w:rPr>
          <w:sz w:val="17"/>
          <w:lang w:val="en-US"/>
        </w:rPr>
      </w:pPr>
      <w:r w:rsidRPr="00741DCA">
        <w:rPr>
          <w:sz w:val="17"/>
          <w:lang w:val="en-US"/>
        </w:rPr>
        <w:t>[Endnote continued from previous page]</w:t>
      </w:r>
    </w:p>
  </w:endnote>
  <w:endnote w:type="continuationNotice" w:id="1">
    <w:p w14:paraId="5C170471" w14:textId="77777777" w:rsidR="00741DCA" w:rsidRPr="00741DCA" w:rsidRDefault="00741DCA" w:rsidP="003B38C1">
      <w:pPr>
        <w:spacing w:before="60"/>
        <w:jc w:val="right"/>
        <w:rPr>
          <w:sz w:val="17"/>
          <w:szCs w:val="17"/>
          <w:lang w:val="en-US"/>
        </w:rPr>
      </w:pPr>
      <w:r w:rsidRPr="00741DCA">
        <w:rPr>
          <w:sz w:val="17"/>
          <w:szCs w:val="17"/>
          <w:lang w:val="en-US"/>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rlito">
    <w:altName w:val="Calibri"/>
    <w:charset w:val="00"/>
    <w:family w:val="swiss"/>
    <w:pitch w:val="variable"/>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Batang">
    <w:altName w:val="바탕"/>
    <w:panose1 w:val="02030600000101010101"/>
    <w:charset w:val="81"/>
    <w:family w:val="roman"/>
    <w:pitch w:val="variable"/>
    <w:sig w:usb0="00000000"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Helvetica Light">
    <w:charset w:val="00"/>
    <w:family w:val="swiss"/>
    <w:pitch w:val="variable"/>
    <w:sig w:usb0="800000AF" w:usb1="4000204A" w:usb2="00000000" w:usb3="00000000" w:csb0="00000001" w:csb1="00000000"/>
  </w:font>
  <w:font w:name="Times New Roman (Cuerpo en alfa">
    <w:altName w:val="Times New Roman"/>
    <w:charset w:val="00"/>
    <w:family w:val="roman"/>
    <w:pitch w:val="variable"/>
    <w:sig w:usb0="E0002AEF" w:usb1="C0007841"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7CF377" w14:textId="77777777" w:rsidR="00741DCA" w:rsidRDefault="00741D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31B9EF" w14:textId="77777777" w:rsidR="00741DCA" w:rsidRDefault="00741DC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724341" w14:textId="77777777" w:rsidR="00741DCA" w:rsidRDefault="00741D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1BCEC8" w14:textId="77777777" w:rsidR="00741DCA" w:rsidRDefault="00741DCA">
      <w:r>
        <w:separator/>
      </w:r>
    </w:p>
  </w:footnote>
  <w:footnote w:type="continuationSeparator" w:id="0">
    <w:p w14:paraId="30C2AFFB" w14:textId="77777777" w:rsidR="00741DCA" w:rsidRDefault="00741DCA" w:rsidP="008B60B2">
      <w:r>
        <w:separator/>
      </w:r>
    </w:p>
    <w:p w14:paraId="37E5F09F" w14:textId="77777777" w:rsidR="00741DCA" w:rsidRPr="00741DCA" w:rsidRDefault="00741DCA" w:rsidP="008B60B2">
      <w:pPr>
        <w:spacing w:after="60"/>
        <w:rPr>
          <w:sz w:val="17"/>
          <w:szCs w:val="17"/>
          <w:lang w:val="en-US"/>
        </w:rPr>
      </w:pPr>
      <w:r w:rsidRPr="00741DCA">
        <w:rPr>
          <w:sz w:val="17"/>
          <w:szCs w:val="17"/>
          <w:lang w:val="en-US"/>
        </w:rPr>
        <w:t>[Footnote continued from previous page]</w:t>
      </w:r>
    </w:p>
  </w:footnote>
  <w:footnote w:type="continuationNotice" w:id="1">
    <w:p w14:paraId="2014A0A7" w14:textId="77777777" w:rsidR="00741DCA" w:rsidRPr="00741DCA" w:rsidRDefault="00741DCA" w:rsidP="008B60B2">
      <w:pPr>
        <w:spacing w:before="60"/>
        <w:jc w:val="right"/>
        <w:rPr>
          <w:sz w:val="17"/>
          <w:szCs w:val="17"/>
          <w:lang w:val="en-US"/>
        </w:rPr>
      </w:pPr>
      <w:r w:rsidRPr="00741DCA">
        <w:rPr>
          <w:sz w:val="17"/>
          <w:szCs w:val="17"/>
          <w:lang w:val="en-US"/>
        </w:rPr>
        <w:t>[Footnote continued on next page]</w:t>
      </w:r>
    </w:p>
  </w:footnote>
  <w:footnote w:id="2">
    <w:p w14:paraId="0CAC9E16" w14:textId="71A56DD9" w:rsidR="00741DCA" w:rsidRDefault="00741DCA">
      <w:pPr>
        <w:pStyle w:val="FootnoteText"/>
      </w:pPr>
      <w:r>
        <w:rPr>
          <w:rStyle w:val="FootnoteReference"/>
        </w:rPr>
        <w:footnoteRef/>
      </w:r>
      <w:r>
        <w:t xml:space="preserve"> С рекомендациями ПДР можно ознакомиться на сайте </w:t>
      </w:r>
      <w:hyperlink r:id="rId1" w:history="1">
        <w:r>
          <w:rPr>
            <w:rStyle w:val="Hyperlink"/>
          </w:rPr>
          <w:t>www.wipo.int/ip-development/ru/agenda/recommendations.html</w:t>
        </w:r>
      </w:hyperlink>
      <w:r>
        <w:t xml:space="preserve"> </w:t>
      </w:r>
    </w:p>
  </w:footnote>
  <w:footnote w:id="3">
    <w:p w14:paraId="3FBEFAB6" w14:textId="727424B3" w:rsidR="00741DCA" w:rsidRDefault="00741DCA">
      <w:pPr>
        <w:pStyle w:val="FootnoteText"/>
      </w:pPr>
      <w:r>
        <w:rPr>
          <w:rStyle w:val="FootnoteReference"/>
        </w:rPr>
        <w:footnoteRef/>
      </w:r>
      <w:r>
        <w:t xml:space="preserve"> </w:t>
      </w:r>
      <w:r>
        <w:t xml:space="preserve">См. документ CDIP/22/14 REV. по ссылке:  </w:t>
      </w:r>
      <w:hyperlink r:id="rId2" w:history="1">
        <w:r>
          <w:rPr>
            <w:rStyle w:val="Hyperlink"/>
          </w:rPr>
          <w:t>www.wipo.int/meetings/ru/doc_details.jsp?doc_id=421371</w:t>
        </w:r>
      </w:hyperlink>
      <w:r>
        <w:t xml:space="preserve"> </w:t>
      </w:r>
    </w:p>
  </w:footnote>
  <w:footnote w:id="4">
    <w:p w14:paraId="37D0CA24" w14:textId="29662064" w:rsidR="00741DCA" w:rsidRDefault="00741DCA">
      <w:pPr>
        <w:pStyle w:val="FootnoteText"/>
      </w:pPr>
      <w:r>
        <w:rPr>
          <w:rStyle w:val="FootnoteReference"/>
        </w:rPr>
        <w:footnoteRef/>
      </w:r>
      <w:r>
        <w:t>А именно: 1. инициирование проекта; 2. подготовка / планирование проекта; 3. процесс утверждения государствами-членами; 4. создание проекта; 5. реализация проекта; 6. мониторинг проекта; 7. закрытие проекта; и 8. оценка проекта.</w:t>
      </w:r>
    </w:p>
  </w:footnote>
  <w:footnote w:id="5">
    <w:p w14:paraId="414FD8FE" w14:textId="3388304D" w:rsidR="00741DCA" w:rsidRDefault="00741DCA">
      <w:pPr>
        <w:pStyle w:val="FootnoteText"/>
      </w:pPr>
      <w:r>
        <w:rPr>
          <w:rStyle w:val="FootnoteReference"/>
        </w:rPr>
        <w:footnoteRef/>
      </w:r>
      <w:r>
        <w:t xml:space="preserve"> </w:t>
      </w:r>
      <w:r>
        <w:t xml:space="preserve">Например, </w:t>
      </w:r>
      <w:r>
        <w:t>в инициативе Entrepreneurs Online Network (EON), в рамках которой в 2022 году был организован ряд вебинаров, основное внимание уделялось сектору сельского хозяйства и пищевой промышленности.</w:t>
      </w:r>
    </w:p>
  </w:footnote>
  <w:footnote w:id="6">
    <w:p w14:paraId="0D4216DE" w14:textId="6CB0E56E" w:rsidR="00741DCA" w:rsidRDefault="00741DCA">
      <w:pPr>
        <w:pStyle w:val="FootnoteText"/>
      </w:pPr>
      <w:r>
        <w:rPr>
          <w:rStyle w:val="FootnoteReference"/>
        </w:rPr>
        <w:footnoteRef/>
      </w:r>
      <w:r>
        <w:t xml:space="preserve"> </w:t>
      </w:r>
      <w:r>
        <w:t xml:space="preserve">Веб-сайт </w:t>
      </w:r>
      <w:r>
        <w:t xml:space="preserve">доступен по адресу:  </w:t>
      </w:r>
      <w:hyperlink r:id="rId3" w:history="1">
        <w:r>
          <w:rPr>
            <w:rStyle w:val="Hyperlink"/>
          </w:rPr>
          <w:t>www.wipo.int/ip-development/en/agenda/projects/ip-and-gastronomic-tourism.html</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1CC00F" w14:textId="77777777" w:rsidR="00741DCA" w:rsidRDefault="00741D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5D61A" w14:textId="19C6A926" w:rsidR="00741DCA" w:rsidRPr="002326AB" w:rsidRDefault="00741DCA" w:rsidP="00C2769B">
    <w:pPr>
      <w:jc w:val="right"/>
      <w:rPr>
        <w:caps/>
      </w:rPr>
    </w:pPr>
    <w:r>
      <w:rPr>
        <w:caps/>
      </w:rPr>
      <w:t>CDIP/30/10</w:t>
    </w:r>
  </w:p>
  <w:p w14:paraId="5D036FB9" w14:textId="14D7A438" w:rsidR="00741DCA" w:rsidRDefault="00741DCA" w:rsidP="00C2769B">
    <w:pPr>
      <w:pStyle w:val="Header"/>
      <w:jc w:val="right"/>
    </w:pPr>
    <w:r>
      <w:t>ПРИЛОЖЕНИЕ</w:t>
    </w:r>
  </w:p>
  <w:p w14:paraId="1A7E57FF" w14:textId="23596A8C" w:rsidR="00741DCA" w:rsidRDefault="00741DCA">
    <w:pPr>
      <w:pStyle w:val="Header"/>
    </w:pPr>
  </w:p>
  <w:p w14:paraId="38593DAD" w14:textId="77777777" w:rsidR="00741DCA" w:rsidRDefault="00741D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64D34D" w14:textId="77777777" w:rsidR="00741DCA" w:rsidRDefault="00741DCA" w:rsidP="00FB6E4B">
    <w:pPr>
      <w:pStyle w:val="Header"/>
      <w:jc w:val="right"/>
    </w:pPr>
  </w:p>
  <w:p w14:paraId="200B3F57" w14:textId="77777777" w:rsidR="00741DCA" w:rsidRDefault="00741DCA" w:rsidP="00FB6E4B">
    <w:pPr>
      <w:pStyle w:val="Header"/>
      <w:jc w:val="right"/>
    </w:pPr>
    <w: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A42435" w14:textId="44E5A0C2" w:rsidR="00741DCA" w:rsidRPr="002326AB" w:rsidRDefault="00741DCA" w:rsidP="00C2769B">
    <w:pPr>
      <w:jc w:val="right"/>
      <w:rPr>
        <w:caps/>
      </w:rPr>
    </w:pPr>
    <w:r>
      <w:rPr>
        <w:caps/>
      </w:rPr>
      <w:t>CDIP/30/10</w:t>
    </w:r>
  </w:p>
  <w:p w14:paraId="660DE10A" w14:textId="63659D57" w:rsidR="00741DCA" w:rsidRDefault="00741DCA" w:rsidP="00C2769B">
    <w:pPr>
      <w:pStyle w:val="Header"/>
      <w:jc w:val="right"/>
    </w:pPr>
    <w:r>
      <w:t>Приложение, стр.</w:t>
    </w:r>
    <w:r>
      <w:fldChar w:fldCharType="begin"/>
    </w:r>
    <w:r>
      <w:instrText xml:space="preserve"> PAGE   \* MERGEFORMAT </w:instrText>
    </w:r>
    <w:r>
      <w:fldChar w:fldCharType="separate"/>
    </w:r>
    <w:r w:rsidR="002C03A0">
      <w:rPr>
        <w:noProof/>
      </w:rPr>
      <w:t>17</w:t>
    </w:r>
    <w:r>
      <w:fldChar w:fldCharType="end"/>
    </w:r>
  </w:p>
  <w:p w14:paraId="3D7F2A07" w14:textId="74142112" w:rsidR="00741DCA" w:rsidRDefault="00741DCA">
    <w:pPr>
      <w:pStyle w:val="Header"/>
    </w:pPr>
  </w:p>
  <w:p w14:paraId="4345A327" w14:textId="77777777" w:rsidR="00741DCA" w:rsidRDefault="00741DC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7B3260" w14:textId="546340B4" w:rsidR="00741DCA" w:rsidRPr="002326AB" w:rsidRDefault="00741DCA" w:rsidP="007E4182">
    <w:pPr>
      <w:jc w:val="right"/>
      <w:rPr>
        <w:caps/>
      </w:rPr>
    </w:pPr>
    <w:bookmarkStart w:id="21" w:name="Code2"/>
    <w:bookmarkEnd w:id="21"/>
    <w:r>
      <w:rPr>
        <w:caps/>
      </w:rPr>
      <w:t>CDIP/30/10</w:t>
    </w:r>
  </w:p>
  <w:p w14:paraId="1F488D3B" w14:textId="4F776DBC" w:rsidR="00741DCA" w:rsidRDefault="00741DCA" w:rsidP="007E4182">
    <w:pPr>
      <w:pStyle w:val="Header"/>
      <w:jc w:val="right"/>
    </w:pPr>
    <w:r>
      <w:t>Приложение, стр.</w:t>
    </w:r>
    <w:r>
      <w:fldChar w:fldCharType="begin"/>
    </w:r>
    <w:r>
      <w:instrText xml:space="preserve"> PAGE   \* MERGEFORMAT </w:instrText>
    </w:r>
    <w:r>
      <w:fldChar w:fldCharType="separate"/>
    </w:r>
    <w:r w:rsidR="002C03A0">
      <w:rPr>
        <w:noProof/>
      </w:rPr>
      <w:t>2</w:t>
    </w:r>
    <w:r>
      <w:fldChar w:fldCharType="end"/>
    </w:r>
  </w:p>
  <w:p w14:paraId="2C8598FA" w14:textId="77777777" w:rsidR="00741DCA" w:rsidRDefault="00741DCA" w:rsidP="00FB6E4B">
    <w:pPr>
      <w:pStyle w:val="Header"/>
      <w:jc w:val="right"/>
    </w:pPr>
  </w:p>
  <w:p w14:paraId="1C4A739B" w14:textId="77777777" w:rsidR="00741DCA" w:rsidRDefault="00741DCA" w:rsidP="00FB6E4B">
    <w:pPr>
      <w:pStyle w:val="Header"/>
      <w:jc w:val="right"/>
    </w:pPr>
    <w:r>
      <w:tab/>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7AFD2E" w14:textId="77777777" w:rsidR="00741DCA" w:rsidRPr="002326AB" w:rsidRDefault="00741DCA" w:rsidP="007E4182">
    <w:pPr>
      <w:jc w:val="right"/>
      <w:rPr>
        <w:caps/>
      </w:rPr>
    </w:pPr>
    <w:r>
      <w:rPr>
        <w:caps/>
      </w:rPr>
      <w:t>CDIP/30/10</w:t>
    </w:r>
  </w:p>
  <w:p w14:paraId="6A209F56" w14:textId="1E54E2BA" w:rsidR="00741DCA" w:rsidRDefault="00741DCA" w:rsidP="00E36DE8">
    <w:pPr>
      <w:pStyle w:val="Header"/>
      <w:jc w:val="right"/>
    </w:pPr>
    <w:r>
      <w:t>Приложение, стр.</w:t>
    </w:r>
    <w:r>
      <w:fldChar w:fldCharType="begin"/>
    </w:r>
    <w:r>
      <w:instrText xml:space="preserve"> PAGE   \* MERGEFORMAT </w:instrText>
    </w:r>
    <w:r>
      <w:fldChar w:fldCharType="separate"/>
    </w:r>
    <w:r w:rsidR="002C03A0">
      <w:rPr>
        <w:noProof/>
      </w:rPr>
      <w:t>9</w:t>
    </w:r>
    <w:r>
      <w:fldChar w:fldCharType="end"/>
    </w:r>
  </w:p>
  <w:p w14:paraId="6C17CFAB" w14:textId="77777777" w:rsidR="00741DCA" w:rsidRDefault="00741DCA" w:rsidP="00FB6E4B">
    <w:pPr>
      <w:pStyle w:val="Header"/>
      <w:jc w:val="right"/>
    </w:pPr>
  </w:p>
  <w:p w14:paraId="6886B38D" w14:textId="77777777" w:rsidR="00741DCA" w:rsidRDefault="00741DCA" w:rsidP="00FB6E4B">
    <w:pPr>
      <w:pStyle w:val="Header"/>
      <w:jc w:val="right"/>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F9E197A"/>
    <w:lvl w:ilvl="0">
      <w:start w:val="1"/>
      <w:numFmt w:val="decimal"/>
      <w:pStyle w:val="ListNumber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39BE79A6"/>
    <w:lvl w:ilvl="0">
      <w:start w:val="1"/>
      <w:numFmt w:val="decimal"/>
      <w:pStyle w:val="ListNumber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2DD81AC6"/>
    <w:lvl w:ilvl="0">
      <w:start w:val="1"/>
      <w:numFmt w:val="decimal"/>
      <w:pStyle w:val="ListNumber3"/>
      <w:lvlText w:val="%1."/>
      <w:lvlJc w:val="left"/>
      <w:pPr>
        <w:tabs>
          <w:tab w:val="num" w:pos="926"/>
        </w:tabs>
        <w:ind w:left="926" w:hanging="360"/>
      </w:pPr>
      <w:rPr>
        <w:rFonts w:cs="Times New Roman"/>
      </w:rPr>
    </w:lvl>
  </w:abstractNum>
  <w:abstractNum w:abstractNumId="3" w15:restartNumberingAfterBreak="0">
    <w:nsid w:val="FFFFFF7F"/>
    <w:multiLevelType w:val="singleLevel"/>
    <w:tmpl w:val="F07EAD54"/>
    <w:lvl w:ilvl="0">
      <w:start w:val="1"/>
      <w:numFmt w:val="decimal"/>
      <w:pStyle w:val="ListNumber2"/>
      <w:lvlText w:val="%1."/>
      <w:lvlJc w:val="left"/>
      <w:pPr>
        <w:tabs>
          <w:tab w:val="num" w:pos="643"/>
        </w:tabs>
        <w:ind w:left="643" w:hanging="360"/>
      </w:pPr>
      <w:rPr>
        <w:rFonts w:cs="Times New Roman"/>
      </w:rPr>
    </w:lvl>
  </w:abstractNum>
  <w:abstractNum w:abstractNumId="4" w15:restartNumberingAfterBreak="0">
    <w:nsid w:val="05AD6BF4"/>
    <w:multiLevelType w:val="hybridMultilevel"/>
    <w:tmpl w:val="7AAEFF56"/>
    <w:lvl w:ilvl="0" w:tplc="0C0A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6CD29E3"/>
    <w:multiLevelType w:val="multilevel"/>
    <w:tmpl w:val="23A27C9C"/>
    <w:lvl w:ilvl="0">
      <w:start w:val="1"/>
      <w:numFmt w:val="lowerLetter"/>
      <w:lvlRestart w:val="0"/>
      <w:pStyle w:val="ONUME"/>
      <w:lvlText w:val="(%1)"/>
      <w:lvlJc w:val="left"/>
      <w:pPr>
        <w:tabs>
          <w:tab w:val="num" w:pos="1134"/>
        </w:tabs>
        <w:ind w:left="567" w:firstLine="0"/>
      </w:pPr>
      <w:rPr>
        <w:rFonts w:ascii="Arial" w:eastAsia="SimSun" w:hAnsi="Arial" w:cs="Arial"/>
      </w:rPr>
    </w:lvl>
    <w:lvl w:ilvl="1">
      <w:start w:val="1"/>
      <w:numFmt w:val="lowerLetter"/>
      <w:lvlText w:val="(%2)"/>
      <w:lvlJc w:val="left"/>
      <w:pPr>
        <w:tabs>
          <w:tab w:val="num" w:pos="1701"/>
        </w:tabs>
        <w:ind w:left="1134" w:firstLine="0"/>
      </w:pPr>
      <w:rPr>
        <w:rFonts w:hint="default"/>
      </w:rPr>
    </w:lvl>
    <w:lvl w:ilvl="2">
      <w:start w:val="1"/>
      <w:numFmt w:val="lowerRoman"/>
      <w:lvlText w:val="(%3)"/>
      <w:lvlJc w:val="left"/>
      <w:pPr>
        <w:tabs>
          <w:tab w:val="num" w:pos="2268"/>
        </w:tabs>
        <w:ind w:left="1701"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6" w15:restartNumberingAfterBreak="0">
    <w:nsid w:val="0D45404D"/>
    <w:multiLevelType w:val="hybridMultilevel"/>
    <w:tmpl w:val="0AB2B1B6"/>
    <w:lvl w:ilvl="0" w:tplc="0C0A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411340"/>
    <w:multiLevelType w:val="hybridMultilevel"/>
    <w:tmpl w:val="5C049BB2"/>
    <w:lvl w:ilvl="0" w:tplc="4D66B20E">
      <w:start w:val="1"/>
      <w:numFmt w:val="bullet"/>
      <w:lvlText w:val=""/>
      <w:lvlJc w:val="left"/>
      <w:pPr>
        <w:ind w:left="720" w:hanging="360"/>
      </w:pPr>
      <w:rPr>
        <w:rFonts w:ascii="Wingdings" w:hAnsi="Wingdings" w:hint="default"/>
        <w:b w:val="0"/>
        <w:i w:val="0"/>
        <w:color w:val="auto"/>
        <w:sz w:val="2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B193675"/>
    <w:multiLevelType w:val="hybridMultilevel"/>
    <w:tmpl w:val="FA182992"/>
    <w:lvl w:ilvl="0" w:tplc="895AB3D0">
      <w:start w:val="7"/>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CFD3E68"/>
    <w:multiLevelType w:val="hybridMultilevel"/>
    <w:tmpl w:val="99A00CBA"/>
    <w:lvl w:ilvl="0" w:tplc="BCE8804E">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0" w15:restartNumberingAfterBreak="0">
    <w:nsid w:val="1F8A1930"/>
    <w:multiLevelType w:val="hybridMultilevel"/>
    <w:tmpl w:val="91B8AF9A"/>
    <w:lvl w:ilvl="0" w:tplc="48404A2E">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2" w15:restartNumberingAfterBreak="0">
    <w:nsid w:val="204539C4"/>
    <w:multiLevelType w:val="hybridMultilevel"/>
    <w:tmpl w:val="B1080E88"/>
    <w:lvl w:ilvl="0" w:tplc="110A2204">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214E5645"/>
    <w:multiLevelType w:val="hybridMultilevel"/>
    <w:tmpl w:val="B9A6AE4A"/>
    <w:lvl w:ilvl="0" w:tplc="4FB6611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996598"/>
    <w:multiLevelType w:val="hybridMultilevel"/>
    <w:tmpl w:val="ADC4A696"/>
    <w:lvl w:ilvl="0" w:tplc="7D1AC7E6">
      <w:start w:val="1"/>
      <w:numFmt w:val="decimal"/>
      <w:lvlText w:val="%1."/>
      <w:lvlJc w:val="left"/>
      <w:pPr>
        <w:ind w:left="360" w:hanging="360"/>
      </w:pPr>
      <w:rPr>
        <w:b w:val="0"/>
        <w:bCs w:val="0"/>
      </w:rPr>
    </w:lvl>
    <w:lvl w:ilvl="1" w:tplc="4ABA302A">
      <w:start w:val="1"/>
      <w:numFmt w:val="lowerRoman"/>
      <w:lvlText w:val="(%2)"/>
      <w:lvlJc w:val="left"/>
      <w:pPr>
        <w:ind w:left="1440" w:hanging="360"/>
      </w:pPr>
      <w:rPr>
        <w:rFonts w:hint="default"/>
        <w:lang w:val="en-GB"/>
      </w:r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59338C2"/>
    <w:multiLevelType w:val="hybridMultilevel"/>
    <w:tmpl w:val="EF1E1B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5A850F8"/>
    <w:multiLevelType w:val="multilevel"/>
    <w:tmpl w:val="84C29204"/>
    <w:lvl w:ilvl="0">
      <w:start w:val="1"/>
      <w:numFmt w:val="decimal"/>
      <w:lvlRestart w:val="0"/>
      <w:lvlText w:val="%1."/>
      <w:lvlJc w:val="left"/>
      <w:pPr>
        <w:tabs>
          <w:tab w:val="num" w:pos="567"/>
        </w:tabs>
        <w:ind w:left="0" w:firstLine="0"/>
      </w:pPr>
      <w:rPr>
        <w:rFonts w:ascii="Arial" w:eastAsia="SimSun" w:hAnsi="Arial" w:cs="Arial" w:hint="default"/>
      </w:rPr>
    </w:lvl>
    <w:lvl w:ilvl="1">
      <w:start w:val="1"/>
      <w:numFmt w:val="lowerRoman"/>
      <w:lvlText w:val="(%2)"/>
      <w:lvlJc w:val="left"/>
      <w:pPr>
        <w:tabs>
          <w:tab w:val="num" w:pos="1134"/>
        </w:tabs>
        <w:ind w:left="0" w:firstLine="567"/>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17" w15:restartNumberingAfterBreak="0">
    <w:nsid w:val="2C840644"/>
    <w:multiLevelType w:val="hybridMultilevel"/>
    <w:tmpl w:val="FBFA4110"/>
    <w:lvl w:ilvl="0" w:tplc="04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04E6074"/>
    <w:multiLevelType w:val="hybridMultilevel"/>
    <w:tmpl w:val="0E58AC5C"/>
    <w:lvl w:ilvl="0" w:tplc="FE42C090">
      <w:start w:val="1"/>
      <w:numFmt w:val="decimal"/>
      <w:lvlText w:val="%1."/>
      <w:lvlJc w:val="left"/>
      <w:pPr>
        <w:ind w:left="1704" w:hanging="57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9" w15:restartNumberingAfterBreak="0">
    <w:nsid w:val="31A13D87"/>
    <w:multiLevelType w:val="hybridMultilevel"/>
    <w:tmpl w:val="87C8644C"/>
    <w:lvl w:ilvl="0" w:tplc="FB86C8F8">
      <w:start w:val="1"/>
      <w:numFmt w:val="decimal"/>
      <w:pStyle w:val="ToRNumberedparas"/>
      <w:lvlText w:val="%1."/>
      <w:lvlJc w:val="left"/>
      <w:pPr>
        <w:ind w:left="502" w:hanging="360"/>
      </w:pPr>
      <w:rPr>
        <w:rFonts w:ascii="Arial" w:hAnsi="Arial" w:cs="Arial" w:hint="default"/>
        <w:b w:val="0"/>
        <w:vertAlign w:val="baseline"/>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1A70318"/>
    <w:multiLevelType w:val="multilevel"/>
    <w:tmpl w:val="87AC30B0"/>
    <w:lvl w:ilvl="0">
      <w:start w:val="1"/>
      <w:numFmt w:val="decimal"/>
      <w:lvlText w:val="%1"/>
      <w:lvlJc w:val="left"/>
      <w:pPr>
        <w:ind w:left="572" w:hanging="432"/>
      </w:pPr>
      <w:rPr>
        <w:rFonts w:ascii="Arial" w:eastAsia="Carlito" w:hAnsi="Arial" w:cs="Arial" w:hint="default"/>
        <w:b w:val="0"/>
        <w:bCs/>
        <w:spacing w:val="-1"/>
        <w:w w:val="100"/>
        <w:sz w:val="22"/>
        <w:szCs w:val="22"/>
        <w:lang w:val="en-US" w:eastAsia="en-US" w:bidi="ar-SA"/>
      </w:rPr>
    </w:lvl>
    <w:lvl w:ilvl="1">
      <w:start w:val="1"/>
      <w:numFmt w:val="decimal"/>
      <w:lvlText w:val="%1.%2"/>
      <w:lvlJc w:val="left"/>
      <w:pPr>
        <w:ind w:left="716" w:hanging="576"/>
      </w:pPr>
      <w:rPr>
        <w:rFonts w:ascii="Carlito" w:eastAsia="Carlito" w:hAnsi="Carlito" w:cs="Carlito" w:hint="default"/>
        <w:b/>
        <w:bCs/>
        <w:spacing w:val="-2"/>
        <w:w w:val="100"/>
        <w:sz w:val="22"/>
        <w:szCs w:val="22"/>
        <w:lang w:val="en-US" w:eastAsia="en-US" w:bidi="ar-SA"/>
      </w:rPr>
    </w:lvl>
    <w:lvl w:ilvl="2">
      <w:start w:val="9"/>
      <w:numFmt w:val="bullet"/>
      <w:lvlText w:val="-"/>
      <w:lvlJc w:val="left"/>
      <w:pPr>
        <w:ind w:left="860" w:hanging="360"/>
      </w:pPr>
      <w:rPr>
        <w:rFonts w:ascii="Calibri" w:eastAsia="Times New Roman" w:hAnsi="Calibri" w:cs="Calibri" w:hint="default"/>
      </w:rPr>
    </w:lvl>
    <w:lvl w:ilvl="3">
      <w:start w:val="1"/>
      <w:numFmt w:val="decimal"/>
      <w:lvlText w:val="%4."/>
      <w:lvlJc w:val="left"/>
      <w:pPr>
        <w:ind w:left="610" w:hanging="360"/>
      </w:pPr>
      <w:rPr>
        <w:rFonts w:ascii="Carlito" w:eastAsia="Carlito" w:hAnsi="Carlito" w:cs="Carlito" w:hint="default"/>
        <w:w w:val="100"/>
        <w:sz w:val="22"/>
        <w:szCs w:val="22"/>
        <w:lang w:val="en-US" w:eastAsia="en-US" w:bidi="ar-SA"/>
      </w:rPr>
    </w:lvl>
    <w:lvl w:ilvl="4">
      <w:numFmt w:val="bullet"/>
      <w:lvlText w:val="•"/>
      <w:lvlJc w:val="left"/>
      <w:pPr>
        <w:ind w:left="2747" w:hanging="360"/>
      </w:pPr>
      <w:rPr>
        <w:rFonts w:hint="default"/>
        <w:lang w:val="en-US" w:eastAsia="en-US" w:bidi="ar-SA"/>
      </w:rPr>
    </w:lvl>
    <w:lvl w:ilvl="5">
      <w:numFmt w:val="bullet"/>
      <w:lvlText w:val="•"/>
      <w:lvlJc w:val="left"/>
      <w:pPr>
        <w:ind w:left="3914" w:hanging="360"/>
      </w:pPr>
      <w:rPr>
        <w:rFonts w:hint="default"/>
        <w:lang w:val="en-US" w:eastAsia="en-US" w:bidi="ar-SA"/>
      </w:rPr>
    </w:lvl>
    <w:lvl w:ilvl="6">
      <w:numFmt w:val="bullet"/>
      <w:lvlText w:val="•"/>
      <w:lvlJc w:val="left"/>
      <w:pPr>
        <w:ind w:left="5081" w:hanging="360"/>
      </w:pPr>
      <w:rPr>
        <w:rFonts w:hint="default"/>
        <w:lang w:val="en-US" w:eastAsia="en-US" w:bidi="ar-SA"/>
      </w:rPr>
    </w:lvl>
    <w:lvl w:ilvl="7">
      <w:numFmt w:val="bullet"/>
      <w:lvlText w:val="•"/>
      <w:lvlJc w:val="left"/>
      <w:pPr>
        <w:ind w:left="6249" w:hanging="360"/>
      </w:pPr>
      <w:rPr>
        <w:rFonts w:hint="default"/>
        <w:lang w:val="en-US" w:eastAsia="en-US" w:bidi="ar-SA"/>
      </w:rPr>
    </w:lvl>
    <w:lvl w:ilvl="8">
      <w:numFmt w:val="bullet"/>
      <w:lvlText w:val="•"/>
      <w:lvlJc w:val="left"/>
      <w:pPr>
        <w:ind w:left="7416" w:hanging="360"/>
      </w:pPr>
      <w:rPr>
        <w:rFonts w:hint="default"/>
        <w:lang w:val="en-US" w:eastAsia="en-US" w:bidi="ar-SA"/>
      </w:rPr>
    </w:lvl>
  </w:abstractNum>
  <w:abstractNum w:abstractNumId="21" w15:restartNumberingAfterBreak="0">
    <w:nsid w:val="34067865"/>
    <w:multiLevelType w:val="multilevel"/>
    <w:tmpl w:val="A8CAD5C8"/>
    <w:lvl w:ilvl="0">
      <w:start w:val="1"/>
      <w:numFmt w:val="decimal"/>
      <w:lvlRestart w:val="0"/>
      <w:lvlText w:val="%1."/>
      <w:lvlJc w:val="left"/>
      <w:pPr>
        <w:tabs>
          <w:tab w:val="num" w:pos="1134"/>
        </w:tabs>
        <w:ind w:left="567" w:firstLine="0"/>
      </w:pPr>
      <w:rPr>
        <w:rFonts w:ascii="Arial" w:eastAsia="Times New Roman" w:hAnsi="Arial" w:cs="Arial"/>
      </w:rPr>
    </w:lvl>
    <w:lvl w:ilvl="1">
      <w:start w:val="1"/>
      <w:numFmt w:val="lowerRoman"/>
      <w:lvlText w:val="(%2)"/>
      <w:lvlJc w:val="left"/>
      <w:pPr>
        <w:tabs>
          <w:tab w:val="num" w:pos="1134"/>
        </w:tabs>
        <w:ind w:left="567" w:firstLine="0"/>
      </w:pPr>
      <w:rPr>
        <w:rFonts w:ascii="Arial" w:eastAsia="SimSun" w:hAnsi="Arial" w:cs="Arial" w:hint="default"/>
      </w:rPr>
    </w:lvl>
    <w:lvl w:ilvl="2">
      <w:start w:val="1"/>
      <w:numFmt w:val="lowerRoman"/>
      <w:lvlText w:val="(%3)"/>
      <w:lvlJc w:val="left"/>
      <w:pPr>
        <w:tabs>
          <w:tab w:val="num" w:pos="2268"/>
        </w:tabs>
        <w:ind w:left="1701"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22" w15:restartNumberingAfterBreak="0">
    <w:nsid w:val="38D51494"/>
    <w:multiLevelType w:val="hybridMultilevel"/>
    <w:tmpl w:val="48A44C74"/>
    <w:lvl w:ilvl="0" w:tplc="4FB6611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0AF0ECE"/>
    <w:multiLevelType w:val="hybridMultilevel"/>
    <w:tmpl w:val="390E50A6"/>
    <w:lvl w:ilvl="0" w:tplc="4FB6611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3B1DFA"/>
    <w:multiLevelType w:val="hybridMultilevel"/>
    <w:tmpl w:val="1B701124"/>
    <w:lvl w:ilvl="0" w:tplc="FFFFFFFF">
      <w:start w:val="1"/>
      <w:numFmt w:val="decimal"/>
      <w:lvlRestart w:val="0"/>
      <w:pStyle w:val="Numbers"/>
      <w:lvlText w:val="%1)"/>
      <w:lvlJc w:val="left"/>
      <w:pPr>
        <w:tabs>
          <w:tab w:val="num" w:pos="792"/>
        </w:tabs>
        <w:ind w:left="792" w:hanging="360"/>
      </w:pPr>
      <w:rPr>
        <w:rFonts w:hint="default"/>
        <w:b w:val="0"/>
        <w:i w:val="0"/>
        <w:sz w:val="22"/>
      </w:rPr>
    </w:lvl>
    <w:lvl w:ilvl="1" w:tplc="FFFFFFFF" w:tentative="1">
      <w:start w:val="1"/>
      <w:numFmt w:val="lowerLetter"/>
      <w:lvlText w:val="%2."/>
      <w:lvlJc w:val="left"/>
      <w:pPr>
        <w:tabs>
          <w:tab w:val="num" w:pos="1872"/>
        </w:tabs>
        <w:ind w:left="1872" w:hanging="360"/>
      </w:pPr>
    </w:lvl>
    <w:lvl w:ilvl="2" w:tplc="FFFFFFFF" w:tentative="1">
      <w:start w:val="1"/>
      <w:numFmt w:val="lowerRoman"/>
      <w:lvlText w:val="%3."/>
      <w:lvlJc w:val="right"/>
      <w:pPr>
        <w:tabs>
          <w:tab w:val="num" w:pos="2592"/>
        </w:tabs>
        <w:ind w:left="2592" w:hanging="180"/>
      </w:pPr>
    </w:lvl>
    <w:lvl w:ilvl="3" w:tplc="FFFFFFFF" w:tentative="1">
      <w:start w:val="1"/>
      <w:numFmt w:val="decimal"/>
      <w:lvlText w:val="%4."/>
      <w:lvlJc w:val="left"/>
      <w:pPr>
        <w:tabs>
          <w:tab w:val="num" w:pos="3312"/>
        </w:tabs>
        <w:ind w:left="3312" w:hanging="360"/>
      </w:pPr>
    </w:lvl>
    <w:lvl w:ilvl="4" w:tplc="FFFFFFFF" w:tentative="1">
      <w:start w:val="1"/>
      <w:numFmt w:val="lowerLetter"/>
      <w:lvlText w:val="%5."/>
      <w:lvlJc w:val="left"/>
      <w:pPr>
        <w:tabs>
          <w:tab w:val="num" w:pos="4032"/>
        </w:tabs>
        <w:ind w:left="4032" w:hanging="360"/>
      </w:pPr>
    </w:lvl>
    <w:lvl w:ilvl="5" w:tplc="FFFFFFFF" w:tentative="1">
      <w:start w:val="1"/>
      <w:numFmt w:val="lowerRoman"/>
      <w:lvlText w:val="%6."/>
      <w:lvlJc w:val="right"/>
      <w:pPr>
        <w:tabs>
          <w:tab w:val="num" w:pos="4752"/>
        </w:tabs>
        <w:ind w:left="4752" w:hanging="180"/>
      </w:pPr>
    </w:lvl>
    <w:lvl w:ilvl="6" w:tplc="FFFFFFFF" w:tentative="1">
      <w:start w:val="1"/>
      <w:numFmt w:val="decimal"/>
      <w:lvlText w:val="%7."/>
      <w:lvlJc w:val="left"/>
      <w:pPr>
        <w:tabs>
          <w:tab w:val="num" w:pos="5472"/>
        </w:tabs>
        <w:ind w:left="5472" w:hanging="360"/>
      </w:pPr>
    </w:lvl>
    <w:lvl w:ilvl="7" w:tplc="FFFFFFFF" w:tentative="1">
      <w:start w:val="1"/>
      <w:numFmt w:val="lowerLetter"/>
      <w:lvlText w:val="%8."/>
      <w:lvlJc w:val="left"/>
      <w:pPr>
        <w:tabs>
          <w:tab w:val="num" w:pos="6192"/>
        </w:tabs>
        <w:ind w:left="6192" w:hanging="360"/>
      </w:pPr>
    </w:lvl>
    <w:lvl w:ilvl="8" w:tplc="FFFFFFFF" w:tentative="1">
      <w:start w:val="1"/>
      <w:numFmt w:val="lowerRoman"/>
      <w:lvlText w:val="%9."/>
      <w:lvlJc w:val="right"/>
      <w:pPr>
        <w:tabs>
          <w:tab w:val="num" w:pos="6912"/>
        </w:tabs>
        <w:ind w:left="6912" w:hanging="180"/>
      </w:pPr>
    </w:lvl>
  </w:abstractNum>
  <w:abstractNum w:abstractNumId="26" w15:restartNumberingAfterBreak="0">
    <w:nsid w:val="56FF4031"/>
    <w:multiLevelType w:val="hybridMultilevel"/>
    <w:tmpl w:val="6EDC679E"/>
    <w:lvl w:ilvl="0" w:tplc="FFFFFFFF">
      <w:start w:val="1"/>
      <w:numFmt w:val="decimal"/>
      <w:lvlText w:val="%1."/>
      <w:lvlJc w:val="left"/>
      <w:pPr>
        <w:ind w:left="502" w:hanging="360"/>
      </w:pPr>
      <w:rPr>
        <w:b w:val="0"/>
        <w:bCs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5FB57C7F"/>
    <w:multiLevelType w:val="hybridMultilevel"/>
    <w:tmpl w:val="786ADA04"/>
    <w:lvl w:ilvl="0" w:tplc="7D1AC7E6">
      <w:start w:val="1"/>
      <w:numFmt w:val="decimal"/>
      <w:lvlText w:val="%1."/>
      <w:lvlJc w:val="left"/>
      <w:pPr>
        <w:ind w:left="360" w:hanging="360"/>
      </w:pPr>
      <w:rPr>
        <w:b w:val="0"/>
        <w:bCs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6AE6E29"/>
    <w:multiLevelType w:val="hybridMultilevel"/>
    <w:tmpl w:val="39E21464"/>
    <w:lvl w:ilvl="0" w:tplc="0C0A000F">
      <w:start w:val="1"/>
      <w:numFmt w:val="decimal"/>
      <w:lvlText w:val="%1."/>
      <w:lvlJc w:val="left"/>
      <w:pPr>
        <w:ind w:left="720" w:hanging="360"/>
      </w:pPr>
      <w:rPr>
        <w:rFonts w:hint="default"/>
        <w:color w:val="auto"/>
        <w:sz w:val="28"/>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9" w15:restartNumberingAfterBreak="0">
    <w:nsid w:val="676F480C"/>
    <w:multiLevelType w:val="multilevel"/>
    <w:tmpl w:val="AF389572"/>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30" w15:restartNumberingAfterBreak="0">
    <w:nsid w:val="69371EE2"/>
    <w:multiLevelType w:val="hybridMultilevel"/>
    <w:tmpl w:val="0DBE8160"/>
    <w:lvl w:ilvl="0" w:tplc="205A5C8A">
      <w:start w:val="1"/>
      <w:numFmt w:val="bullet"/>
      <w:lvlText w:val="o"/>
      <w:lvlJc w:val="left"/>
      <w:pPr>
        <w:tabs>
          <w:tab w:val="num" w:pos="1220"/>
        </w:tabs>
        <w:ind w:left="1220" w:hanging="227"/>
      </w:pPr>
      <w:rPr>
        <w:rFonts w:ascii="Courier New" w:hAnsi="Courier New" w:hint="default"/>
      </w:rPr>
    </w:lvl>
    <w:lvl w:ilvl="1" w:tplc="08090019">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A226148C">
      <w:start w:val="1"/>
      <w:numFmt w:val="decimal"/>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B887F5C"/>
    <w:multiLevelType w:val="hybridMultilevel"/>
    <w:tmpl w:val="F13AD22C"/>
    <w:lvl w:ilvl="0" w:tplc="69845B20">
      <w:start w:val="1"/>
      <w:numFmt w:val="lowerLetter"/>
      <w:lvlText w:val="%1)"/>
      <w:lvlJc w:val="left"/>
      <w:pPr>
        <w:ind w:left="1440" w:hanging="360"/>
      </w:pPr>
      <w:rPr>
        <w:rFonts w:hint="default"/>
        <w:b w:val="0"/>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2" w15:restartNumberingAfterBreak="0">
    <w:nsid w:val="70CF7A70"/>
    <w:multiLevelType w:val="hybridMultilevel"/>
    <w:tmpl w:val="4C467D18"/>
    <w:lvl w:ilvl="0" w:tplc="2E969D68">
      <w:start w:val="4"/>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84B2BA5"/>
    <w:multiLevelType w:val="hybridMultilevel"/>
    <w:tmpl w:val="6EDC679E"/>
    <w:lvl w:ilvl="0" w:tplc="FFFFFFFF">
      <w:start w:val="1"/>
      <w:numFmt w:val="decimal"/>
      <w:lvlText w:val="%1."/>
      <w:lvlJc w:val="left"/>
      <w:pPr>
        <w:ind w:left="502" w:hanging="360"/>
      </w:pPr>
      <w:rPr>
        <w:b w:val="0"/>
        <w:bCs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7C7555AA"/>
    <w:multiLevelType w:val="hybridMultilevel"/>
    <w:tmpl w:val="0BCE4C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D6E4846"/>
    <w:multiLevelType w:val="hybridMultilevel"/>
    <w:tmpl w:val="BEDEDC0A"/>
    <w:lvl w:ilvl="0" w:tplc="76EEE58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23"/>
  </w:num>
  <w:num w:numId="2">
    <w:abstractNumId w:val="5"/>
  </w:num>
  <w:num w:numId="3">
    <w:abstractNumId w:val="11"/>
  </w:num>
  <w:num w:numId="4">
    <w:abstractNumId w:val="3"/>
  </w:num>
  <w:num w:numId="5">
    <w:abstractNumId w:val="2"/>
  </w:num>
  <w:num w:numId="6">
    <w:abstractNumId w:val="1"/>
  </w:num>
  <w:num w:numId="7">
    <w:abstractNumId w:val="0"/>
  </w:num>
  <w:num w:numId="8">
    <w:abstractNumId w:val="25"/>
  </w:num>
  <w:num w:numId="9">
    <w:abstractNumId w:val="19"/>
  </w:num>
  <w:num w:numId="10">
    <w:abstractNumId w:val="31"/>
  </w:num>
  <w:num w:numId="11">
    <w:abstractNumId w:val="9"/>
  </w:num>
  <w:num w:numId="12">
    <w:abstractNumId w:val="30"/>
  </w:num>
  <w:num w:numId="13">
    <w:abstractNumId w:val="27"/>
  </w:num>
  <w:num w:numId="14">
    <w:abstractNumId w:val="6"/>
  </w:num>
  <w:num w:numId="15">
    <w:abstractNumId w:val="7"/>
  </w:num>
  <w:num w:numId="16">
    <w:abstractNumId w:val="28"/>
  </w:num>
  <w:num w:numId="17">
    <w:abstractNumId w:val="35"/>
  </w:num>
  <w:num w:numId="18">
    <w:abstractNumId w:val="13"/>
  </w:num>
  <w:num w:numId="19">
    <w:abstractNumId w:val="32"/>
  </w:num>
  <w:num w:numId="20">
    <w:abstractNumId w:val="29"/>
  </w:num>
  <w:num w:numId="21">
    <w:abstractNumId w:val="16"/>
  </w:num>
  <w:num w:numId="22">
    <w:abstractNumId w:val="21"/>
  </w:num>
  <w:num w:numId="23">
    <w:abstractNumId w:val="29"/>
    <w:lvlOverride w:ilvl="0">
      <w:startOverride w:val="1"/>
    </w:lvlOverride>
  </w:num>
  <w:num w:numId="24">
    <w:abstractNumId w:val="34"/>
  </w:num>
  <w:num w:numId="25">
    <w:abstractNumId w:val="18"/>
  </w:num>
  <w:num w:numId="26">
    <w:abstractNumId w:val="15"/>
  </w:num>
  <w:num w:numId="27">
    <w:abstractNumId w:val="12"/>
  </w:num>
  <w:num w:numId="28">
    <w:abstractNumId w:val="26"/>
  </w:num>
  <w:num w:numId="29">
    <w:abstractNumId w:val="4"/>
  </w:num>
  <w:num w:numId="30">
    <w:abstractNumId w:val="33"/>
  </w:num>
  <w:num w:numId="31">
    <w:abstractNumId w:val="20"/>
  </w:num>
  <w:num w:numId="32">
    <w:abstractNumId w:val="8"/>
  </w:num>
  <w:num w:numId="33">
    <w:abstractNumId w:val="14"/>
  </w:num>
  <w:num w:numId="34">
    <w:abstractNumId w:val="17"/>
  </w:num>
  <w:num w:numId="35">
    <w:abstractNumId w:val="10"/>
  </w:num>
  <w:num w:numId="36">
    <w:abstractNumId w:val="24"/>
  </w:num>
  <w:num w:numId="37">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fr-FR"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ES" w:vendorID="64" w:dllVersion="131078" w:nlCheck="1" w:checkStyle="0"/>
  <w:activeWritingStyle w:appName="MSWord" w:lang="fr-CH" w:vendorID="64" w:dllVersion="131078" w:nlCheck="1" w:checkStyle="0"/>
  <w:activeWritingStyle w:appName="MSWord" w:lang="ru-RU" w:vendorID="64" w:dllVersion="131078"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100353"/>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D8A"/>
    <w:rsid w:val="00000261"/>
    <w:rsid w:val="00000C32"/>
    <w:rsid w:val="00001BFE"/>
    <w:rsid w:val="00003D32"/>
    <w:rsid w:val="00004BF0"/>
    <w:rsid w:val="00005AA5"/>
    <w:rsid w:val="00006155"/>
    <w:rsid w:val="0001097C"/>
    <w:rsid w:val="000116C9"/>
    <w:rsid w:val="00011BFB"/>
    <w:rsid w:val="00011C2A"/>
    <w:rsid w:val="00011DB1"/>
    <w:rsid w:val="00012B60"/>
    <w:rsid w:val="00013293"/>
    <w:rsid w:val="00013627"/>
    <w:rsid w:val="00013B29"/>
    <w:rsid w:val="0001562C"/>
    <w:rsid w:val="00015D76"/>
    <w:rsid w:val="000200E1"/>
    <w:rsid w:val="000202D0"/>
    <w:rsid w:val="00021F82"/>
    <w:rsid w:val="00022F56"/>
    <w:rsid w:val="00023307"/>
    <w:rsid w:val="00023891"/>
    <w:rsid w:val="00025BC5"/>
    <w:rsid w:val="00025E72"/>
    <w:rsid w:val="00026673"/>
    <w:rsid w:val="00026FA2"/>
    <w:rsid w:val="00027189"/>
    <w:rsid w:val="000308C7"/>
    <w:rsid w:val="00030DE2"/>
    <w:rsid w:val="00031360"/>
    <w:rsid w:val="000318D6"/>
    <w:rsid w:val="00032744"/>
    <w:rsid w:val="00037D1D"/>
    <w:rsid w:val="00040336"/>
    <w:rsid w:val="000404F5"/>
    <w:rsid w:val="00040983"/>
    <w:rsid w:val="00041820"/>
    <w:rsid w:val="00043CAA"/>
    <w:rsid w:val="000448F4"/>
    <w:rsid w:val="00044EDA"/>
    <w:rsid w:val="00044F72"/>
    <w:rsid w:val="00044F96"/>
    <w:rsid w:val="000458FD"/>
    <w:rsid w:val="00045BFD"/>
    <w:rsid w:val="00046893"/>
    <w:rsid w:val="00046C37"/>
    <w:rsid w:val="000473AB"/>
    <w:rsid w:val="00047D96"/>
    <w:rsid w:val="00047E5F"/>
    <w:rsid w:val="00051999"/>
    <w:rsid w:val="0005217D"/>
    <w:rsid w:val="00055303"/>
    <w:rsid w:val="00056450"/>
    <w:rsid w:val="0006058E"/>
    <w:rsid w:val="00061307"/>
    <w:rsid w:val="000617B6"/>
    <w:rsid w:val="00063D97"/>
    <w:rsid w:val="00064235"/>
    <w:rsid w:val="00065849"/>
    <w:rsid w:val="00066224"/>
    <w:rsid w:val="00066239"/>
    <w:rsid w:val="00066723"/>
    <w:rsid w:val="00066F35"/>
    <w:rsid w:val="00067373"/>
    <w:rsid w:val="00071A3C"/>
    <w:rsid w:val="000720AD"/>
    <w:rsid w:val="00072137"/>
    <w:rsid w:val="000722D7"/>
    <w:rsid w:val="000750F2"/>
    <w:rsid w:val="00075432"/>
    <w:rsid w:val="000764A7"/>
    <w:rsid w:val="0007652D"/>
    <w:rsid w:val="00076C8C"/>
    <w:rsid w:val="00077463"/>
    <w:rsid w:val="00080A2F"/>
    <w:rsid w:val="00081965"/>
    <w:rsid w:val="000835DD"/>
    <w:rsid w:val="00083BB1"/>
    <w:rsid w:val="00086218"/>
    <w:rsid w:val="00090623"/>
    <w:rsid w:val="00092F69"/>
    <w:rsid w:val="00093BB2"/>
    <w:rsid w:val="000940B3"/>
    <w:rsid w:val="00094633"/>
    <w:rsid w:val="000965CD"/>
    <w:rsid w:val="000968ED"/>
    <w:rsid w:val="00097083"/>
    <w:rsid w:val="00097361"/>
    <w:rsid w:val="000A00A9"/>
    <w:rsid w:val="000A03D4"/>
    <w:rsid w:val="000A13FC"/>
    <w:rsid w:val="000A1C40"/>
    <w:rsid w:val="000A3982"/>
    <w:rsid w:val="000A3E2F"/>
    <w:rsid w:val="000A42C8"/>
    <w:rsid w:val="000A4454"/>
    <w:rsid w:val="000A4D95"/>
    <w:rsid w:val="000A4EC1"/>
    <w:rsid w:val="000A59AF"/>
    <w:rsid w:val="000A5DD6"/>
    <w:rsid w:val="000A61E1"/>
    <w:rsid w:val="000A62BC"/>
    <w:rsid w:val="000A6F04"/>
    <w:rsid w:val="000A7B32"/>
    <w:rsid w:val="000B00F7"/>
    <w:rsid w:val="000B045C"/>
    <w:rsid w:val="000B0790"/>
    <w:rsid w:val="000B13EB"/>
    <w:rsid w:val="000B2F7E"/>
    <w:rsid w:val="000B3F68"/>
    <w:rsid w:val="000B47C2"/>
    <w:rsid w:val="000B4C49"/>
    <w:rsid w:val="000B5836"/>
    <w:rsid w:val="000B6111"/>
    <w:rsid w:val="000B63C6"/>
    <w:rsid w:val="000B6DEE"/>
    <w:rsid w:val="000B7A75"/>
    <w:rsid w:val="000C0995"/>
    <w:rsid w:val="000C13F6"/>
    <w:rsid w:val="000C221E"/>
    <w:rsid w:val="000C2D13"/>
    <w:rsid w:val="000C31EF"/>
    <w:rsid w:val="000C5551"/>
    <w:rsid w:val="000C5649"/>
    <w:rsid w:val="000C5936"/>
    <w:rsid w:val="000C5963"/>
    <w:rsid w:val="000C68C0"/>
    <w:rsid w:val="000C789F"/>
    <w:rsid w:val="000D040F"/>
    <w:rsid w:val="000D230D"/>
    <w:rsid w:val="000D24B6"/>
    <w:rsid w:val="000D2AC1"/>
    <w:rsid w:val="000D335F"/>
    <w:rsid w:val="000D4528"/>
    <w:rsid w:val="000D46AE"/>
    <w:rsid w:val="000D496F"/>
    <w:rsid w:val="000D5A70"/>
    <w:rsid w:val="000D65EE"/>
    <w:rsid w:val="000D6CFF"/>
    <w:rsid w:val="000D7C24"/>
    <w:rsid w:val="000E3450"/>
    <w:rsid w:val="000E357F"/>
    <w:rsid w:val="000E4D5D"/>
    <w:rsid w:val="000E5339"/>
    <w:rsid w:val="000E58E8"/>
    <w:rsid w:val="000E709C"/>
    <w:rsid w:val="000F159B"/>
    <w:rsid w:val="000F1A90"/>
    <w:rsid w:val="000F3ECC"/>
    <w:rsid w:val="000F43BE"/>
    <w:rsid w:val="000F4BD3"/>
    <w:rsid w:val="000F594C"/>
    <w:rsid w:val="000F5E56"/>
    <w:rsid w:val="00100808"/>
    <w:rsid w:val="0010305E"/>
    <w:rsid w:val="00104C37"/>
    <w:rsid w:val="00105172"/>
    <w:rsid w:val="001059FC"/>
    <w:rsid w:val="001060BE"/>
    <w:rsid w:val="00106F6E"/>
    <w:rsid w:val="00107FCE"/>
    <w:rsid w:val="001110EC"/>
    <w:rsid w:val="00112653"/>
    <w:rsid w:val="00113824"/>
    <w:rsid w:val="00113BB7"/>
    <w:rsid w:val="001145F7"/>
    <w:rsid w:val="00114AF8"/>
    <w:rsid w:val="00115024"/>
    <w:rsid w:val="001150B8"/>
    <w:rsid w:val="00115763"/>
    <w:rsid w:val="00116311"/>
    <w:rsid w:val="001177A6"/>
    <w:rsid w:val="001203F9"/>
    <w:rsid w:val="00120547"/>
    <w:rsid w:val="0012077E"/>
    <w:rsid w:val="00120C4B"/>
    <w:rsid w:val="00123177"/>
    <w:rsid w:val="00123399"/>
    <w:rsid w:val="00125612"/>
    <w:rsid w:val="00126860"/>
    <w:rsid w:val="001269EB"/>
    <w:rsid w:val="00126B2D"/>
    <w:rsid w:val="00126D4C"/>
    <w:rsid w:val="00127334"/>
    <w:rsid w:val="00127FA1"/>
    <w:rsid w:val="00130243"/>
    <w:rsid w:val="00130B53"/>
    <w:rsid w:val="0013121D"/>
    <w:rsid w:val="00132922"/>
    <w:rsid w:val="00132AAA"/>
    <w:rsid w:val="00133F41"/>
    <w:rsid w:val="00135000"/>
    <w:rsid w:val="001362EE"/>
    <w:rsid w:val="0013630A"/>
    <w:rsid w:val="00140787"/>
    <w:rsid w:val="001407CB"/>
    <w:rsid w:val="00140BF1"/>
    <w:rsid w:val="00141564"/>
    <w:rsid w:val="00141D83"/>
    <w:rsid w:val="001423A5"/>
    <w:rsid w:val="00142D70"/>
    <w:rsid w:val="00142EFF"/>
    <w:rsid w:val="00146058"/>
    <w:rsid w:val="00147121"/>
    <w:rsid w:val="0014770B"/>
    <w:rsid w:val="00147E13"/>
    <w:rsid w:val="00147E7B"/>
    <w:rsid w:val="00150441"/>
    <w:rsid w:val="001508C0"/>
    <w:rsid w:val="00150FAF"/>
    <w:rsid w:val="001515F1"/>
    <w:rsid w:val="00151E8B"/>
    <w:rsid w:val="001529CC"/>
    <w:rsid w:val="00152E60"/>
    <w:rsid w:val="00153372"/>
    <w:rsid w:val="00154050"/>
    <w:rsid w:val="00154846"/>
    <w:rsid w:val="00155CBF"/>
    <w:rsid w:val="001561B3"/>
    <w:rsid w:val="001573F2"/>
    <w:rsid w:val="00157530"/>
    <w:rsid w:val="001575AF"/>
    <w:rsid w:val="001577F0"/>
    <w:rsid w:val="00161085"/>
    <w:rsid w:val="001621D7"/>
    <w:rsid w:val="00162809"/>
    <w:rsid w:val="0016334B"/>
    <w:rsid w:val="0016355D"/>
    <w:rsid w:val="00164C23"/>
    <w:rsid w:val="00165E66"/>
    <w:rsid w:val="00166344"/>
    <w:rsid w:val="0016733D"/>
    <w:rsid w:val="00167731"/>
    <w:rsid w:val="001701F1"/>
    <w:rsid w:val="001705D7"/>
    <w:rsid w:val="00170F17"/>
    <w:rsid w:val="001711E4"/>
    <w:rsid w:val="0017264A"/>
    <w:rsid w:val="00172823"/>
    <w:rsid w:val="00172A14"/>
    <w:rsid w:val="0017331F"/>
    <w:rsid w:val="00173655"/>
    <w:rsid w:val="0017388A"/>
    <w:rsid w:val="00176D11"/>
    <w:rsid w:val="00177E17"/>
    <w:rsid w:val="0018027F"/>
    <w:rsid w:val="001814A2"/>
    <w:rsid w:val="00181D94"/>
    <w:rsid w:val="00181D9D"/>
    <w:rsid w:val="001821CA"/>
    <w:rsid w:val="001832A6"/>
    <w:rsid w:val="001840F5"/>
    <w:rsid w:val="00184ABE"/>
    <w:rsid w:val="001851BB"/>
    <w:rsid w:val="00185246"/>
    <w:rsid w:val="00185815"/>
    <w:rsid w:val="00185AFA"/>
    <w:rsid w:val="00185C48"/>
    <w:rsid w:val="00186013"/>
    <w:rsid w:val="0018740B"/>
    <w:rsid w:val="00190BBD"/>
    <w:rsid w:val="0019113C"/>
    <w:rsid w:val="0019129A"/>
    <w:rsid w:val="0019134B"/>
    <w:rsid w:val="001913FB"/>
    <w:rsid w:val="00193460"/>
    <w:rsid w:val="001937E8"/>
    <w:rsid w:val="0019404A"/>
    <w:rsid w:val="00194D48"/>
    <w:rsid w:val="00195346"/>
    <w:rsid w:val="00195D57"/>
    <w:rsid w:val="00196C30"/>
    <w:rsid w:val="00196F6D"/>
    <w:rsid w:val="00197452"/>
    <w:rsid w:val="001975E5"/>
    <w:rsid w:val="001A034D"/>
    <w:rsid w:val="001A1782"/>
    <w:rsid w:val="001A1AEC"/>
    <w:rsid w:val="001A1F86"/>
    <w:rsid w:val="001A24DE"/>
    <w:rsid w:val="001A2FC2"/>
    <w:rsid w:val="001A316C"/>
    <w:rsid w:val="001A600C"/>
    <w:rsid w:val="001A6691"/>
    <w:rsid w:val="001B3C6B"/>
    <w:rsid w:val="001B3D8F"/>
    <w:rsid w:val="001B475E"/>
    <w:rsid w:val="001B4763"/>
    <w:rsid w:val="001B602C"/>
    <w:rsid w:val="001B6DC5"/>
    <w:rsid w:val="001B7009"/>
    <w:rsid w:val="001C0552"/>
    <w:rsid w:val="001C0F82"/>
    <w:rsid w:val="001C1E96"/>
    <w:rsid w:val="001C2B96"/>
    <w:rsid w:val="001C5415"/>
    <w:rsid w:val="001C5556"/>
    <w:rsid w:val="001C6672"/>
    <w:rsid w:val="001C6C01"/>
    <w:rsid w:val="001C7E86"/>
    <w:rsid w:val="001D0013"/>
    <w:rsid w:val="001D1656"/>
    <w:rsid w:val="001D1CB9"/>
    <w:rsid w:val="001D1E07"/>
    <w:rsid w:val="001D2548"/>
    <w:rsid w:val="001D3D0B"/>
    <w:rsid w:val="001D4EB7"/>
    <w:rsid w:val="001D50BA"/>
    <w:rsid w:val="001D51C6"/>
    <w:rsid w:val="001D698D"/>
    <w:rsid w:val="001D6CD2"/>
    <w:rsid w:val="001E01EB"/>
    <w:rsid w:val="001E056A"/>
    <w:rsid w:val="001E0CC4"/>
    <w:rsid w:val="001E1672"/>
    <w:rsid w:val="001E3537"/>
    <w:rsid w:val="001E3C0A"/>
    <w:rsid w:val="001E3DCE"/>
    <w:rsid w:val="001E45A2"/>
    <w:rsid w:val="001E5819"/>
    <w:rsid w:val="001E5E6F"/>
    <w:rsid w:val="001E6105"/>
    <w:rsid w:val="001E6A73"/>
    <w:rsid w:val="001F0465"/>
    <w:rsid w:val="001F0A36"/>
    <w:rsid w:val="001F0D2D"/>
    <w:rsid w:val="001F1AA0"/>
    <w:rsid w:val="001F1DFC"/>
    <w:rsid w:val="001F2040"/>
    <w:rsid w:val="001F2EAA"/>
    <w:rsid w:val="001F3318"/>
    <w:rsid w:val="001F3563"/>
    <w:rsid w:val="001F4780"/>
    <w:rsid w:val="001F4C95"/>
    <w:rsid w:val="001F53E0"/>
    <w:rsid w:val="001F65EB"/>
    <w:rsid w:val="001F7190"/>
    <w:rsid w:val="001F7C38"/>
    <w:rsid w:val="00200EC9"/>
    <w:rsid w:val="0020158E"/>
    <w:rsid w:val="0020222F"/>
    <w:rsid w:val="002029EC"/>
    <w:rsid w:val="0020325C"/>
    <w:rsid w:val="002048C8"/>
    <w:rsid w:val="00205FF0"/>
    <w:rsid w:val="002071A0"/>
    <w:rsid w:val="002105F6"/>
    <w:rsid w:val="00211B46"/>
    <w:rsid w:val="00211DA8"/>
    <w:rsid w:val="00211EB2"/>
    <w:rsid w:val="00212775"/>
    <w:rsid w:val="00212A40"/>
    <w:rsid w:val="00213162"/>
    <w:rsid w:val="0021371A"/>
    <w:rsid w:val="002143BD"/>
    <w:rsid w:val="00214A21"/>
    <w:rsid w:val="002154D1"/>
    <w:rsid w:val="002157C4"/>
    <w:rsid w:val="002158DC"/>
    <w:rsid w:val="00216E05"/>
    <w:rsid w:val="00217EB0"/>
    <w:rsid w:val="0022067D"/>
    <w:rsid w:val="00222103"/>
    <w:rsid w:val="00222610"/>
    <w:rsid w:val="00225E0F"/>
    <w:rsid w:val="00226115"/>
    <w:rsid w:val="00226DBC"/>
    <w:rsid w:val="00227261"/>
    <w:rsid w:val="00227B4F"/>
    <w:rsid w:val="00230439"/>
    <w:rsid w:val="00230E8C"/>
    <w:rsid w:val="00233C25"/>
    <w:rsid w:val="00236DA8"/>
    <w:rsid w:val="0023717E"/>
    <w:rsid w:val="00237C31"/>
    <w:rsid w:val="00237E65"/>
    <w:rsid w:val="002403B7"/>
    <w:rsid w:val="002405E1"/>
    <w:rsid w:val="00240CEE"/>
    <w:rsid w:val="00241008"/>
    <w:rsid w:val="002442DE"/>
    <w:rsid w:val="0024480B"/>
    <w:rsid w:val="002460AB"/>
    <w:rsid w:val="00250A46"/>
    <w:rsid w:val="00250F09"/>
    <w:rsid w:val="00251E94"/>
    <w:rsid w:val="0025246F"/>
    <w:rsid w:val="0025260C"/>
    <w:rsid w:val="00252DCC"/>
    <w:rsid w:val="002537B6"/>
    <w:rsid w:val="00254224"/>
    <w:rsid w:val="002545E7"/>
    <w:rsid w:val="00256179"/>
    <w:rsid w:val="00256A19"/>
    <w:rsid w:val="00260BDC"/>
    <w:rsid w:val="0026159E"/>
    <w:rsid w:val="00262098"/>
    <w:rsid w:val="002626BC"/>
    <w:rsid w:val="0026327E"/>
    <w:rsid w:val="0026330C"/>
    <w:rsid w:val="002634C4"/>
    <w:rsid w:val="00264068"/>
    <w:rsid w:val="00264657"/>
    <w:rsid w:val="002649ED"/>
    <w:rsid w:val="0026522C"/>
    <w:rsid w:val="00265236"/>
    <w:rsid w:val="00265555"/>
    <w:rsid w:val="00265F27"/>
    <w:rsid w:val="00266138"/>
    <w:rsid w:val="00266612"/>
    <w:rsid w:val="002705AC"/>
    <w:rsid w:val="00270EAC"/>
    <w:rsid w:val="00272E3B"/>
    <w:rsid w:val="00273239"/>
    <w:rsid w:val="002733F1"/>
    <w:rsid w:val="002738D5"/>
    <w:rsid w:val="00274BA2"/>
    <w:rsid w:val="00275174"/>
    <w:rsid w:val="00275280"/>
    <w:rsid w:val="0027567C"/>
    <w:rsid w:val="00276AF4"/>
    <w:rsid w:val="002805C1"/>
    <w:rsid w:val="00280E25"/>
    <w:rsid w:val="00281A68"/>
    <w:rsid w:val="00281D8C"/>
    <w:rsid w:val="002821AD"/>
    <w:rsid w:val="00282D1E"/>
    <w:rsid w:val="0028339D"/>
    <w:rsid w:val="002834F0"/>
    <w:rsid w:val="002841F5"/>
    <w:rsid w:val="00284B20"/>
    <w:rsid w:val="002861D3"/>
    <w:rsid w:val="00286DDA"/>
    <w:rsid w:val="00287196"/>
    <w:rsid w:val="00287875"/>
    <w:rsid w:val="00287CBE"/>
    <w:rsid w:val="002907FE"/>
    <w:rsid w:val="00290A7D"/>
    <w:rsid w:val="002928D3"/>
    <w:rsid w:val="002943BC"/>
    <w:rsid w:val="0029443A"/>
    <w:rsid w:val="00294D5A"/>
    <w:rsid w:val="00295A05"/>
    <w:rsid w:val="00296407"/>
    <w:rsid w:val="002971A6"/>
    <w:rsid w:val="002A0B05"/>
    <w:rsid w:val="002A0F46"/>
    <w:rsid w:val="002A3934"/>
    <w:rsid w:val="002A3A3E"/>
    <w:rsid w:val="002A3DBC"/>
    <w:rsid w:val="002A4731"/>
    <w:rsid w:val="002A601E"/>
    <w:rsid w:val="002A67EF"/>
    <w:rsid w:val="002A67F6"/>
    <w:rsid w:val="002A7A16"/>
    <w:rsid w:val="002B0277"/>
    <w:rsid w:val="002B1378"/>
    <w:rsid w:val="002B2EF6"/>
    <w:rsid w:val="002B3DF2"/>
    <w:rsid w:val="002B4B6A"/>
    <w:rsid w:val="002B5233"/>
    <w:rsid w:val="002B5D17"/>
    <w:rsid w:val="002B62BD"/>
    <w:rsid w:val="002B660C"/>
    <w:rsid w:val="002B67F0"/>
    <w:rsid w:val="002C0080"/>
    <w:rsid w:val="002C03A0"/>
    <w:rsid w:val="002C10C0"/>
    <w:rsid w:val="002C119C"/>
    <w:rsid w:val="002C15EC"/>
    <w:rsid w:val="002C3F16"/>
    <w:rsid w:val="002C468E"/>
    <w:rsid w:val="002C4966"/>
    <w:rsid w:val="002C4EFB"/>
    <w:rsid w:val="002C6349"/>
    <w:rsid w:val="002C6573"/>
    <w:rsid w:val="002C6F7F"/>
    <w:rsid w:val="002D26BB"/>
    <w:rsid w:val="002D2DBD"/>
    <w:rsid w:val="002D41F8"/>
    <w:rsid w:val="002D4A91"/>
    <w:rsid w:val="002D5270"/>
    <w:rsid w:val="002D5F42"/>
    <w:rsid w:val="002D6832"/>
    <w:rsid w:val="002D6FF8"/>
    <w:rsid w:val="002D7C76"/>
    <w:rsid w:val="002E0547"/>
    <w:rsid w:val="002E0A57"/>
    <w:rsid w:val="002E1285"/>
    <w:rsid w:val="002E1717"/>
    <w:rsid w:val="002E1AD4"/>
    <w:rsid w:val="002E3B87"/>
    <w:rsid w:val="002E6E6E"/>
    <w:rsid w:val="002E7F5D"/>
    <w:rsid w:val="002F060B"/>
    <w:rsid w:val="002F1793"/>
    <w:rsid w:val="002F18A6"/>
    <w:rsid w:val="002F1FE6"/>
    <w:rsid w:val="002F28E7"/>
    <w:rsid w:val="002F2AA0"/>
    <w:rsid w:val="002F2D34"/>
    <w:rsid w:val="002F3077"/>
    <w:rsid w:val="002F4E68"/>
    <w:rsid w:val="002F5975"/>
    <w:rsid w:val="002F6B44"/>
    <w:rsid w:val="002F772A"/>
    <w:rsid w:val="002F7C03"/>
    <w:rsid w:val="00302C30"/>
    <w:rsid w:val="00302E18"/>
    <w:rsid w:val="003045FF"/>
    <w:rsid w:val="003066CC"/>
    <w:rsid w:val="0030746C"/>
    <w:rsid w:val="003107A0"/>
    <w:rsid w:val="00310D67"/>
    <w:rsid w:val="00310FAF"/>
    <w:rsid w:val="003115CA"/>
    <w:rsid w:val="00312DCE"/>
    <w:rsid w:val="00312F29"/>
    <w:rsid w:val="00312F7F"/>
    <w:rsid w:val="003134D7"/>
    <w:rsid w:val="0031611D"/>
    <w:rsid w:val="00317153"/>
    <w:rsid w:val="00320851"/>
    <w:rsid w:val="00321B50"/>
    <w:rsid w:val="00321BE8"/>
    <w:rsid w:val="00322277"/>
    <w:rsid w:val="00322663"/>
    <w:rsid w:val="0032391E"/>
    <w:rsid w:val="00324083"/>
    <w:rsid w:val="00324FB2"/>
    <w:rsid w:val="00326696"/>
    <w:rsid w:val="00327736"/>
    <w:rsid w:val="00330213"/>
    <w:rsid w:val="00330761"/>
    <w:rsid w:val="00330B5A"/>
    <w:rsid w:val="00331141"/>
    <w:rsid w:val="0033176B"/>
    <w:rsid w:val="00335FFA"/>
    <w:rsid w:val="0033692F"/>
    <w:rsid w:val="00340979"/>
    <w:rsid w:val="00340A79"/>
    <w:rsid w:val="00343185"/>
    <w:rsid w:val="003435C4"/>
    <w:rsid w:val="003445A8"/>
    <w:rsid w:val="003503B0"/>
    <w:rsid w:val="003517B5"/>
    <w:rsid w:val="00351CA2"/>
    <w:rsid w:val="003528BE"/>
    <w:rsid w:val="00352C00"/>
    <w:rsid w:val="00353FDF"/>
    <w:rsid w:val="00355307"/>
    <w:rsid w:val="00355655"/>
    <w:rsid w:val="00355C3A"/>
    <w:rsid w:val="00355D01"/>
    <w:rsid w:val="0035722E"/>
    <w:rsid w:val="00357361"/>
    <w:rsid w:val="00357DB9"/>
    <w:rsid w:val="00360F38"/>
    <w:rsid w:val="00360F6E"/>
    <w:rsid w:val="00361450"/>
    <w:rsid w:val="00364D42"/>
    <w:rsid w:val="003655A2"/>
    <w:rsid w:val="003672D8"/>
    <w:rsid w:val="003673CF"/>
    <w:rsid w:val="003674E1"/>
    <w:rsid w:val="0037128F"/>
    <w:rsid w:val="00371339"/>
    <w:rsid w:val="0037194E"/>
    <w:rsid w:val="00373124"/>
    <w:rsid w:val="003737FE"/>
    <w:rsid w:val="003741DD"/>
    <w:rsid w:val="00375ABF"/>
    <w:rsid w:val="00375CDD"/>
    <w:rsid w:val="00376711"/>
    <w:rsid w:val="00376DF8"/>
    <w:rsid w:val="00377CF7"/>
    <w:rsid w:val="00377E90"/>
    <w:rsid w:val="003829CF"/>
    <w:rsid w:val="00382A90"/>
    <w:rsid w:val="00382F51"/>
    <w:rsid w:val="00383009"/>
    <w:rsid w:val="00384445"/>
    <w:rsid w:val="003845C1"/>
    <w:rsid w:val="00384B40"/>
    <w:rsid w:val="00386456"/>
    <w:rsid w:val="0038768F"/>
    <w:rsid w:val="00390115"/>
    <w:rsid w:val="00390123"/>
    <w:rsid w:val="00391D1F"/>
    <w:rsid w:val="003923D5"/>
    <w:rsid w:val="00392A53"/>
    <w:rsid w:val="00394845"/>
    <w:rsid w:val="00394C6B"/>
    <w:rsid w:val="00394E6B"/>
    <w:rsid w:val="003957A8"/>
    <w:rsid w:val="00395F52"/>
    <w:rsid w:val="00396C63"/>
    <w:rsid w:val="003971BA"/>
    <w:rsid w:val="00397FB6"/>
    <w:rsid w:val="003A143C"/>
    <w:rsid w:val="003A1A8D"/>
    <w:rsid w:val="003A1AE2"/>
    <w:rsid w:val="003A1F6D"/>
    <w:rsid w:val="003A2273"/>
    <w:rsid w:val="003A23F5"/>
    <w:rsid w:val="003A293E"/>
    <w:rsid w:val="003A2963"/>
    <w:rsid w:val="003A2A70"/>
    <w:rsid w:val="003A3A4A"/>
    <w:rsid w:val="003A3BC2"/>
    <w:rsid w:val="003A43F8"/>
    <w:rsid w:val="003A4975"/>
    <w:rsid w:val="003A4F4E"/>
    <w:rsid w:val="003A5790"/>
    <w:rsid w:val="003A6F89"/>
    <w:rsid w:val="003A72B4"/>
    <w:rsid w:val="003A74DB"/>
    <w:rsid w:val="003A754E"/>
    <w:rsid w:val="003A7D46"/>
    <w:rsid w:val="003A7FD8"/>
    <w:rsid w:val="003B0557"/>
    <w:rsid w:val="003B26A5"/>
    <w:rsid w:val="003B315B"/>
    <w:rsid w:val="003B38C1"/>
    <w:rsid w:val="003B3C9C"/>
    <w:rsid w:val="003B55D8"/>
    <w:rsid w:val="003B5678"/>
    <w:rsid w:val="003B606D"/>
    <w:rsid w:val="003B6C3C"/>
    <w:rsid w:val="003C0070"/>
    <w:rsid w:val="003C138D"/>
    <w:rsid w:val="003C20D5"/>
    <w:rsid w:val="003C25D8"/>
    <w:rsid w:val="003C2CC7"/>
    <w:rsid w:val="003C4531"/>
    <w:rsid w:val="003C462F"/>
    <w:rsid w:val="003C4A2A"/>
    <w:rsid w:val="003C6C1A"/>
    <w:rsid w:val="003C7A9E"/>
    <w:rsid w:val="003D1B9C"/>
    <w:rsid w:val="003D2F6E"/>
    <w:rsid w:val="003D31A3"/>
    <w:rsid w:val="003D3293"/>
    <w:rsid w:val="003D429C"/>
    <w:rsid w:val="003D4403"/>
    <w:rsid w:val="003D4AC6"/>
    <w:rsid w:val="003D52FE"/>
    <w:rsid w:val="003D565D"/>
    <w:rsid w:val="003D5872"/>
    <w:rsid w:val="003D58D4"/>
    <w:rsid w:val="003D6056"/>
    <w:rsid w:val="003D68F9"/>
    <w:rsid w:val="003D6A6E"/>
    <w:rsid w:val="003D7C48"/>
    <w:rsid w:val="003E1DF3"/>
    <w:rsid w:val="003E2DE9"/>
    <w:rsid w:val="003E36A1"/>
    <w:rsid w:val="003E57C0"/>
    <w:rsid w:val="003E5DC6"/>
    <w:rsid w:val="003E6309"/>
    <w:rsid w:val="003E6490"/>
    <w:rsid w:val="003E684E"/>
    <w:rsid w:val="003E7603"/>
    <w:rsid w:val="003F0B02"/>
    <w:rsid w:val="003F48F5"/>
    <w:rsid w:val="003F572D"/>
    <w:rsid w:val="003F6CB4"/>
    <w:rsid w:val="003F79D9"/>
    <w:rsid w:val="004017F7"/>
    <w:rsid w:val="004024D6"/>
    <w:rsid w:val="00402EB4"/>
    <w:rsid w:val="00403706"/>
    <w:rsid w:val="00403BDE"/>
    <w:rsid w:val="00404317"/>
    <w:rsid w:val="0040699A"/>
    <w:rsid w:val="00406E2C"/>
    <w:rsid w:val="004079FC"/>
    <w:rsid w:val="00410E3D"/>
    <w:rsid w:val="00413EB1"/>
    <w:rsid w:val="0041493E"/>
    <w:rsid w:val="00414AEA"/>
    <w:rsid w:val="00414EC7"/>
    <w:rsid w:val="00414F08"/>
    <w:rsid w:val="004155BB"/>
    <w:rsid w:val="004158F4"/>
    <w:rsid w:val="00415AE1"/>
    <w:rsid w:val="0041720C"/>
    <w:rsid w:val="004205AE"/>
    <w:rsid w:val="00422614"/>
    <w:rsid w:val="00422938"/>
    <w:rsid w:val="00423E3E"/>
    <w:rsid w:val="0042411F"/>
    <w:rsid w:val="00425508"/>
    <w:rsid w:val="00427741"/>
    <w:rsid w:val="00427AF4"/>
    <w:rsid w:val="00427D71"/>
    <w:rsid w:val="00427E59"/>
    <w:rsid w:val="004308E8"/>
    <w:rsid w:val="0043099E"/>
    <w:rsid w:val="004310BA"/>
    <w:rsid w:val="00432797"/>
    <w:rsid w:val="00432C39"/>
    <w:rsid w:val="004334C4"/>
    <w:rsid w:val="0043487F"/>
    <w:rsid w:val="00435078"/>
    <w:rsid w:val="0044031A"/>
    <w:rsid w:val="00442389"/>
    <w:rsid w:val="00442768"/>
    <w:rsid w:val="004438ED"/>
    <w:rsid w:val="00444F07"/>
    <w:rsid w:val="0044577B"/>
    <w:rsid w:val="004460C2"/>
    <w:rsid w:val="00446BB1"/>
    <w:rsid w:val="004505D5"/>
    <w:rsid w:val="00450804"/>
    <w:rsid w:val="004517F9"/>
    <w:rsid w:val="00451B51"/>
    <w:rsid w:val="00452583"/>
    <w:rsid w:val="00452758"/>
    <w:rsid w:val="00453744"/>
    <w:rsid w:val="0045396C"/>
    <w:rsid w:val="00453CF5"/>
    <w:rsid w:val="004547A0"/>
    <w:rsid w:val="00454E31"/>
    <w:rsid w:val="004563C9"/>
    <w:rsid w:val="00460326"/>
    <w:rsid w:val="00460EF2"/>
    <w:rsid w:val="004611C3"/>
    <w:rsid w:val="004647DA"/>
    <w:rsid w:val="00465820"/>
    <w:rsid w:val="00465ED2"/>
    <w:rsid w:val="00467382"/>
    <w:rsid w:val="00467896"/>
    <w:rsid w:val="00472BF4"/>
    <w:rsid w:val="00473B1D"/>
    <w:rsid w:val="00474062"/>
    <w:rsid w:val="00475589"/>
    <w:rsid w:val="00476727"/>
    <w:rsid w:val="00477616"/>
    <w:rsid w:val="00477D6B"/>
    <w:rsid w:val="004805CD"/>
    <w:rsid w:val="00481524"/>
    <w:rsid w:val="00481874"/>
    <w:rsid w:val="00481F19"/>
    <w:rsid w:val="00484012"/>
    <w:rsid w:val="0048436F"/>
    <w:rsid w:val="00484592"/>
    <w:rsid w:val="00485793"/>
    <w:rsid w:val="0048595C"/>
    <w:rsid w:val="00485A54"/>
    <w:rsid w:val="0048617F"/>
    <w:rsid w:val="004877F1"/>
    <w:rsid w:val="00490324"/>
    <w:rsid w:val="004907DF"/>
    <w:rsid w:val="00491AD9"/>
    <w:rsid w:val="00493421"/>
    <w:rsid w:val="00494EEA"/>
    <w:rsid w:val="00495BDE"/>
    <w:rsid w:val="00495CE4"/>
    <w:rsid w:val="00497F3D"/>
    <w:rsid w:val="004A00F1"/>
    <w:rsid w:val="004A2B43"/>
    <w:rsid w:val="004A431E"/>
    <w:rsid w:val="004A4CFC"/>
    <w:rsid w:val="004A4DCB"/>
    <w:rsid w:val="004A5839"/>
    <w:rsid w:val="004A5A2E"/>
    <w:rsid w:val="004A5B73"/>
    <w:rsid w:val="004A5BA5"/>
    <w:rsid w:val="004A63FE"/>
    <w:rsid w:val="004A7DF3"/>
    <w:rsid w:val="004B095A"/>
    <w:rsid w:val="004B0C1A"/>
    <w:rsid w:val="004B0F53"/>
    <w:rsid w:val="004B1699"/>
    <w:rsid w:val="004B1A66"/>
    <w:rsid w:val="004B20A0"/>
    <w:rsid w:val="004B2B39"/>
    <w:rsid w:val="004B2B62"/>
    <w:rsid w:val="004B4540"/>
    <w:rsid w:val="004B50C4"/>
    <w:rsid w:val="004B51D4"/>
    <w:rsid w:val="004B6183"/>
    <w:rsid w:val="004B6AB9"/>
    <w:rsid w:val="004B6DEB"/>
    <w:rsid w:val="004B6F2D"/>
    <w:rsid w:val="004B7766"/>
    <w:rsid w:val="004C111D"/>
    <w:rsid w:val="004C1D33"/>
    <w:rsid w:val="004C525B"/>
    <w:rsid w:val="004C6C8E"/>
    <w:rsid w:val="004D14F6"/>
    <w:rsid w:val="004D268F"/>
    <w:rsid w:val="004D29FC"/>
    <w:rsid w:val="004D2BD2"/>
    <w:rsid w:val="004D3244"/>
    <w:rsid w:val="004D42A6"/>
    <w:rsid w:val="004D46A1"/>
    <w:rsid w:val="004D5E7E"/>
    <w:rsid w:val="004D6022"/>
    <w:rsid w:val="004D606D"/>
    <w:rsid w:val="004E07D4"/>
    <w:rsid w:val="004E093E"/>
    <w:rsid w:val="004E1F8A"/>
    <w:rsid w:val="004E2CDA"/>
    <w:rsid w:val="004E51E4"/>
    <w:rsid w:val="004E5E86"/>
    <w:rsid w:val="004E7077"/>
    <w:rsid w:val="004F2A21"/>
    <w:rsid w:val="004F3229"/>
    <w:rsid w:val="004F409A"/>
    <w:rsid w:val="004F526D"/>
    <w:rsid w:val="004F669C"/>
    <w:rsid w:val="004F7896"/>
    <w:rsid w:val="005019FF"/>
    <w:rsid w:val="00502652"/>
    <w:rsid w:val="00502C13"/>
    <w:rsid w:val="00502CD3"/>
    <w:rsid w:val="0050396B"/>
    <w:rsid w:val="0050484E"/>
    <w:rsid w:val="00504942"/>
    <w:rsid w:val="005074D4"/>
    <w:rsid w:val="0051119D"/>
    <w:rsid w:val="005128A9"/>
    <w:rsid w:val="00514068"/>
    <w:rsid w:val="00514100"/>
    <w:rsid w:val="005171F6"/>
    <w:rsid w:val="00517E0B"/>
    <w:rsid w:val="00521C4F"/>
    <w:rsid w:val="00522827"/>
    <w:rsid w:val="00522F8A"/>
    <w:rsid w:val="00523C8A"/>
    <w:rsid w:val="00524E0F"/>
    <w:rsid w:val="00526B5D"/>
    <w:rsid w:val="00527B05"/>
    <w:rsid w:val="00527E99"/>
    <w:rsid w:val="0053020B"/>
    <w:rsid w:val="0053057A"/>
    <w:rsid w:val="00533C75"/>
    <w:rsid w:val="0053530F"/>
    <w:rsid w:val="00535D72"/>
    <w:rsid w:val="00536D2C"/>
    <w:rsid w:val="00536F04"/>
    <w:rsid w:val="00536F13"/>
    <w:rsid w:val="00537D9D"/>
    <w:rsid w:val="0054016A"/>
    <w:rsid w:val="00540384"/>
    <w:rsid w:val="0054059A"/>
    <w:rsid w:val="00540BD5"/>
    <w:rsid w:val="00540DE7"/>
    <w:rsid w:val="00540E8B"/>
    <w:rsid w:val="00542599"/>
    <w:rsid w:val="00542803"/>
    <w:rsid w:val="00543AFF"/>
    <w:rsid w:val="00544DB2"/>
    <w:rsid w:val="00546788"/>
    <w:rsid w:val="0055058A"/>
    <w:rsid w:val="00550ECC"/>
    <w:rsid w:val="005520FD"/>
    <w:rsid w:val="00552282"/>
    <w:rsid w:val="00553931"/>
    <w:rsid w:val="0055403F"/>
    <w:rsid w:val="00554AEE"/>
    <w:rsid w:val="005556F1"/>
    <w:rsid w:val="00555829"/>
    <w:rsid w:val="00556BBD"/>
    <w:rsid w:val="00560884"/>
    <w:rsid w:val="00560A29"/>
    <w:rsid w:val="00560C4E"/>
    <w:rsid w:val="00561229"/>
    <w:rsid w:val="00561B1F"/>
    <w:rsid w:val="00561C8A"/>
    <w:rsid w:val="00564374"/>
    <w:rsid w:val="00565647"/>
    <w:rsid w:val="00566176"/>
    <w:rsid w:val="005662EE"/>
    <w:rsid w:val="00570E37"/>
    <w:rsid w:val="00571F87"/>
    <w:rsid w:val="0057258F"/>
    <w:rsid w:val="005728C5"/>
    <w:rsid w:val="00572953"/>
    <w:rsid w:val="00574291"/>
    <w:rsid w:val="00576B83"/>
    <w:rsid w:val="00576C74"/>
    <w:rsid w:val="00577535"/>
    <w:rsid w:val="005779E2"/>
    <w:rsid w:val="005803E1"/>
    <w:rsid w:val="005809AD"/>
    <w:rsid w:val="00582A3A"/>
    <w:rsid w:val="00584F4C"/>
    <w:rsid w:val="005861A0"/>
    <w:rsid w:val="0059022D"/>
    <w:rsid w:val="0059025E"/>
    <w:rsid w:val="005907AF"/>
    <w:rsid w:val="0059194A"/>
    <w:rsid w:val="0059316C"/>
    <w:rsid w:val="005944B0"/>
    <w:rsid w:val="00594C78"/>
    <w:rsid w:val="0059513A"/>
    <w:rsid w:val="005955A8"/>
    <w:rsid w:val="00596366"/>
    <w:rsid w:val="0059693C"/>
    <w:rsid w:val="0059763B"/>
    <w:rsid w:val="005A1E3C"/>
    <w:rsid w:val="005A1FDB"/>
    <w:rsid w:val="005A2F05"/>
    <w:rsid w:val="005A431B"/>
    <w:rsid w:val="005A500D"/>
    <w:rsid w:val="005A5D8A"/>
    <w:rsid w:val="005B1F62"/>
    <w:rsid w:val="005B3FD3"/>
    <w:rsid w:val="005B48E8"/>
    <w:rsid w:val="005B4A93"/>
    <w:rsid w:val="005B63B5"/>
    <w:rsid w:val="005B650D"/>
    <w:rsid w:val="005C0D29"/>
    <w:rsid w:val="005C0E87"/>
    <w:rsid w:val="005C1597"/>
    <w:rsid w:val="005C1810"/>
    <w:rsid w:val="005C25E7"/>
    <w:rsid w:val="005C2603"/>
    <w:rsid w:val="005C2702"/>
    <w:rsid w:val="005C2C0E"/>
    <w:rsid w:val="005C38E1"/>
    <w:rsid w:val="005C45C8"/>
    <w:rsid w:val="005C46B8"/>
    <w:rsid w:val="005C4F8C"/>
    <w:rsid w:val="005C58F1"/>
    <w:rsid w:val="005C59C2"/>
    <w:rsid w:val="005C6649"/>
    <w:rsid w:val="005C778E"/>
    <w:rsid w:val="005D0CD4"/>
    <w:rsid w:val="005D180C"/>
    <w:rsid w:val="005D233F"/>
    <w:rsid w:val="005D36E4"/>
    <w:rsid w:val="005D3D27"/>
    <w:rsid w:val="005D46B7"/>
    <w:rsid w:val="005D72D3"/>
    <w:rsid w:val="005E0747"/>
    <w:rsid w:val="005E1643"/>
    <w:rsid w:val="005E3813"/>
    <w:rsid w:val="005E3EB6"/>
    <w:rsid w:val="005E5E8E"/>
    <w:rsid w:val="005E6D9D"/>
    <w:rsid w:val="005E6FD8"/>
    <w:rsid w:val="005E7422"/>
    <w:rsid w:val="005E7A48"/>
    <w:rsid w:val="005F1C2B"/>
    <w:rsid w:val="005F23BF"/>
    <w:rsid w:val="005F23C8"/>
    <w:rsid w:val="005F3455"/>
    <w:rsid w:val="005F430E"/>
    <w:rsid w:val="005F59A3"/>
    <w:rsid w:val="005F6ECA"/>
    <w:rsid w:val="005F7A0D"/>
    <w:rsid w:val="00600BB8"/>
    <w:rsid w:val="00601EEF"/>
    <w:rsid w:val="00601F4F"/>
    <w:rsid w:val="0060411C"/>
    <w:rsid w:val="00604973"/>
    <w:rsid w:val="0060566A"/>
    <w:rsid w:val="00605827"/>
    <w:rsid w:val="00606083"/>
    <w:rsid w:val="00606C05"/>
    <w:rsid w:val="00606D9E"/>
    <w:rsid w:val="00607FFB"/>
    <w:rsid w:val="00610502"/>
    <w:rsid w:val="0061096E"/>
    <w:rsid w:val="00610BA6"/>
    <w:rsid w:val="00611CA9"/>
    <w:rsid w:val="00612597"/>
    <w:rsid w:val="00612945"/>
    <w:rsid w:val="006144BA"/>
    <w:rsid w:val="00615CAD"/>
    <w:rsid w:val="00615DFC"/>
    <w:rsid w:val="006178ED"/>
    <w:rsid w:val="00621448"/>
    <w:rsid w:val="00621B31"/>
    <w:rsid w:val="00621D0E"/>
    <w:rsid w:val="00622747"/>
    <w:rsid w:val="00626651"/>
    <w:rsid w:val="00626AB6"/>
    <w:rsid w:val="0062738E"/>
    <w:rsid w:val="006276D6"/>
    <w:rsid w:val="00627E0F"/>
    <w:rsid w:val="00632A6D"/>
    <w:rsid w:val="006334E4"/>
    <w:rsid w:val="006338DD"/>
    <w:rsid w:val="00635085"/>
    <w:rsid w:val="006400D5"/>
    <w:rsid w:val="006414FB"/>
    <w:rsid w:val="00644D78"/>
    <w:rsid w:val="00644F69"/>
    <w:rsid w:val="006456DF"/>
    <w:rsid w:val="00645DB7"/>
    <w:rsid w:val="00646050"/>
    <w:rsid w:val="00646CF3"/>
    <w:rsid w:val="00647CD8"/>
    <w:rsid w:val="00647F2C"/>
    <w:rsid w:val="0065053E"/>
    <w:rsid w:val="0065093F"/>
    <w:rsid w:val="00650E36"/>
    <w:rsid w:val="006511D1"/>
    <w:rsid w:val="006516F9"/>
    <w:rsid w:val="00651949"/>
    <w:rsid w:val="006548F3"/>
    <w:rsid w:val="006600C3"/>
    <w:rsid w:val="006627B1"/>
    <w:rsid w:val="0066318A"/>
    <w:rsid w:val="006635E6"/>
    <w:rsid w:val="00664367"/>
    <w:rsid w:val="00664488"/>
    <w:rsid w:val="0066514D"/>
    <w:rsid w:val="006704CC"/>
    <w:rsid w:val="00670E98"/>
    <w:rsid w:val="006713CA"/>
    <w:rsid w:val="00672D7D"/>
    <w:rsid w:val="00672E9E"/>
    <w:rsid w:val="00673944"/>
    <w:rsid w:val="00675A0E"/>
    <w:rsid w:val="00676518"/>
    <w:rsid w:val="00676C5C"/>
    <w:rsid w:val="00677B1F"/>
    <w:rsid w:val="0068109E"/>
    <w:rsid w:val="006817EF"/>
    <w:rsid w:val="00681A73"/>
    <w:rsid w:val="006825D5"/>
    <w:rsid w:val="006835C7"/>
    <w:rsid w:val="00685222"/>
    <w:rsid w:val="00685580"/>
    <w:rsid w:val="00686AD1"/>
    <w:rsid w:val="00686D2A"/>
    <w:rsid w:val="00692157"/>
    <w:rsid w:val="00692329"/>
    <w:rsid w:val="00692D02"/>
    <w:rsid w:val="0069354D"/>
    <w:rsid w:val="00693D1A"/>
    <w:rsid w:val="00693D40"/>
    <w:rsid w:val="00694596"/>
    <w:rsid w:val="0069491D"/>
    <w:rsid w:val="0069565E"/>
    <w:rsid w:val="00695B80"/>
    <w:rsid w:val="00695E68"/>
    <w:rsid w:val="00696814"/>
    <w:rsid w:val="006973F7"/>
    <w:rsid w:val="00697793"/>
    <w:rsid w:val="0069784B"/>
    <w:rsid w:val="006A1454"/>
    <w:rsid w:val="006A14CE"/>
    <w:rsid w:val="006A310C"/>
    <w:rsid w:val="006A3253"/>
    <w:rsid w:val="006A36A2"/>
    <w:rsid w:val="006A47CA"/>
    <w:rsid w:val="006A5F7F"/>
    <w:rsid w:val="006A6007"/>
    <w:rsid w:val="006A6020"/>
    <w:rsid w:val="006A757C"/>
    <w:rsid w:val="006B219D"/>
    <w:rsid w:val="006B3390"/>
    <w:rsid w:val="006B42CE"/>
    <w:rsid w:val="006B467D"/>
    <w:rsid w:val="006B4B49"/>
    <w:rsid w:val="006B4D6D"/>
    <w:rsid w:val="006B5941"/>
    <w:rsid w:val="006B5D5E"/>
    <w:rsid w:val="006B6D28"/>
    <w:rsid w:val="006B6FE4"/>
    <w:rsid w:val="006B7CC2"/>
    <w:rsid w:val="006C0A48"/>
    <w:rsid w:val="006C1080"/>
    <w:rsid w:val="006C29C7"/>
    <w:rsid w:val="006C66BD"/>
    <w:rsid w:val="006C6E86"/>
    <w:rsid w:val="006C7FD8"/>
    <w:rsid w:val="006D1256"/>
    <w:rsid w:val="006D18C5"/>
    <w:rsid w:val="006D1965"/>
    <w:rsid w:val="006D2086"/>
    <w:rsid w:val="006D26E1"/>
    <w:rsid w:val="006D2A6F"/>
    <w:rsid w:val="006D2CB2"/>
    <w:rsid w:val="006D2D21"/>
    <w:rsid w:val="006D2FC9"/>
    <w:rsid w:val="006D39E2"/>
    <w:rsid w:val="006D5E9E"/>
    <w:rsid w:val="006D7A73"/>
    <w:rsid w:val="006E0F5B"/>
    <w:rsid w:val="006E2002"/>
    <w:rsid w:val="006E4511"/>
    <w:rsid w:val="006E4D30"/>
    <w:rsid w:val="006E4EE3"/>
    <w:rsid w:val="006E6A54"/>
    <w:rsid w:val="006F0140"/>
    <w:rsid w:val="006F1093"/>
    <w:rsid w:val="006F136D"/>
    <w:rsid w:val="006F235A"/>
    <w:rsid w:val="006F2CFB"/>
    <w:rsid w:val="006F4004"/>
    <w:rsid w:val="006F5089"/>
    <w:rsid w:val="006F50B2"/>
    <w:rsid w:val="006F5A30"/>
    <w:rsid w:val="006F5DC4"/>
    <w:rsid w:val="006F64A2"/>
    <w:rsid w:val="006F732B"/>
    <w:rsid w:val="006F7C11"/>
    <w:rsid w:val="0070125D"/>
    <w:rsid w:val="007018A9"/>
    <w:rsid w:val="00702059"/>
    <w:rsid w:val="00703D4E"/>
    <w:rsid w:val="00706F0B"/>
    <w:rsid w:val="0070791B"/>
    <w:rsid w:val="00707ECD"/>
    <w:rsid w:val="00710987"/>
    <w:rsid w:val="007110ED"/>
    <w:rsid w:val="007117F3"/>
    <w:rsid w:val="00711CEB"/>
    <w:rsid w:val="00712B02"/>
    <w:rsid w:val="00712C30"/>
    <w:rsid w:val="0071432D"/>
    <w:rsid w:val="007147EC"/>
    <w:rsid w:val="007149DD"/>
    <w:rsid w:val="00714F07"/>
    <w:rsid w:val="00715AB1"/>
    <w:rsid w:val="00715B23"/>
    <w:rsid w:val="00715E75"/>
    <w:rsid w:val="00716304"/>
    <w:rsid w:val="00716F41"/>
    <w:rsid w:val="00717D09"/>
    <w:rsid w:val="00717FA7"/>
    <w:rsid w:val="0072060B"/>
    <w:rsid w:val="00720EAE"/>
    <w:rsid w:val="0072184B"/>
    <w:rsid w:val="00722F18"/>
    <w:rsid w:val="00723F6B"/>
    <w:rsid w:val="00724C60"/>
    <w:rsid w:val="00724CC0"/>
    <w:rsid w:val="00724DDE"/>
    <w:rsid w:val="00725C01"/>
    <w:rsid w:val="00726745"/>
    <w:rsid w:val="0072764F"/>
    <w:rsid w:val="00727BE6"/>
    <w:rsid w:val="0073024C"/>
    <w:rsid w:val="00730B83"/>
    <w:rsid w:val="0073191D"/>
    <w:rsid w:val="00732F49"/>
    <w:rsid w:val="007332A8"/>
    <w:rsid w:val="00733963"/>
    <w:rsid w:val="00734836"/>
    <w:rsid w:val="007354EB"/>
    <w:rsid w:val="00735FDA"/>
    <w:rsid w:val="0073627C"/>
    <w:rsid w:val="007369DE"/>
    <w:rsid w:val="00736C6F"/>
    <w:rsid w:val="00737F1B"/>
    <w:rsid w:val="0074024E"/>
    <w:rsid w:val="007415B3"/>
    <w:rsid w:val="00741DCA"/>
    <w:rsid w:val="0074305D"/>
    <w:rsid w:val="007448C4"/>
    <w:rsid w:val="00744ECA"/>
    <w:rsid w:val="00744FCE"/>
    <w:rsid w:val="00746945"/>
    <w:rsid w:val="007476CB"/>
    <w:rsid w:val="00750F92"/>
    <w:rsid w:val="00752A3A"/>
    <w:rsid w:val="0075382C"/>
    <w:rsid w:val="00753A08"/>
    <w:rsid w:val="00753FF6"/>
    <w:rsid w:val="00754197"/>
    <w:rsid w:val="00755388"/>
    <w:rsid w:val="0075539F"/>
    <w:rsid w:val="00755927"/>
    <w:rsid w:val="00757975"/>
    <w:rsid w:val="00757995"/>
    <w:rsid w:val="00757F44"/>
    <w:rsid w:val="00760257"/>
    <w:rsid w:val="00760B7D"/>
    <w:rsid w:val="0076107A"/>
    <w:rsid w:val="007636EA"/>
    <w:rsid w:val="00763F7B"/>
    <w:rsid w:val="00764B02"/>
    <w:rsid w:val="00766FBB"/>
    <w:rsid w:val="0076714F"/>
    <w:rsid w:val="00767891"/>
    <w:rsid w:val="007702A7"/>
    <w:rsid w:val="007714A3"/>
    <w:rsid w:val="00773211"/>
    <w:rsid w:val="00773521"/>
    <w:rsid w:val="00774365"/>
    <w:rsid w:val="00775D47"/>
    <w:rsid w:val="00777946"/>
    <w:rsid w:val="007779CB"/>
    <w:rsid w:val="00780522"/>
    <w:rsid w:val="00780960"/>
    <w:rsid w:val="0078099D"/>
    <w:rsid w:val="00781C85"/>
    <w:rsid w:val="00782E2E"/>
    <w:rsid w:val="00783B7B"/>
    <w:rsid w:val="0078449F"/>
    <w:rsid w:val="00784541"/>
    <w:rsid w:val="0078476F"/>
    <w:rsid w:val="0078563E"/>
    <w:rsid w:val="00785B78"/>
    <w:rsid w:val="00785D4D"/>
    <w:rsid w:val="00786240"/>
    <w:rsid w:val="00787611"/>
    <w:rsid w:val="0079235F"/>
    <w:rsid w:val="00793B12"/>
    <w:rsid w:val="00794622"/>
    <w:rsid w:val="00795295"/>
    <w:rsid w:val="007956B7"/>
    <w:rsid w:val="00795D09"/>
    <w:rsid w:val="00797965"/>
    <w:rsid w:val="007A0863"/>
    <w:rsid w:val="007A0C89"/>
    <w:rsid w:val="007A1365"/>
    <w:rsid w:val="007A214B"/>
    <w:rsid w:val="007A3426"/>
    <w:rsid w:val="007A35B0"/>
    <w:rsid w:val="007A5C67"/>
    <w:rsid w:val="007A6AAA"/>
    <w:rsid w:val="007B036F"/>
    <w:rsid w:val="007B1228"/>
    <w:rsid w:val="007B1A99"/>
    <w:rsid w:val="007B2712"/>
    <w:rsid w:val="007B3C43"/>
    <w:rsid w:val="007B4767"/>
    <w:rsid w:val="007B51ED"/>
    <w:rsid w:val="007B624E"/>
    <w:rsid w:val="007C3BCF"/>
    <w:rsid w:val="007C4575"/>
    <w:rsid w:val="007C519F"/>
    <w:rsid w:val="007C55B2"/>
    <w:rsid w:val="007C6646"/>
    <w:rsid w:val="007D01E4"/>
    <w:rsid w:val="007D0640"/>
    <w:rsid w:val="007D1613"/>
    <w:rsid w:val="007D181E"/>
    <w:rsid w:val="007D1D57"/>
    <w:rsid w:val="007D381A"/>
    <w:rsid w:val="007D694D"/>
    <w:rsid w:val="007E0657"/>
    <w:rsid w:val="007E06EF"/>
    <w:rsid w:val="007E095F"/>
    <w:rsid w:val="007E13C0"/>
    <w:rsid w:val="007E4182"/>
    <w:rsid w:val="007E47F3"/>
    <w:rsid w:val="007E4D70"/>
    <w:rsid w:val="007E53BC"/>
    <w:rsid w:val="007E5EF8"/>
    <w:rsid w:val="007E63C3"/>
    <w:rsid w:val="007E6880"/>
    <w:rsid w:val="007E6B43"/>
    <w:rsid w:val="007E7448"/>
    <w:rsid w:val="007E7617"/>
    <w:rsid w:val="007F0919"/>
    <w:rsid w:val="007F0D4C"/>
    <w:rsid w:val="007F10AC"/>
    <w:rsid w:val="007F1607"/>
    <w:rsid w:val="007F26CA"/>
    <w:rsid w:val="007F5382"/>
    <w:rsid w:val="007F5A67"/>
    <w:rsid w:val="007F63E2"/>
    <w:rsid w:val="007F66A1"/>
    <w:rsid w:val="007F6EDB"/>
    <w:rsid w:val="008002A0"/>
    <w:rsid w:val="008009F4"/>
    <w:rsid w:val="00801416"/>
    <w:rsid w:val="0080154D"/>
    <w:rsid w:val="008016DB"/>
    <w:rsid w:val="00801C8C"/>
    <w:rsid w:val="00802F20"/>
    <w:rsid w:val="008030E3"/>
    <w:rsid w:val="008031D1"/>
    <w:rsid w:val="008034D1"/>
    <w:rsid w:val="008036A1"/>
    <w:rsid w:val="00805C1D"/>
    <w:rsid w:val="00805E93"/>
    <w:rsid w:val="0080732B"/>
    <w:rsid w:val="008073B6"/>
    <w:rsid w:val="0080793A"/>
    <w:rsid w:val="00810E0E"/>
    <w:rsid w:val="008111A4"/>
    <w:rsid w:val="00812762"/>
    <w:rsid w:val="00813196"/>
    <w:rsid w:val="008134C1"/>
    <w:rsid w:val="00813C6B"/>
    <w:rsid w:val="00813E06"/>
    <w:rsid w:val="00813F5E"/>
    <w:rsid w:val="00815139"/>
    <w:rsid w:val="00815393"/>
    <w:rsid w:val="0081587F"/>
    <w:rsid w:val="00817CB4"/>
    <w:rsid w:val="00817DFE"/>
    <w:rsid w:val="00821724"/>
    <w:rsid w:val="00822608"/>
    <w:rsid w:val="00822B24"/>
    <w:rsid w:val="00822EEA"/>
    <w:rsid w:val="00824F90"/>
    <w:rsid w:val="0082557D"/>
    <w:rsid w:val="00826616"/>
    <w:rsid w:val="00827374"/>
    <w:rsid w:val="00831164"/>
    <w:rsid w:val="0083151F"/>
    <w:rsid w:val="008330BB"/>
    <w:rsid w:val="00835224"/>
    <w:rsid w:val="00835C5D"/>
    <w:rsid w:val="00835C63"/>
    <w:rsid w:val="00835CBF"/>
    <w:rsid w:val="00835F2B"/>
    <w:rsid w:val="00836A9E"/>
    <w:rsid w:val="00836FE6"/>
    <w:rsid w:val="008374C5"/>
    <w:rsid w:val="00840889"/>
    <w:rsid w:val="00840A6F"/>
    <w:rsid w:val="00841C97"/>
    <w:rsid w:val="00842F23"/>
    <w:rsid w:val="008430DD"/>
    <w:rsid w:val="008441FF"/>
    <w:rsid w:val="00844907"/>
    <w:rsid w:val="00846E85"/>
    <w:rsid w:val="00847029"/>
    <w:rsid w:val="00850894"/>
    <w:rsid w:val="00850CD2"/>
    <w:rsid w:val="008510C9"/>
    <w:rsid w:val="00851EA1"/>
    <w:rsid w:val="00852B22"/>
    <w:rsid w:val="00853D2B"/>
    <w:rsid w:val="00854C64"/>
    <w:rsid w:val="0085569D"/>
    <w:rsid w:val="00856325"/>
    <w:rsid w:val="00856A07"/>
    <w:rsid w:val="00857D6B"/>
    <w:rsid w:val="008618C7"/>
    <w:rsid w:val="008650B6"/>
    <w:rsid w:val="00865336"/>
    <w:rsid w:val="00865583"/>
    <w:rsid w:val="008659FA"/>
    <w:rsid w:val="0086777E"/>
    <w:rsid w:val="00870081"/>
    <w:rsid w:val="00871D4F"/>
    <w:rsid w:val="00872DA8"/>
    <w:rsid w:val="00872DD3"/>
    <w:rsid w:val="008733A6"/>
    <w:rsid w:val="008733A9"/>
    <w:rsid w:val="008737B1"/>
    <w:rsid w:val="00873E88"/>
    <w:rsid w:val="008754BA"/>
    <w:rsid w:val="00875AAD"/>
    <w:rsid w:val="00876F38"/>
    <w:rsid w:val="00877CDE"/>
    <w:rsid w:val="008805FF"/>
    <w:rsid w:val="00880D78"/>
    <w:rsid w:val="00881413"/>
    <w:rsid w:val="00881F0C"/>
    <w:rsid w:val="008826DC"/>
    <w:rsid w:val="00882749"/>
    <w:rsid w:val="00884AEA"/>
    <w:rsid w:val="00884C3A"/>
    <w:rsid w:val="00885AEB"/>
    <w:rsid w:val="00887C94"/>
    <w:rsid w:val="00890031"/>
    <w:rsid w:val="00890BE0"/>
    <w:rsid w:val="00890E79"/>
    <w:rsid w:val="00891068"/>
    <w:rsid w:val="008945DA"/>
    <w:rsid w:val="00894842"/>
    <w:rsid w:val="00894B77"/>
    <w:rsid w:val="00895532"/>
    <w:rsid w:val="008970B8"/>
    <w:rsid w:val="00897F83"/>
    <w:rsid w:val="008A027C"/>
    <w:rsid w:val="008A08EB"/>
    <w:rsid w:val="008A18A7"/>
    <w:rsid w:val="008A2C6B"/>
    <w:rsid w:val="008A42E8"/>
    <w:rsid w:val="008A4CE4"/>
    <w:rsid w:val="008A5337"/>
    <w:rsid w:val="008A55D9"/>
    <w:rsid w:val="008A60C4"/>
    <w:rsid w:val="008A64F3"/>
    <w:rsid w:val="008A6518"/>
    <w:rsid w:val="008A69CB"/>
    <w:rsid w:val="008A6C46"/>
    <w:rsid w:val="008A6CE8"/>
    <w:rsid w:val="008A6F98"/>
    <w:rsid w:val="008A7673"/>
    <w:rsid w:val="008B0E67"/>
    <w:rsid w:val="008B1D22"/>
    <w:rsid w:val="008B2248"/>
    <w:rsid w:val="008B2CC1"/>
    <w:rsid w:val="008B39EB"/>
    <w:rsid w:val="008B3CB8"/>
    <w:rsid w:val="008B4AAA"/>
    <w:rsid w:val="008B4CB3"/>
    <w:rsid w:val="008B5440"/>
    <w:rsid w:val="008B605A"/>
    <w:rsid w:val="008B60B2"/>
    <w:rsid w:val="008B747F"/>
    <w:rsid w:val="008C09C8"/>
    <w:rsid w:val="008C21E1"/>
    <w:rsid w:val="008C2CE9"/>
    <w:rsid w:val="008C388B"/>
    <w:rsid w:val="008C642B"/>
    <w:rsid w:val="008C66D9"/>
    <w:rsid w:val="008C6F79"/>
    <w:rsid w:val="008D0CE7"/>
    <w:rsid w:val="008D1085"/>
    <w:rsid w:val="008D10F8"/>
    <w:rsid w:val="008D2013"/>
    <w:rsid w:val="008D2A9C"/>
    <w:rsid w:val="008D2C69"/>
    <w:rsid w:val="008D332C"/>
    <w:rsid w:val="008D63C3"/>
    <w:rsid w:val="008D6793"/>
    <w:rsid w:val="008D6913"/>
    <w:rsid w:val="008E0376"/>
    <w:rsid w:val="008E339C"/>
    <w:rsid w:val="008E388F"/>
    <w:rsid w:val="008E3A39"/>
    <w:rsid w:val="008E41ED"/>
    <w:rsid w:val="008E43E6"/>
    <w:rsid w:val="008E5537"/>
    <w:rsid w:val="008E5BA9"/>
    <w:rsid w:val="008E76BC"/>
    <w:rsid w:val="008F05D9"/>
    <w:rsid w:val="008F13D6"/>
    <w:rsid w:val="008F2F89"/>
    <w:rsid w:val="008F31E6"/>
    <w:rsid w:val="008F3BE3"/>
    <w:rsid w:val="008F5BC8"/>
    <w:rsid w:val="008F6A18"/>
    <w:rsid w:val="008F77AE"/>
    <w:rsid w:val="00900B2E"/>
    <w:rsid w:val="00900E52"/>
    <w:rsid w:val="00901342"/>
    <w:rsid w:val="00901C11"/>
    <w:rsid w:val="00902091"/>
    <w:rsid w:val="00903F7D"/>
    <w:rsid w:val="00904B72"/>
    <w:rsid w:val="009050CB"/>
    <w:rsid w:val="0090696F"/>
    <w:rsid w:val="0090731E"/>
    <w:rsid w:val="009128CE"/>
    <w:rsid w:val="00912B23"/>
    <w:rsid w:val="00914628"/>
    <w:rsid w:val="00914CAC"/>
    <w:rsid w:val="00914FF6"/>
    <w:rsid w:val="009151CD"/>
    <w:rsid w:val="00915645"/>
    <w:rsid w:val="00915F20"/>
    <w:rsid w:val="00916CB4"/>
    <w:rsid w:val="00916EE2"/>
    <w:rsid w:val="009171B4"/>
    <w:rsid w:val="00921025"/>
    <w:rsid w:val="00924554"/>
    <w:rsid w:val="0092632F"/>
    <w:rsid w:val="009264D6"/>
    <w:rsid w:val="0093027E"/>
    <w:rsid w:val="00931449"/>
    <w:rsid w:val="0093248E"/>
    <w:rsid w:val="00933046"/>
    <w:rsid w:val="009332E3"/>
    <w:rsid w:val="00934642"/>
    <w:rsid w:val="00934CB2"/>
    <w:rsid w:val="00935D3A"/>
    <w:rsid w:val="00935EF4"/>
    <w:rsid w:val="00937ACD"/>
    <w:rsid w:val="00937DD9"/>
    <w:rsid w:val="00942F04"/>
    <w:rsid w:val="00943514"/>
    <w:rsid w:val="00943DD0"/>
    <w:rsid w:val="00944736"/>
    <w:rsid w:val="009450B8"/>
    <w:rsid w:val="0094570B"/>
    <w:rsid w:val="009466BE"/>
    <w:rsid w:val="009469A5"/>
    <w:rsid w:val="00946B23"/>
    <w:rsid w:val="00947A0F"/>
    <w:rsid w:val="00951612"/>
    <w:rsid w:val="00951DAE"/>
    <w:rsid w:val="0095219D"/>
    <w:rsid w:val="00952E4B"/>
    <w:rsid w:val="00953C1B"/>
    <w:rsid w:val="0095402E"/>
    <w:rsid w:val="0095420E"/>
    <w:rsid w:val="00955573"/>
    <w:rsid w:val="00955684"/>
    <w:rsid w:val="00955FB0"/>
    <w:rsid w:val="00956684"/>
    <w:rsid w:val="00957ED9"/>
    <w:rsid w:val="00960AB0"/>
    <w:rsid w:val="00961E5A"/>
    <w:rsid w:val="0096260A"/>
    <w:rsid w:val="009636CB"/>
    <w:rsid w:val="009638A6"/>
    <w:rsid w:val="009647E8"/>
    <w:rsid w:val="00964CD7"/>
    <w:rsid w:val="00965481"/>
    <w:rsid w:val="00965DB8"/>
    <w:rsid w:val="00966A22"/>
    <w:rsid w:val="0096722F"/>
    <w:rsid w:val="00967A10"/>
    <w:rsid w:val="00970194"/>
    <w:rsid w:val="00971A5E"/>
    <w:rsid w:val="00973863"/>
    <w:rsid w:val="009753C7"/>
    <w:rsid w:val="009755F4"/>
    <w:rsid w:val="00975BFE"/>
    <w:rsid w:val="00975CED"/>
    <w:rsid w:val="00976AB4"/>
    <w:rsid w:val="00976CB1"/>
    <w:rsid w:val="00976D2E"/>
    <w:rsid w:val="009773E6"/>
    <w:rsid w:val="0098034E"/>
    <w:rsid w:val="00980843"/>
    <w:rsid w:val="00983C63"/>
    <w:rsid w:val="00983E5A"/>
    <w:rsid w:val="009840B8"/>
    <w:rsid w:val="0098457C"/>
    <w:rsid w:val="00986249"/>
    <w:rsid w:val="00986DBC"/>
    <w:rsid w:val="00986FCA"/>
    <w:rsid w:val="00987381"/>
    <w:rsid w:val="009900CC"/>
    <w:rsid w:val="00990F6C"/>
    <w:rsid w:val="00990F9E"/>
    <w:rsid w:val="00991A9F"/>
    <w:rsid w:val="00991AA8"/>
    <w:rsid w:val="009941C4"/>
    <w:rsid w:val="0099453E"/>
    <w:rsid w:val="0099473B"/>
    <w:rsid w:val="00995171"/>
    <w:rsid w:val="00995402"/>
    <w:rsid w:val="00997DD8"/>
    <w:rsid w:val="00997F34"/>
    <w:rsid w:val="009A104E"/>
    <w:rsid w:val="009A36D5"/>
    <w:rsid w:val="009A4AEA"/>
    <w:rsid w:val="009A5715"/>
    <w:rsid w:val="009B0D3A"/>
    <w:rsid w:val="009B0FEA"/>
    <w:rsid w:val="009B18A8"/>
    <w:rsid w:val="009B19C8"/>
    <w:rsid w:val="009B1AD8"/>
    <w:rsid w:val="009B2A70"/>
    <w:rsid w:val="009B3A08"/>
    <w:rsid w:val="009B3BFF"/>
    <w:rsid w:val="009B3C5F"/>
    <w:rsid w:val="009B5A21"/>
    <w:rsid w:val="009B5AE2"/>
    <w:rsid w:val="009B5F31"/>
    <w:rsid w:val="009B62BB"/>
    <w:rsid w:val="009B6B25"/>
    <w:rsid w:val="009B7A80"/>
    <w:rsid w:val="009C0476"/>
    <w:rsid w:val="009C0D32"/>
    <w:rsid w:val="009C0E78"/>
    <w:rsid w:val="009C1BAF"/>
    <w:rsid w:val="009C2468"/>
    <w:rsid w:val="009C32ED"/>
    <w:rsid w:val="009C4094"/>
    <w:rsid w:val="009C4BD1"/>
    <w:rsid w:val="009C5D9A"/>
    <w:rsid w:val="009C61EA"/>
    <w:rsid w:val="009C6AD7"/>
    <w:rsid w:val="009C7063"/>
    <w:rsid w:val="009C71AB"/>
    <w:rsid w:val="009D00B7"/>
    <w:rsid w:val="009D011E"/>
    <w:rsid w:val="009D0518"/>
    <w:rsid w:val="009D0984"/>
    <w:rsid w:val="009D0BFB"/>
    <w:rsid w:val="009D1764"/>
    <w:rsid w:val="009D1BD3"/>
    <w:rsid w:val="009D2F37"/>
    <w:rsid w:val="009D585D"/>
    <w:rsid w:val="009D6C1E"/>
    <w:rsid w:val="009D717E"/>
    <w:rsid w:val="009E0404"/>
    <w:rsid w:val="009E047B"/>
    <w:rsid w:val="009E09F8"/>
    <w:rsid w:val="009E0CA6"/>
    <w:rsid w:val="009E162C"/>
    <w:rsid w:val="009E1C88"/>
    <w:rsid w:val="009E24F0"/>
    <w:rsid w:val="009E2791"/>
    <w:rsid w:val="009E3F6F"/>
    <w:rsid w:val="009E4C0E"/>
    <w:rsid w:val="009E5310"/>
    <w:rsid w:val="009E58B0"/>
    <w:rsid w:val="009E5DD1"/>
    <w:rsid w:val="009E6081"/>
    <w:rsid w:val="009E60F2"/>
    <w:rsid w:val="009E6E74"/>
    <w:rsid w:val="009E6EE7"/>
    <w:rsid w:val="009E78A5"/>
    <w:rsid w:val="009F0C57"/>
    <w:rsid w:val="009F2E65"/>
    <w:rsid w:val="009F319E"/>
    <w:rsid w:val="009F38D3"/>
    <w:rsid w:val="009F3C64"/>
    <w:rsid w:val="009F414E"/>
    <w:rsid w:val="009F499F"/>
    <w:rsid w:val="009F4B34"/>
    <w:rsid w:val="009F68DE"/>
    <w:rsid w:val="00A005EC"/>
    <w:rsid w:val="00A03477"/>
    <w:rsid w:val="00A037C5"/>
    <w:rsid w:val="00A04F58"/>
    <w:rsid w:val="00A07943"/>
    <w:rsid w:val="00A1186F"/>
    <w:rsid w:val="00A11896"/>
    <w:rsid w:val="00A11952"/>
    <w:rsid w:val="00A13C57"/>
    <w:rsid w:val="00A1529C"/>
    <w:rsid w:val="00A15AEB"/>
    <w:rsid w:val="00A16412"/>
    <w:rsid w:val="00A21024"/>
    <w:rsid w:val="00A21EE0"/>
    <w:rsid w:val="00A22008"/>
    <w:rsid w:val="00A22359"/>
    <w:rsid w:val="00A22B42"/>
    <w:rsid w:val="00A23784"/>
    <w:rsid w:val="00A23CBD"/>
    <w:rsid w:val="00A23D4C"/>
    <w:rsid w:val="00A23E3D"/>
    <w:rsid w:val="00A245C6"/>
    <w:rsid w:val="00A252A7"/>
    <w:rsid w:val="00A267FC"/>
    <w:rsid w:val="00A2722E"/>
    <w:rsid w:val="00A30C30"/>
    <w:rsid w:val="00A312EF"/>
    <w:rsid w:val="00A31317"/>
    <w:rsid w:val="00A31822"/>
    <w:rsid w:val="00A3206A"/>
    <w:rsid w:val="00A32728"/>
    <w:rsid w:val="00A32D35"/>
    <w:rsid w:val="00A34FF2"/>
    <w:rsid w:val="00A36287"/>
    <w:rsid w:val="00A362BB"/>
    <w:rsid w:val="00A3640C"/>
    <w:rsid w:val="00A40267"/>
    <w:rsid w:val="00A42852"/>
    <w:rsid w:val="00A42AF2"/>
    <w:rsid w:val="00A42DAF"/>
    <w:rsid w:val="00A42DDF"/>
    <w:rsid w:val="00A43207"/>
    <w:rsid w:val="00A43AF5"/>
    <w:rsid w:val="00A43F72"/>
    <w:rsid w:val="00A44439"/>
    <w:rsid w:val="00A45326"/>
    <w:rsid w:val="00A454DF"/>
    <w:rsid w:val="00A45BD8"/>
    <w:rsid w:val="00A461F6"/>
    <w:rsid w:val="00A479BA"/>
    <w:rsid w:val="00A479BE"/>
    <w:rsid w:val="00A50701"/>
    <w:rsid w:val="00A50770"/>
    <w:rsid w:val="00A523B7"/>
    <w:rsid w:val="00A5249C"/>
    <w:rsid w:val="00A52959"/>
    <w:rsid w:val="00A55746"/>
    <w:rsid w:val="00A557C2"/>
    <w:rsid w:val="00A559C7"/>
    <w:rsid w:val="00A56712"/>
    <w:rsid w:val="00A567C2"/>
    <w:rsid w:val="00A5751A"/>
    <w:rsid w:val="00A57BB8"/>
    <w:rsid w:val="00A61AFE"/>
    <w:rsid w:val="00A62016"/>
    <w:rsid w:val="00A63425"/>
    <w:rsid w:val="00A6343B"/>
    <w:rsid w:val="00A63C44"/>
    <w:rsid w:val="00A6479A"/>
    <w:rsid w:val="00A64BCB"/>
    <w:rsid w:val="00A66EBB"/>
    <w:rsid w:val="00A676D6"/>
    <w:rsid w:val="00A67ED7"/>
    <w:rsid w:val="00A718B2"/>
    <w:rsid w:val="00A72437"/>
    <w:rsid w:val="00A72E79"/>
    <w:rsid w:val="00A75194"/>
    <w:rsid w:val="00A76A4B"/>
    <w:rsid w:val="00A77245"/>
    <w:rsid w:val="00A80133"/>
    <w:rsid w:val="00A80CF4"/>
    <w:rsid w:val="00A836C0"/>
    <w:rsid w:val="00A840D5"/>
    <w:rsid w:val="00A84B2B"/>
    <w:rsid w:val="00A86067"/>
    <w:rsid w:val="00A862F7"/>
    <w:rsid w:val="00A86735"/>
    <w:rsid w:val="00A869B7"/>
    <w:rsid w:val="00A86C57"/>
    <w:rsid w:val="00A9139A"/>
    <w:rsid w:val="00A91860"/>
    <w:rsid w:val="00A93280"/>
    <w:rsid w:val="00A938D3"/>
    <w:rsid w:val="00A94543"/>
    <w:rsid w:val="00A94DD0"/>
    <w:rsid w:val="00A94F8D"/>
    <w:rsid w:val="00A95344"/>
    <w:rsid w:val="00A96760"/>
    <w:rsid w:val="00A96F02"/>
    <w:rsid w:val="00A9735C"/>
    <w:rsid w:val="00AA16DF"/>
    <w:rsid w:val="00AA1752"/>
    <w:rsid w:val="00AA1D78"/>
    <w:rsid w:val="00AA2326"/>
    <w:rsid w:val="00AA256E"/>
    <w:rsid w:val="00AA69BC"/>
    <w:rsid w:val="00AA7183"/>
    <w:rsid w:val="00AA7E49"/>
    <w:rsid w:val="00AB0689"/>
    <w:rsid w:val="00AB0812"/>
    <w:rsid w:val="00AB20B8"/>
    <w:rsid w:val="00AB2DEE"/>
    <w:rsid w:val="00AB41B4"/>
    <w:rsid w:val="00AB47B3"/>
    <w:rsid w:val="00AB4F67"/>
    <w:rsid w:val="00AB5B9D"/>
    <w:rsid w:val="00AB6397"/>
    <w:rsid w:val="00AB6548"/>
    <w:rsid w:val="00AB68DF"/>
    <w:rsid w:val="00AB766F"/>
    <w:rsid w:val="00AC0A33"/>
    <w:rsid w:val="00AC0AFA"/>
    <w:rsid w:val="00AC0E36"/>
    <w:rsid w:val="00AC205C"/>
    <w:rsid w:val="00AC3DBB"/>
    <w:rsid w:val="00AC479F"/>
    <w:rsid w:val="00AC48B0"/>
    <w:rsid w:val="00AC48D7"/>
    <w:rsid w:val="00AC5A6F"/>
    <w:rsid w:val="00AC5B50"/>
    <w:rsid w:val="00AC73CC"/>
    <w:rsid w:val="00AD01CD"/>
    <w:rsid w:val="00AD0830"/>
    <w:rsid w:val="00AD178E"/>
    <w:rsid w:val="00AD21FA"/>
    <w:rsid w:val="00AD233C"/>
    <w:rsid w:val="00AD2FB9"/>
    <w:rsid w:val="00AD32A3"/>
    <w:rsid w:val="00AD32E0"/>
    <w:rsid w:val="00AD3D59"/>
    <w:rsid w:val="00AD43CA"/>
    <w:rsid w:val="00AD4CAA"/>
    <w:rsid w:val="00AD5C01"/>
    <w:rsid w:val="00AD6903"/>
    <w:rsid w:val="00AD6BA6"/>
    <w:rsid w:val="00AD718E"/>
    <w:rsid w:val="00AE04EE"/>
    <w:rsid w:val="00AE10A0"/>
    <w:rsid w:val="00AE126F"/>
    <w:rsid w:val="00AE149E"/>
    <w:rsid w:val="00AE14A8"/>
    <w:rsid w:val="00AE2505"/>
    <w:rsid w:val="00AE2C0A"/>
    <w:rsid w:val="00AE34F3"/>
    <w:rsid w:val="00AE3BDC"/>
    <w:rsid w:val="00AE4A36"/>
    <w:rsid w:val="00AE4C3D"/>
    <w:rsid w:val="00AE54AA"/>
    <w:rsid w:val="00AE7170"/>
    <w:rsid w:val="00AE7A0A"/>
    <w:rsid w:val="00AF0A6B"/>
    <w:rsid w:val="00AF2296"/>
    <w:rsid w:val="00AF276F"/>
    <w:rsid w:val="00AF29B2"/>
    <w:rsid w:val="00AF3100"/>
    <w:rsid w:val="00AF323C"/>
    <w:rsid w:val="00AF3674"/>
    <w:rsid w:val="00AF411D"/>
    <w:rsid w:val="00AF713D"/>
    <w:rsid w:val="00B007C0"/>
    <w:rsid w:val="00B0096C"/>
    <w:rsid w:val="00B01AA1"/>
    <w:rsid w:val="00B02B70"/>
    <w:rsid w:val="00B0599D"/>
    <w:rsid w:val="00B05A69"/>
    <w:rsid w:val="00B05C6B"/>
    <w:rsid w:val="00B0681D"/>
    <w:rsid w:val="00B07512"/>
    <w:rsid w:val="00B07767"/>
    <w:rsid w:val="00B07DD1"/>
    <w:rsid w:val="00B10FBE"/>
    <w:rsid w:val="00B11A10"/>
    <w:rsid w:val="00B11B96"/>
    <w:rsid w:val="00B13A52"/>
    <w:rsid w:val="00B13EE6"/>
    <w:rsid w:val="00B14F3F"/>
    <w:rsid w:val="00B15EC7"/>
    <w:rsid w:val="00B160F5"/>
    <w:rsid w:val="00B17EB2"/>
    <w:rsid w:val="00B20737"/>
    <w:rsid w:val="00B21269"/>
    <w:rsid w:val="00B21846"/>
    <w:rsid w:val="00B226DF"/>
    <w:rsid w:val="00B245CE"/>
    <w:rsid w:val="00B25B66"/>
    <w:rsid w:val="00B26303"/>
    <w:rsid w:val="00B27E1B"/>
    <w:rsid w:val="00B27E96"/>
    <w:rsid w:val="00B30D70"/>
    <w:rsid w:val="00B327CA"/>
    <w:rsid w:val="00B32C82"/>
    <w:rsid w:val="00B34094"/>
    <w:rsid w:val="00B34CCC"/>
    <w:rsid w:val="00B37D4E"/>
    <w:rsid w:val="00B40A8C"/>
    <w:rsid w:val="00B40F16"/>
    <w:rsid w:val="00B41781"/>
    <w:rsid w:val="00B41CCF"/>
    <w:rsid w:val="00B4228A"/>
    <w:rsid w:val="00B43F55"/>
    <w:rsid w:val="00B448FC"/>
    <w:rsid w:val="00B44F96"/>
    <w:rsid w:val="00B44FBC"/>
    <w:rsid w:val="00B460DE"/>
    <w:rsid w:val="00B479CF"/>
    <w:rsid w:val="00B47BF3"/>
    <w:rsid w:val="00B507FF"/>
    <w:rsid w:val="00B50827"/>
    <w:rsid w:val="00B51282"/>
    <w:rsid w:val="00B52BE1"/>
    <w:rsid w:val="00B52ECA"/>
    <w:rsid w:val="00B52EFA"/>
    <w:rsid w:val="00B534E7"/>
    <w:rsid w:val="00B53C4D"/>
    <w:rsid w:val="00B542D2"/>
    <w:rsid w:val="00B5673F"/>
    <w:rsid w:val="00B574ED"/>
    <w:rsid w:val="00B639BF"/>
    <w:rsid w:val="00B63FC9"/>
    <w:rsid w:val="00B64B52"/>
    <w:rsid w:val="00B652BC"/>
    <w:rsid w:val="00B65B90"/>
    <w:rsid w:val="00B66DE0"/>
    <w:rsid w:val="00B6761F"/>
    <w:rsid w:val="00B677A3"/>
    <w:rsid w:val="00B67DC9"/>
    <w:rsid w:val="00B67F20"/>
    <w:rsid w:val="00B708C5"/>
    <w:rsid w:val="00B711DF"/>
    <w:rsid w:val="00B71A63"/>
    <w:rsid w:val="00B72291"/>
    <w:rsid w:val="00B7295E"/>
    <w:rsid w:val="00B73AD1"/>
    <w:rsid w:val="00B75A61"/>
    <w:rsid w:val="00B76BD6"/>
    <w:rsid w:val="00B76D94"/>
    <w:rsid w:val="00B76E5A"/>
    <w:rsid w:val="00B77EE4"/>
    <w:rsid w:val="00B80355"/>
    <w:rsid w:val="00B828D9"/>
    <w:rsid w:val="00B8332C"/>
    <w:rsid w:val="00B83433"/>
    <w:rsid w:val="00B83EAC"/>
    <w:rsid w:val="00B84EC7"/>
    <w:rsid w:val="00B86214"/>
    <w:rsid w:val="00B866E4"/>
    <w:rsid w:val="00B86F0D"/>
    <w:rsid w:val="00B87FC8"/>
    <w:rsid w:val="00B93028"/>
    <w:rsid w:val="00B93F81"/>
    <w:rsid w:val="00B950A5"/>
    <w:rsid w:val="00B9557B"/>
    <w:rsid w:val="00B956DA"/>
    <w:rsid w:val="00B95F14"/>
    <w:rsid w:val="00B95F72"/>
    <w:rsid w:val="00B964DC"/>
    <w:rsid w:val="00B969C3"/>
    <w:rsid w:val="00B9734B"/>
    <w:rsid w:val="00B97FD1"/>
    <w:rsid w:val="00BA013E"/>
    <w:rsid w:val="00BA096E"/>
    <w:rsid w:val="00BA145F"/>
    <w:rsid w:val="00BA1571"/>
    <w:rsid w:val="00BA297A"/>
    <w:rsid w:val="00BA2B87"/>
    <w:rsid w:val="00BA2BB2"/>
    <w:rsid w:val="00BA7394"/>
    <w:rsid w:val="00BA77BD"/>
    <w:rsid w:val="00BA7D99"/>
    <w:rsid w:val="00BB02D7"/>
    <w:rsid w:val="00BB08D0"/>
    <w:rsid w:val="00BB1059"/>
    <w:rsid w:val="00BB1E04"/>
    <w:rsid w:val="00BB21A9"/>
    <w:rsid w:val="00BB2840"/>
    <w:rsid w:val="00BB3FFE"/>
    <w:rsid w:val="00BB446F"/>
    <w:rsid w:val="00BB4E85"/>
    <w:rsid w:val="00BB5C56"/>
    <w:rsid w:val="00BB6AD6"/>
    <w:rsid w:val="00BB6D7C"/>
    <w:rsid w:val="00BB7651"/>
    <w:rsid w:val="00BB773F"/>
    <w:rsid w:val="00BC0CC8"/>
    <w:rsid w:val="00BC0FDF"/>
    <w:rsid w:val="00BC1CFB"/>
    <w:rsid w:val="00BC3FF5"/>
    <w:rsid w:val="00BC40FB"/>
    <w:rsid w:val="00BC4544"/>
    <w:rsid w:val="00BC5309"/>
    <w:rsid w:val="00BC5914"/>
    <w:rsid w:val="00BC64EB"/>
    <w:rsid w:val="00BC6B9F"/>
    <w:rsid w:val="00BC7751"/>
    <w:rsid w:val="00BC77BC"/>
    <w:rsid w:val="00BD0B45"/>
    <w:rsid w:val="00BD1AD7"/>
    <w:rsid w:val="00BD1B80"/>
    <w:rsid w:val="00BD3443"/>
    <w:rsid w:val="00BD390F"/>
    <w:rsid w:val="00BD3920"/>
    <w:rsid w:val="00BD62A7"/>
    <w:rsid w:val="00BD6D2A"/>
    <w:rsid w:val="00BD70AA"/>
    <w:rsid w:val="00BD7165"/>
    <w:rsid w:val="00BE0947"/>
    <w:rsid w:val="00BE09D0"/>
    <w:rsid w:val="00BE0E3D"/>
    <w:rsid w:val="00BE141D"/>
    <w:rsid w:val="00BE1FCE"/>
    <w:rsid w:val="00BE3D72"/>
    <w:rsid w:val="00BE54C8"/>
    <w:rsid w:val="00BE5BD6"/>
    <w:rsid w:val="00BF1B8F"/>
    <w:rsid w:val="00BF3B7B"/>
    <w:rsid w:val="00BF4E96"/>
    <w:rsid w:val="00BF5403"/>
    <w:rsid w:val="00BF6146"/>
    <w:rsid w:val="00BF6DC8"/>
    <w:rsid w:val="00BF7A73"/>
    <w:rsid w:val="00BF7BDA"/>
    <w:rsid w:val="00C00743"/>
    <w:rsid w:val="00C00EC3"/>
    <w:rsid w:val="00C01D17"/>
    <w:rsid w:val="00C01E7C"/>
    <w:rsid w:val="00C03A72"/>
    <w:rsid w:val="00C04DC4"/>
    <w:rsid w:val="00C0521C"/>
    <w:rsid w:val="00C11BFE"/>
    <w:rsid w:val="00C1294A"/>
    <w:rsid w:val="00C12EEE"/>
    <w:rsid w:val="00C131C3"/>
    <w:rsid w:val="00C13DDE"/>
    <w:rsid w:val="00C13F54"/>
    <w:rsid w:val="00C1406B"/>
    <w:rsid w:val="00C14C47"/>
    <w:rsid w:val="00C1548F"/>
    <w:rsid w:val="00C162EF"/>
    <w:rsid w:val="00C16818"/>
    <w:rsid w:val="00C17BD7"/>
    <w:rsid w:val="00C211F6"/>
    <w:rsid w:val="00C21E3D"/>
    <w:rsid w:val="00C221B6"/>
    <w:rsid w:val="00C224B6"/>
    <w:rsid w:val="00C232BE"/>
    <w:rsid w:val="00C23CD7"/>
    <w:rsid w:val="00C240D8"/>
    <w:rsid w:val="00C247FC"/>
    <w:rsid w:val="00C25B7A"/>
    <w:rsid w:val="00C26997"/>
    <w:rsid w:val="00C26A78"/>
    <w:rsid w:val="00C2769B"/>
    <w:rsid w:val="00C30CD0"/>
    <w:rsid w:val="00C3110B"/>
    <w:rsid w:val="00C35398"/>
    <w:rsid w:val="00C3608E"/>
    <w:rsid w:val="00C3650C"/>
    <w:rsid w:val="00C36703"/>
    <w:rsid w:val="00C3759C"/>
    <w:rsid w:val="00C37AD4"/>
    <w:rsid w:val="00C37DA0"/>
    <w:rsid w:val="00C400DC"/>
    <w:rsid w:val="00C408BC"/>
    <w:rsid w:val="00C41119"/>
    <w:rsid w:val="00C41931"/>
    <w:rsid w:val="00C41ECC"/>
    <w:rsid w:val="00C42F04"/>
    <w:rsid w:val="00C4326D"/>
    <w:rsid w:val="00C435E2"/>
    <w:rsid w:val="00C44649"/>
    <w:rsid w:val="00C4484C"/>
    <w:rsid w:val="00C44C27"/>
    <w:rsid w:val="00C44C34"/>
    <w:rsid w:val="00C44D9F"/>
    <w:rsid w:val="00C45860"/>
    <w:rsid w:val="00C459C3"/>
    <w:rsid w:val="00C466A6"/>
    <w:rsid w:val="00C466C1"/>
    <w:rsid w:val="00C46BFB"/>
    <w:rsid w:val="00C50C17"/>
    <w:rsid w:val="00C52150"/>
    <w:rsid w:val="00C528D2"/>
    <w:rsid w:val="00C53FF0"/>
    <w:rsid w:val="00C544A7"/>
    <w:rsid w:val="00C55594"/>
    <w:rsid w:val="00C5608F"/>
    <w:rsid w:val="00C56457"/>
    <w:rsid w:val="00C573D7"/>
    <w:rsid w:val="00C60190"/>
    <w:rsid w:val="00C60625"/>
    <w:rsid w:val="00C61800"/>
    <w:rsid w:val="00C62392"/>
    <w:rsid w:val="00C6452A"/>
    <w:rsid w:val="00C65B50"/>
    <w:rsid w:val="00C65F38"/>
    <w:rsid w:val="00C6604B"/>
    <w:rsid w:val="00C660DD"/>
    <w:rsid w:val="00C6628D"/>
    <w:rsid w:val="00C6745B"/>
    <w:rsid w:val="00C720F4"/>
    <w:rsid w:val="00C73031"/>
    <w:rsid w:val="00C7492E"/>
    <w:rsid w:val="00C75964"/>
    <w:rsid w:val="00C75CB7"/>
    <w:rsid w:val="00C75EAE"/>
    <w:rsid w:val="00C761D2"/>
    <w:rsid w:val="00C77474"/>
    <w:rsid w:val="00C777FF"/>
    <w:rsid w:val="00C77F48"/>
    <w:rsid w:val="00C8104F"/>
    <w:rsid w:val="00C81CD7"/>
    <w:rsid w:val="00C82053"/>
    <w:rsid w:val="00C838B1"/>
    <w:rsid w:val="00C85D15"/>
    <w:rsid w:val="00C8735C"/>
    <w:rsid w:val="00C90083"/>
    <w:rsid w:val="00C901DC"/>
    <w:rsid w:val="00C9056C"/>
    <w:rsid w:val="00C91281"/>
    <w:rsid w:val="00C91405"/>
    <w:rsid w:val="00C923AB"/>
    <w:rsid w:val="00C93B2E"/>
    <w:rsid w:val="00C9402D"/>
    <w:rsid w:val="00CA15DF"/>
    <w:rsid w:val="00CA606E"/>
    <w:rsid w:val="00CA6808"/>
    <w:rsid w:val="00CA7DCC"/>
    <w:rsid w:val="00CB0538"/>
    <w:rsid w:val="00CB13D4"/>
    <w:rsid w:val="00CB19A0"/>
    <w:rsid w:val="00CB1F95"/>
    <w:rsid w:val="00CB2649"/>
    <w:rsid w:val="00CB286E"/>
    <w:rsid w:val="00CB2CAE"/>
    <w:rsid w:val="00CB3099"/>
    <w:rsid w:val="00CB324D"/>
    <w:rsid w:val="00CB3504"/>
    <w:rsid w:val="00CB358A"/>
    <w:rsid w:val="00CB3844"/>
    <w:rsid w:val="00CB3CDE"/>
    <w:rsid w:val="00CB437C"/>
    <w:rsid w:val="00CB4B50"/>
    <w:rsid w:val="00CB4EB2"/>
    <w:rsid w:val="00CB4FC2"/>
    <w:rsid w:val="00CB6F3B"/>
    <w:rsid w:val="00CB756B"/>
    <w:rsid w:val="00CC0CE4"/>
    <w:rsid w:val="00CC12FC"/>
    <w:rsid w:val="00CC2CBD"/>
    <w:rsid w:val="00CC36A0"/>
    <w:rsid w:val="00CC395D"/>
    <w:rsid w:val="00CC39FA"/>
    <w:rsid w:val="00CC3B99"/>
    <w:rsid w:val="00CC47D2"/>
    <w:rsid w:val="00CC47EB"/>
    <w:rsid w:val="00CC5245"/>
    <w:rsid w:val="00CC54EA"/>
    <w:rsid w:val="00CC5C8B"/>
    <w:rsid w:val="00CC60C9"/>
    <w:rsid w:val="00CC64F1"/>
    <w:rsid w:val="00CC7101"/>
    <w:rsid w:val="00CC7514"/>
    <w:rsid w:val="00CC7A18"/>
    <w:rsid w:val="00CC7D85"/>
    <w:rsid w:val="00CC7E01"/>
    <w:rsid w:val="00CD0D3C"/>
    <w:rsid w:val="00CD1B2F"/>
    <w:rsid w:val="00CD224E"/>
    <w:rsid w:val="00CD3840"/>
    <w:rsid w:val="00CD61D7"/>
    <w:rsid w:val="00CD70C0"/>
    <w:rsid w:val="00CD7517"/>
    <w:rsid w:val="00CE0062"/>
    <w:rsid w:val="00CE372F"/>
    <w:rsid w:val="00CE4E22"/>
    <w:rsid w:val="00CE5297"/>
    <w:rsid w:val="00CE7108"/>
    <w:rsid w:val="00CF0766"/>
    <w:rsid w:val="00CF0A77"/>
    <w:rsid w:val="00CF133E"/>
    <w:rsid w:val="00CF1A22"/>
    <w:rsid w:val="00CF2109"/>
    <w:rsid w:val="00CF46DB"/>
    <w:rsid w:val="00CF4904"/>
    <w:rsid w:val="00CF510D"/>
    <w:rsid w:val="00CF5833"/>
    <w:rsid w:val="00CF6C5D"/>
    <w:rsid w:val="00CF7079"/>
    <w:rsid w:val="00CF736E"/>
    <w:rsid w:val="00CF75E5"/>
    <w:rsid w:val="00D01D72"/>
    <w:rsid w:val="00D03844"/>
    <w:rsid w:val="00D04254"/>
    <w:rsid w:val="00D0477B"/>
    <w:rsid w:val="00D05388"/>
    <w:rsid w:val="00D068F7"/>
    <w:rsid w:val="00D079CF"/>
    <w:rsid w:val="00D10112"/>
    <w:rsid w:val="00D10499"/>
    <w:rsid w:val="00D11231"/>
    <w:rsid w:val="00D1368B"/>
    <w:rsid w:val="00D136E3"/>
    <w:rsid w:val="00D13724"/>
    <w:rsid w:val="00D15F01"/>
    <w:rsid w:val="00D15F7C"/>
    <w:rsid w:val="00D16DCA"/>
    <w:rsid w:val="00D200A1"/>
    <w:rsid w:val="00D204E2"/>
    <w:rsid w:val="00D20C2C"/>
    <w:rsid w:val="00D2107D"/>
    <w:rsid w:val="00D214D3"/>
    <w:rsid w:val="00D21A81"/>
    <w:rsid w:val="00D2238B"/>
    <w:rsid w:val="00D224B8"/>
    <w:rsid w:val="00D22B01"/>
    <w:rsid w:val="00D22D35"/>
    <w:rsid w:val="00D24CCD"/>
    <w:rsid w:val="00D24FC7"/>
    <w:rsid w:val="00D2508F"/>
    <w:rsid w:val="00D25785"/>
    <w:rsid w:val="00D2737D"/>
    <w:rsid w:val="00D274AD"/>
    <w:rsid w:val="00D27AFE"/>
    <w:rsid w:val="00D32499"/>
    <w:rsid w:val="00D33315"/>
    <w:rsid w:val="00D361F1"/>
    <w:rsid w:val="00D36CFA"/>
    <w:rsid w:val="00D37A4C"/>
    <w:rsid w:val="00D37C3A"/>
    <w:rsid w:val="00D37D80"/>
    <w:rsid w:val="00D40F0F"/>
    <w:rsid w:val="00D42300"/>
    <w:rsid w:val="00D439FE"/>
    <w:rsid w:val="00D44101"/>
    <w:rsid w:val="00D44AAA"/>
    <w:rsid w:val="00D44D1E"/>
    <w:rsid w:val="00D45252"/>
    <w:rsid w:val="00D45A58"/>
    <w:rsid w:val="00D4695F"/>
    <w:rsid w:val="00D46EC2"/>
    <w:rsid w:val="00D4705E"/>
    <w:rsid w:val="00D47E77"/>
    <w:rsid w:val="00D50941"/>
    <w:rsid w:val="00D50A0C"/>
    <w:rsid w:val="00D52472"/>
    <w:rsid w:val="00D52C4D"/>
    <w:rsid w:val="00D53662"/>
    <w:rsid w:val="00D53F34"/>
    <w:rsid w:val="00D5458F"/>
    <w:rsid w:val="00D5543F"/>
    <w:rsid w:val="00D574CB"/>
    <w:rsid w:val="00D5760A"/>
    <w:rsid w:val="00D577CF"/>
    <w:rsid w:val="00D60A84"/>
    <w:rsid w:val="00D6255C"/>
    <w:rsid w:val="00D64760"/>
    <w:rsid w:val="00D65423"/>
    <w:rsid w:val="00D65FCC"/>
    <w:rsid w:val="00D661B5"/>
    <w:rsid w:val="00D66684"/>
    <w:rsid w:val="00D67598"/>
    <w:rsid w:val="00D700E8"/>
    <w:rsid w:val="00D704F3"/>
    <w:rsid w:val="00D71A0D"/>
    <w:rsid w:val="00D71B4D"/>
    <w:rsid w:val="00D726E2"/>
    <w:rsid w:val="00D73014"/>
    <w:rsid w:val="00D74526"/>
    <w:rsid w:val="00D754B9"/>
    <w:rsid w:val="00D758F5"/>
    <w:rsid w:val="00D75B0C"/>
    <w:rsid w:val="00D773B6"/>
    <w:rsid w:val="00D774DE"/>
    <w:rsid w:val="00D77740"/>
    <w:rsid w:val="00D80088"/>
    <w:rsid w:val="00D81319"/>
    <w:rsid w:val="00D835F1"/>
    <w:rsid w:val="00D836EE"/>
    <w:rsid w:val="00D838AD"/>
    <w:rsid w:val="00D85334"/>
    <w:rsid w:val="00D853F4"/>
    <w:rsid w:val="00D8548B"/>
    <w:rsid w:val="00D85EF6"/>
    <w:rsid w:val="00D86DAB"/>
    <w:rsid w:val="00D87433"/>
    <w:rsid w:val="00D91C46"/>
    <w:rsid w:val="00D92469"/>
    <w:rsid w:val="00D93D55"/>
    <w:rsid w:val="00D93DCA"/>
    <w:rsid w:val="00D941D2"/>
    <w:rsid w:val="00D94A9C"/>
    <w:rsid w:val="00D95DFC"/>
    <w:rsid w:val="00D96118"/>
    <w:rsid w:val="00D963DB"/>
    <w:rsid w:val="00D97174"/>
    <w:rsid w:val="00D97633"/>
    <w:rsid w:val="00D97772"/>
    <w:rsid w:val="00D978A1"/>
    <w:rsid w:val="00DA0B05"/>
    <w:rsid w:val="00DA10B4"/>
    <w:rsid w:val="00DA1360"/>
    <w:rsid w:val="00DA1B75"/>
    <w:rsid w:val="00DA2074"/>
    <w:rsid w:val="00DA220D"/>
    <w:rsid w:val="00DA2B93"/>
    <w:rsid w:val="00DA527E"/>
    <w:rsid w:val="00DA5F32"/>
    <w:rsid w:val="00DA62E8"/>
    <w:rsid w:val="00DA63E6"/>
    <w:rsid w:val="00DA67B3"/>
    <w:rsid w:val="00DA6AD5"/>
    <w:rsid w:val="00DA6F65"/>
    <w:rsid w:val="00DA718E"/>
    <w:rsid w:val="00DB0703"/>
    <w:rsid w:val="00DB2D73"/>
    <w:rsid w:val="00DB3E7B"/>
    <w:rsid w:val="00DB47C3"/>
    <w:rsid w:val="00DB4B72"/>
    <w:rsid w:val="00DB6564"/>
    <w:rsid w:val="00DB6B0F"/>
    <w:rsid w:val="00DB6C8D"/>
    <w:rsid w:val="00DB703F"/>
    <w:rsid w:val="00DB738C"/>
    <w:rsid w:val="00DC0581"/>
    <w:rsid w:val="00DC0EDC"/>
    <w:rsid w:val="00DC1DA5"/>
    <w:rsid w:val="00DC2695"/>
    <w:rsid w:val="00DC2787"/>
    <w:rsid w:val="00DC27BB"/>
    <w:rsid w:val="00DC2A6A"/>
    <w:rsid w:val="00DC3CA7"/>
    <w:rsid w:val="00DC4906"/>
    <w:rsid w:val="00DC586F"/>
    <w:rsid w:val="00DC72EA"/>
    <w:rsid w:val="00DC74D5"/>
    <w:rsid w:val="00DC7BCD"/>
    <w:rsid w:val="00DD0718"/>
    <w:rsid w:val="00DD275B"/>
    <w:rsid w:val="00DD3050"/>
    <w:rsid w:val="00DD3FF2"/>
    <w:rsid w:val="00DD427E"/>
    <w:rsid w:val="00DD48CF"/>
    <w:rsid w:val="00DD498C"/>
    <w:rsid w:val="00DD5A5A"/>
    <w:rsid w:val="00DD65F9"/>
    <w:rsid w:val="00DD6E08"/>
    <w:rsid w:val="00DE0F9D"/>
    <w:rsid w:val="00DE1E2A"/>
    <w:rsid w:val="00DE220F"/>
    <w:rsid w:val="00DE342B"/>
    <w:rsid w:val="00DE395E"/>
    <w:rsid w:val="00DE43A6"/>
    <w:rsid w:val="00DE4A75"/>
    <w:rsid w:val="00DE5C8C"/>
    <w:rsid w:val="00DE63F0"/>
    <w:rsid w:val="00DE712A"/>
    <w:rsid w:val="00DE7999"/>
    <w:rsid w:val="00DF0B51"/>
    <w:rsid w:val="00DF2541"/>
    <w:rsid w:val="00DF2FC8"/>
    <w:rsid w:val="00DF3B7E"/>
    <w:rsid w:val="00DF3C5A"/>
    <w:rsid w:val="00DF3EFC"/>
    <w:rsid w:val="00DF4838"/>
    <w:rsid w:val="00DF59A7"/>
    <w:rsid w:val="00DF5E39"/>
    <w:rsid w:val="00DF5F9B"/>
    <w:rsid w:val="00DF6859"/>
    <w:rsid w:val="00DF715E"/>
    <w:rsid w:val="00DF7406"/>
    <w:rsid w:val="00DF76AD"/>
    <w:rsid w:val="00E00BBC"/>
    <w:rsid w:val="00E0179D"/>
    <w:rsid w:val="00E0187A"/>
    <w:rsid w:val="00E02878"/>
    <w:rsid w:val="00E02DEF"/>
    <w:rsid w:val="00E0619F"/>
    <w:rsid w:val="00E0777B"/>
    <w:rsid w:val="00E100C6"/>
    <w:rsid w:val="00E12FA7"/>
    <w:rsid w:val="00E139A0"/>
    <w:rsid w:val="00E139E0"/>
    <w:rsid w:val="00E152F5"/>
    <w:rsid w:val="00E1575F"/>
    <w:rsid w:val="00E157D6"/>
    <w:rsid w:val="00E161CE"/>
    <w:rsid w:val="00E16B8C"/>
    <w:rsid w:val="00E16EB1"/>
    <w:rsid w:val="00E17439"/>
    <w:rsid w:val="00E17A06"/>
    <w:rsid w:val="00E207BD"/>
    <w:rsid w:val="00E20B43"/>
    <w:rsid w:val="00E21AE3"/>
    <w:rsid w:val="00E21E45"/>
    <w:rsid w:val="00E22AE4"/>
    <w:rsid w:val="00E23364"/>
    <w:rsid w:val="00E235B0"/>
    <w:rsid w:val="00E23720"/>
    <w:rsid w:val="00E239F4"/>
    <w:rsid w:val="00E24BA3"/>
    <w:rsid w:val="00E25817"/>
    <w:rsid w:val="00E26AB2"/>
    <w:rsid w:val="00E26E89"/>
    <w:rsid w:val="00E27426"/>
    <w:rsid w:val="00E301AB"/>
    <w:rsid w:val="00E3231A"/>
    <w:rsid w:val="00E335FE"/>
    <w:rsid w:val="00E33E0F"/>
    <w:rsid w:val="00E343AC"/>
    <w:rsid w:val="00E36074"/>
    <w:rsid w:val="00E36522"/>
    <w:rsid w:val="00E36D73"/>
    <w:rsid w:val="00E36DE8"/>
    <w:rsid w:val="00E3727D"/>
    <w:rsid w:val="00E3747A"/>
    <w:rsid w:val="00E3766D"/>
    <w:rsid w:val="00E40595"/>
    <w:rsid w:val="00E41299"/>
    <w:rsid w:val="00E41935"/>
    <w:rsid w:val="00E41DD1"/>
    <w:rsid w:val="00E433BD"/>
    <w:rsid w:val="00E43909"/>
    <w:rsid w:val="00E43A96"/>
    <w:rsid w:val="00E442C9"/>
    <w:rsid w:val="00E44440"/>
    <w:rsid w:val="00E444E1"/>
    <w:rsid w:val="00E459A2"/>
    <w:rsid w:val="00E46032"/>
    <w:rsid w:val="00E50102"/>
    <w:rsid w:val="00E50468"/>
    <w:rsid w:val="00E5091C"/>
    <w:rsid w:val="00E512C4"/>
    <w:rsid w:val="00E512D5"/>
    <w:rsid w:val="00E53C34"/>
    <w:rsid w:val="00E53FB1"/>
    <w:rsid w:val="00E55222"/>
    <w:rsid w:val="00E560D3"/>
    <w:rsid w:val="00E5678D"/>
    <w:rsid w:val="00E57843"/>
    <w:rsid w:val="00E60E20"/>
    <w:rsid w:val="00E6170C"/>
    <w:rsid w:val="00E61EB7"/>
    <w:rsid w:val="00E620DE"/>
    <w:rsid w:val="00E62CC1"/>
    <w:rsid w:val="00E62DAF"/>
    <w:rsid w:val="00E67320"/>
    <w:rsid w:val="00E67643"/>
    <w:rsid w:val="00E6768F"/>
    <w:rsid w:val="00E67E6D"/>
    <w:rsid w:val="00E70811"/>
    <w:rsid w:val="00E70AFE"/>
    <w:rsid w:val="00E71076"/>
    <w:rsid w:val="00E7168F"/>
    <w:rsid w:val="00E719CE"/>
    <w:rsid w:val="00E725EE"/>
    <w:rsid w:val="00E74B6A"/>
    <w:rsid w:val="00E74F76"/>
    <w:rsid w:val="00E76047"/>
    <w:rsid w:val="00E7641C"/>
    <w:rsid w:val="00E76A02"/>
    <w:rsid w:val="00E76FA0"/>
    <w:rsid w:val="00E802B0"/>
    <w:rsid w:val="00E80DC7"/>
    <w:rsid w:val="00E812B7"/>
    <w:rsid w:val="00E818C3"/>
    <w:rsid w:val="00E84C16"/>
    <w:rsid w:val="00E85269"/>
    <w:rsid w:val="00E85319"/>
    <w:rsid w:val="00E8658E"/>
    <w:rsid w:val="00E86EA8"/>
    <w:rsid w:val="00E87737"/>
    <w:rsid w:val="00E90047"/>
    <w:rsid w:val="00E902E2"/>
    <w:rsid w:val="00E907EB"/>
    <w:rsid w:val="00E9171E"/>
    <w:rsid w:val="00E936B4"/>
    <w:rsid w:val="00E94BAE"/>
    <w:rsid w:val="00E95629"/>
    <w:rsid w:val="00E971C2"/>
    <w:rsid w:val="00E976BB"/>
    <w:rsid w:val="00EA0374"/>
    <w:rsid w:val="00EA286E"/>
    <w:rsid w:val="00EA2D85"/>
    <w:rsid w:val="00EA3F70"/>
    <w:rsid w:val="00EA4F20"/>
    <w:rsid w:val="00EA52BC"/>
    <w:rsid w:val="00EA6175"/>
    <w:rsid w:val="00EA672C"/>
    <w:rsid w:val="00EA6752"/>
    <w:rsid w:val="00EA7ABD"/>
    <w:rsid w:val="00EB05C3"/>
    <w:rsid w:val="00EB0676"/>
    <w:rsid w:val="00EB1036"/>
    <w:rsid w:val="00EB1B2B"/>
    <w:rsid w:val="00EB2730"/>
    <w:rsid w:val="00EB29DB"/>
    <w:rsid w:val="00EB420F"/>
    <w:rsid w:val="00EB4DFE"/>
    <w:rsid w:val="00EC0F28"/>
    <w:rsid w:val="00EC187A"/>
    <w:rsid w:val="00EC23B7"/>
    <w:rsid w:val="00EC35F7"/>
    <w:rsid w:val="00EC41CF"/>
    <w:rsid w:val="00EC473C"/>
    <w:rsid w:val="00EC4E49"/>
    <w:rsid w:val="00EC5FFF"/>
    <w:rsid w:val="00EC64D2"/>
    <w:rsid w:val="00EC7A40"/>
    <w:rsid w:val="00ED193D"/>
    <w:rsid w:val="00ED2384"/>
    <w:rsid w:val="00ED24E0"/>
    <w:rsid w:val="00ED37AD"/>
    <w:rsid w:val="00ED3B50"/>
    <w:rsid w:val="00ED426A"/>
    <w:rsid w:val="00ED6B8F"/>
    <w:rsid w:val="00ED766C"/>
    <w:rsid w:val="00ED77FB"/>
    <w:rsid w:val="00ED7917"/>
    <w:rsid w:val="00EE1CCD"/>
    <w:rsid w:val="00EE1DF2"/>
    <w:rsid w:val="00EE1F78"/>
    <w:rsid w:val="00EE2F54"/>
    <w:rsid w:val="00EE45FA"/>
    <w:rsid w:val="00EE476F"/>
    <w:rsid w:val="00EE4B47"/>
    <w:rsid w:val="00EE50F9"/>
    <w:rsid w:val="00EE536F"/>
    <w:rsid w:val="00EE5CF3"/>
    <w:rsid w:val="00EE6080"/>
    <w:rsid w:val="00EE6C47"/>
    <w:rsid w:val="00EE72DC"/>
    <w:rsid w:val="00EE7B9A"/>
    <w:rsid w:val="00EF14EB"/>
    <w:rsid w:val="00EF4285"/>
    <w:rsid w:val="00EF47B9"/>
    <w:rsid w:val="00EF493D"/>
    <w:rsid w:val="00EF4CF0"/>
    <w:rsid w:val="00EF54E3"/>
    <w:rsid w:val="00EF585F"/>
    <w:rsid w:val="00EF728E"/>
    <w:rsid w:val="00F00BBB"/>
    <w:rsid w:val="00F00D1D"/>
    <w:rsid w:val="00F0398C"/>
    <w:rsid w:val="00F0413C"/>
    <w:rsid w:val="00F068D0"/>
    <w:rsid w:val="00F077B6"/>
    <w:rsid w:val="00F1186F"/>
    <w:rsid w:val="00F11F84"/>
    <w:rsid w:val="00F1331D"/>
    <w:rsid w:val="00F1368C"/>
    <w:rsid w:val="00F14072"/>
    <w:rsid w:val="00F14F6E"/>
    <w:rsid w:val="00F15275"/>
    <w:rsid w:val="00F15C94"/>
    <w:rsid w:val="00F16FF8"/>
    <w:rsid w:val="00F1712E"/>
    <w:rsid w:val="00F217C0"/>
    <w:rsid w:val="00F21E49"/>
    <w:rsid w:val="00F22670"/>
    <w:rsid w:val="00F239D9"/>
    <w:rsid w:val="00F240D5"/>
    <w:rsid w:val="00F247FB"/>
    <w:rsid w:val="00F24875"/>
    <w:rsid w:val="00F259AD"/>
    <w:rsid w:val="00F269B2"/>
    <w:rsid w:val="00F27C4C"/>
    <w:rsid w:val="00F301F2"/>
    <w:rsid w:val="00F31266"/>
    <w:rsid w:val="00F31A7C"/>
    <w:rsid w:val="00F322E1"/>
    <w:rsid w:val="00F33616"/>
    <w:rsid w:val="00F34432"/>
    <w:rsid w:val="00F349E6"/>
    <w:rsid w:val="00F3606C"/>
    <w:rsid w:val="00F365D6"/>
    <w:rsid w:val="00F368C5"/>
    <w:rsid w:val="00F37557"/>
    <w:rsid w:val="00F37614"/>
    <w:rsid w:val="00F41324"/>
    <w:rsid w:val="00F4163E"/>
    <w:rsid w:val="00F41C63"/>
    <w:rsid w:val="00F437AD"/>
    <w:rsid w:val="00F44440"/>
    <w:rsid w:val="00F44784"/>
    <w:rsid w:val="00F44A28"/>
    <w:rsid w:val="00F44B2B"/>
    <w:rsid w:val="00F44E17"/>
    <w:rsid w:val="00F45C30"/>
    <w:rsid w:val="00F46291"/>
    <w:rsid w:val="00F4659E"/>
    <w:rsid w:val="00F4758D"/>
    <w:rsid w:val="00F47DD8"/>
    <w:rsid w:val="00F503A2"/>
    <w:rsid w:val="00F5075D"/>
    <w:rsid w:val="00F52741"/>
    <w:rsid w:val="00F5284E"/>
    <w:rsid w:val="00F52F67"/>
    <w:rsid w:val="00F562E2"/>
    <w:rsid w:val="00F569BE"/>
    <w:rsid w:val="00F57C20"/>
    <w:rsid w:val="00F57D5C"/>
    <w:rsid w:val="00F61651"/>
    <w:rsid w:val="00F61990"/>
    <w:rsid w:val="00F619BC"/>
    <w:rsid w:val="00F62AA3"/>
    <w:rsid w:val="00F63983"/>
    <w:rsid w:val="00F648F4"/>
    <w:rsid w:val="00F64AF7"/>
    <w:rsid w:val="00F66152"/>
    <w:rsid w:val="00F663E3"/>
    <w:rsid w:val="00F71C4A"/>
    <w:rsid w:val="00F7236E"/>
    <w:rsid w:val="00F72ECB"/>
    <w:rsid w:val="00F7436F"/>
    <w:rsid w:val="00F74758"/>
    <w:rsid w:val="00F747D9"/>
    <w:rsid w:val="00F75DB9"/>
    <w:rsid w:val="00F762BC"/>
    <w:rsid w:val="00F77F33"/>
    <w:rsid w:val="00F80C22"/>
    <w:rsid w:val="00F81B60"/>
    <w:rsid w:val="00F830BC"/>
    <w:rsid w:val="00F8318A"/>
    <w:rsid w:val="00F83258"/>
    <w:rsid w:val="00F83C61"/>
    <w:rsid w:val="00F83FC4"/>
    <w:rsid w:val="00F844F3"/>
    <w:rsid w:val="00F84B7C"/>
    <w:rsid w:val="00F84FCA"/>
    <w:rsid w:val="00F8570A"/>
    <w:rsid w:val="00F866F3"/>
    <w:rsid w:val="00F87E9A"/>
    <w:rsid w:val="00F9079D"/>
    <w:rsid w:val="00F9204B"/>
    <w:rsid w:val="00F92D35"/>
    <w:rsid w:val="00F94217"/>
    <w:rsid w:val="00F94EBA"/>
    <w:rsid w:val="00F95442"/>
    <w:rsid w:val="00F9558D"/>
    <w:rsid w:val="00F96656"/>
    <w:rsid w:val="00F97D58"/>
    <w:rsid w:val="00FA140A"/>
    <w:rsid w:val="00FA16E8"/>
    <w:rsid w:val="00FA39E7"/>
    <w:rsid w:val="00FA48B6"/>
    <w:rsid w:val="00FA4C01"/>
    <w:rsid w:val="00FA574C"/>
    <w:rsid w:val="00FA57FE"/>
    <w:rsid w:val="00FA607D"/>
    <w:rsid w:val="00FA689C"/>
    <w:rsid w:val="00FA6CD9"/>
    <w:rsid w:val="00FB0B61"/>
    <w:rsid w:val="00FB13AE"/>
    <w:rsid w:val="00FB2A99"/>
    <w:rsid w:val="00FB2D97"/>
    <w:rsid w:val="00FB486A"/>
    <w:rsid w:val="00FB6E4B"/>
    <w:rsid w:val="00FB7DA5"/>
    <w:rsid w:val="00FB7F6D"/>
    <w:rsid w:val="00FC0755"/>
    <w:rsid w:val="00FC0F09"/>
    <w:rsid w:val="00FC19E6"/>
    <w:rsid w:val="00FC2FE6"/>
    <w:rsid w:val="00FC4D61"/>
    <w:rsid w:val="00FC4F71"/>
    <w:rsid w:val="00FC629B"/>
    <w:rsid w:val="00FC671B"/>
    <w:rsid w:val="00FD2C42"/>
    <w:rsid w:val="00FD3DB2"/>
    <w:rsid w:val="00FD4A6A"/>
    <w:rsid w:val="00FD4F3B"/>
    <w:rsid w:val="00FD5784"/>
    <w:rsid w:val="00FD5EAD"/>
    <w:rsid w:val="00FD6783"/>
    <w:rsid w:val="00FD6A83"/>
    <w:rsid w:val="00FE026E"/>
    <w:rsid w:val="00FE0C57"/>
    <w:rsid w:val="00FE0CB4"/>
    <w:rsid w:val="00FE0D6D"/>
    <w:rsid w:val="00FE2C03"/>
    <w:rsid w:val="00FE3457"/>
    <w:rsid w:val="00FE46CA"/>
    <w:rsid w:val="00FF1124"/>
    <w:rsid w:val="00FF1182"/>
    <w:rsid w:val="00FF20DF"/>
    <w:rsid w:val="00FF2132"/>
    <w:rsid w:val="00FF2CA1"/>
    <w:rsid w:val="00FF586F"/>
    <w:rsid w:val="00FF58B3"/>
    <w:rsid w:val="00FF656C"/>
    <w:rsid w:val="00FF6A08"/>
    <w:rsid w:val="00FF7244"/>
    <w:rsid w:val="00FF74ED"/>
    <w:rsid w:val="00FF7F9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0353"/>
    <o:shapelayout v:ext="edit">
      <o:idmap v:ext="edit" data="1"/>
    </o:shapelayout>
  </w:shapeDefaults>
  <w:decimalSymbol w:val="."/>
  <w:listSeparator w:val=","/>
  <w14:docId w14:val="62F56B19"/>
  <w15:docId w15:val="{6232703A-627E-43F8-ACCC-90F865164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iPriority="99"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769B"/>
    <w:rPr>
      <w:rFonts w:ascii="Arial" w:eastAsia="SimSun" w:hAnsi="Arial" w:cs="Arial"/>
      <w:sz w:val="22"/>
      <w:lang w:eastAsia="zh-CN"/>
    </w:rPr>
  </w:style>
  <w:style w:type="paragraph" w:styleId="Heading1">
    <w:name w:val="heading 1"/>
    <w:basedOn w:val="Normal"/>
    <w:next w:val="Normal"/>
    <w:link w:val="Heading1Char"/>
    <w:uiPriority w:val="9"/>
    <w:qFormat/>
    <w:rsid w:val="00676C5C"/>
    <w:pPr>
      <w:keepNext/>
      <w:spacing w:before="240" w:after="60"/>
      <w:outlineLvl w:val="0"/>
    </w:pPr>
    <w:rPr>
      <w:b/>
      <w:bCs/>
      <w:caps/>
      <w:kern w:val="32"/>
      <w:szCs w:val="32"/>
    </w:rPr>
  </w:style>
  <w:style w:type="paragraph" w:styleId="Heading2">
    <w:name w:val="heading 2"/>
    <w:basedOn w:val="BodyText"/>
    <w:next w:val="Normal"/>
    <w:link w:val="Heading2Char"/>
    <w:uiPriority w:val="9"/>
    <w:qFormat/>
    <w:rsid w:val="0026522C"/>
    <w:pPr>
      <w:outlineLvl w:val="1"/>
    </w:pPr>
    <w:rPr>
      <w:rFonts w:cs="Times New Roman"/>
      <w:b/>
    </w:rPr>
  </w:style>
  <w:style w:type="paragraph" w:styleId="Heading3">
    <w:name w:val="heading 3"/>
    <w:aliases w:val="Examples"/>
    <w:basedOn w:val="Normal"/>
    <w:next w:val="Normal"/>
    <w:link w:val="Heading3Char"/>
    <w:uiPriority w:val="9"/>
    <w:qFormat/>
    <w:rsid w:val="00676C5C"/>
    <w:pPr>
      <w:keepNext/>
      <w:spacing w:before="240" w:after="60"/>
      <w:outlineLvl w:val="2"/>
    </w:pPr>
    <w:rPr>
      <w:bCs/>
      <w:szCs w:val="26"/>
      <w:u w:val="single"/>
    </w:rPr>
  </w:style>
  <w:style w:type="paragraph" w:styleId="Heading4">
    <w:name w:val="heading 4"/>
    <w:basedOn w:val="Normal"/>
    <w:next w:val="Normal"/>
    <w:link w:val="Heading4Char"/>
    <w:uiPriority w:val="9"/>
    <w:qFormat/>
    <w:rsid w:val="00676C5C"/>
    <w:pPr>
      <w:keepNext/>
      <w:spacing w:before="240" w:after="60"/>
      <w:outlineLvl w:val="3"/>
    </w:pPr>
    <w:rPr>
      <w:bCs/>
      <w:i/>
      <w:szCs w:val="28"/>
    </w:rPr>
  </w:style>
  <w:style w:type="paragraph" w:styleId="Heading5">
    <w:name w:val="heading 5"/>
    <w:basedOn w:val="Normal"/>
    <w:next w:val="Normal"/>
    <w:link w:val="Heading5Char"/>
    <w:qFormat/>
    <w:rsid w:val="00FB6E4B"/>
    <w:pPr>
      <w:spacing w:after="120" w:line="260" w:lineRule="atLeast"/>
      <w:ind w:left="1021"/>
      <w:outlineLvl w:val="4"/>
    </w:pPr>
    <w:rPr>
      <w:rFonts w:eastAsia="Times New Roman" w:cs="Times New Roman"/>
      <w:lang w:eastAsia="en-US"/>
    </w:rPr>
  </w:style>
  <w:style w:type="paragraph" w:styleId="Heading6">
    <w:name w:val="heading 6"/>
    <w:basedOn w:val="Normal"/>
    <w:next w:val="Normal"/>
    <w:qFormat/>
    <w:rsid w:val="00FB6E4B"/>
    <w:pPr>
      <w:spacing w:line="260" w:lineRule="atLeast"/>
      <w:ind w:left="1021"/>
      <w:outlineLvl w:val="5"/>
    </w:pPr>
    <w:rPr>
      <w:rFonts w:eastAsia="Times New Roman" w:cs="Times New Roman"/>
      <w:lang w:eastAsia="en-US"/>
    </w:rPr>
  </w:style>
  <w:style w:type="paragraph" w:styleId="Heading9">
    <w:name w:val="heading 9"/>
    <w:basedOn w:val="Normal"/>
    <w:next w:val="Normal"/>
    <w:qFormat/>
    <w:rsid w:val="00FB6E4B"/>
    <w:pPr>
      <w:spacing w:before="240" w:after="60" w:line="260" w:lineRule="atLeast"/>
      <w:ind w:left="1021"/>
      <w:outlineLvl w:val="8"/>
    </w:pPr>
    <w:rPr>
      <w:rFonts w:eastAsia="Times New Roman" w:cs="Times New Roman"/>
      <w: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4FCE"/>
    <w:rPr>
      <w:rFonts w:ascii="Arial" w:eastAsia="SimSun" w:hAnsi="Arial" w:cs="Arial"/>
      <w:b/>
      <w:bCs/>
      <w:caps/>
      <w:kern w:val="32"/>
      <w:sz w:val="22"/>
      <w:szCs w:val="32"/>
      <w:lang w:eastAsia="zh-CN"/>
    </w:rPr>
  </w:style>
  <w:style w:type="paragraph" w:styleId="BodyText">
    <w:name w:val="Body Text"/>
    <w:basedOn w:val="Normal"/>
    <w:link w:val="BodyTextChar"/>
    <w:uiPriority w:val="1"/>
    <w:qFormat/>
    <w:rsid w:val="00676C5C"/>
    <w:pPr>
      <w:spacing w:after="220"/>
    </w:pPr>
  </w:style>
  <w:style w:type="character" w:customStyle="1" w:styleId="BodyTextChar">
    <w:name w:val="Body Text Char"/>
    <w:basedOn w:val="DefaultParagraphFont"/>
    <w:link w:val="BodyText"/>
    <w:uiPriority w:val="1"/>
    <w:rsid w:val="00744FCE"/>
    <w:rPr>
      <w:rFonts w:ascii="Arial" w:eastAsia="SimSun" w:hAnsi="Arial" w:cs="Arial"/>
      <w:sz w:val="22"/>
      <w:lang w:eastAsia="zh-CN"/>
    </w:rPr>
  </w:style>
  <w:style w:type="character" w:customStyle="1" w:styleId="Heading2Char">
    <w:name w:val="Heading 2 Char"/>
    <w:link w:val="Heading2"/>
    <w:uiPriority w:val="9"/>
    <w:locked/>
    <w:rsid w:val="0026522C"/>
    <w:rPr>
      <w:rFonts w:ascii="Arial" w:eastAsia="SimSun" w:hAnsi="Arial" w:cs="Arial"/>
      <w:b/>
      <w:sz w:val="22"/>
      <w:lang w:eastAsia="zh-CN"/>
    </w:rPr>
  </w:style>
  <w:style w:type="character" w:customStyle="1" w:styleId="Heading3Char">
    <w:name w:val="Heading 3 Char"/>
    <w:aliases w:val="Examples Char"/>
    <w:basedOn w:val="DefaultParagraphFont"/>
    <w:link w:val="Heading3"/>
    <w:uiPriority w:val="9"/>
    <w:rsid w:val="00744FCE"/>
    <w:rPr>
      <w:rFonts w:ascii="Arial" w:eastAsia="SimSun" w:hAnsi="Arial" w:cs="Arial"/>
      <w:bCs/>
      <w:sz w:val="22"/>
      <w:szCs w:val="26"/>
      <w:u w:val="single"/>
      <w:lang w:eastAsia="zh-CN"/>
    </w:rPr>
  </w:style>
  <w:style w:type="character" w:customStyle="1" w:styleId="Heading4Char">
    <w:name w:val="Heading 4 Char"/>
    <w:basedOn w:val="DefaultParagraphFont"/>
    <w:link w:val="Heading4"/>
    <w:uiPriority w:val="9"/>
    <w:rsid w:val="00744FCE"/>
    <w:rPr>
      <w:rFonts w:ascii="Arial" w:eastAsia="SimSun" w:hAnsi="Arial" w:cs="Arial"/>
      <w:bCs/>
      <w:i/>
      <w:sz w:val="22"/>
      <w:szCs w:val="28"/>
      <w:lang w:eastAsia="zh-CN"/>
    </w:rPr>
  </w:style>
  <w:style w:type="character" w:customStyle="1" w:styleId="Heading5Char">
    <w:name w:val="Heading 5 Char"/>
    <w:basedOn w:val="DefaultParagraphFont"/>
    <w:link w:val="Heading5"/>
    <w:rsid w:val="00744FCE"/>
    <w:rPr>
      <w:rFonts w:ascii="Arial" w:hAnsi="Arial"/>
      <w:sz w:val="22"/>
    </w:rPr>
  </w:style>
  <w:style w:type="paragraph" w:customStyle="1" w:styleId="Endofdocument-Annex">
    <w:name w:val="[End of document - Annex]"/>
    <w:basedOn w:val="Normal"/>
    <w:link w:val="Endofdocument-AnnexChar"/>
    <w:rsid w:val="0053057A"/>
    <w:pPr>
      <w:ind w:left="5534"/>
    </w:pPr>
  </w:style>
  <w:style w:type="character" w:customStyle="1" w:styleId="Endofdocument-AnnexChar">
    <w:name w:val="[End of document - Annex] Char"/>
    <w:link w:val="Endofdocument-Annex"/>
    <w:rsid w:val="004907DF"/>
    <w:rPr>
      <w:rFonts w:ascii="Arial" w:eastAsia="SimSun" w:hAnsi="Arial" w:cs="Arial"/>
      <w:sz w:val="22"/>
      <w:lang w:val="ru-RU" w:eastAsia="zh-CN" w:bidi="ar-SA"/>
    </w:r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uiPriority w:val="99"/>
    <w:rsid w:val="00676C5C"/>
    <w:rPr>
      <w:sz w:val="18"/>
    </w:rPr>
  </w:style>
  <w:style w:type="character" w:customStyle="1" w:styleId="CommentTextChar">
    <w:name w:val="Comment Text Char"/>
    <w:link w:val="CommentText"/>
    <w:uiPriority w:val="99"/>
    <w:locked/>
    <w:rsid w:val="00FB6E4B"/>
    <w:rPr>
      <w:rFonts w:ascii="Arial" w:eastAsia="SimSun" w:hAnsi="Arial" w:cs="Arial"/>
      <w:sz w:val="18"/>
      <w:lang w:val="ru-RU" w:eastAsia="zh-CN" w:bidi="ar-SA"/>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character" w:customStyle="1" w:styleId="FooterChar">
    <w:name w:val="Footer Char"/>
    <w:link w:val="Footer"/>
    <w:uiPriority w:val="99"/>
    <w:rsid w:val="00A86C57"/>
    <w:rPr>
      <w:rFonts w:ascii="Arial" w:eastAsia="SimSun" w:hAnsi="Arial" w:cs="Arial"/>
      <w:sz w:val="22"/>
      <w:lang w:eastAsia="zh-CN"/>
    </w:rPr>
  </w:style>
  <w:style w:type="paragraph" w:styleId="FootnoteText">
    <w:name w:val="footnote text"/>
    <w:aliases w:val="single space,Texte de note de bas de page,ALTS FOOTNOTE,ADB,fn,ft,Footnote Text Char1,Footnote Text Char Char,FOOTNOTES,Fodnotetekst Tegn,Footnote Text1,footnote text Char,footnote text Char Char Char,geneva,f"/>
    <w:basedOn w:val="Normal"/>
    <w:link w:val="FootnoteTextChar"/>
    <w:qFormat/>
    <w:rsid w:val="00676C5C"/>
    <w:rPr>
      <w:sz w:val="18"/>
    </w:rPr>
  </w:style>
  <w:style w:type="character" w:customStyle="1" w:styleId="FootnoteTextChar">
    <w:name w:val="Footnote Text Char"/>
    <w:aliases w:val="single space Char,Texte de note de bas de page Char,ALTS FOOTNOTE Char,ADB Char,fn Char,ft Char,Footnote Text Char1 Char,Footnote Text Char Char Char,FOOTNOTES Char,Fodnotetekst Tegn Char,Footnote Text1 Char,footnote text Char Char"/>
    <w:basedOn w:val="DefaultParagraphFont"/>
    <w:link w:val="FootnoteText"/>
    <w:qFormat/>
    <w:rsid w:val="00744FCE"/>
    <w:rPr>
      <w:rFonts w:ascii="Arial" w:eastAsia="SimSun" w:hAnsi="Arial" w:cs="Arial"/>
      <w:sz w:val="18"/>
      <w:lang w:eastAsia="zh-CN"/>
    </w:rPr>
  </w:style>
  <w:style w:type="paragraph" w:styleId="Header">
    <w:name w:val="header"/>
    <w:basedOn w:val="Normal"/>
    <w:link w:val="HeaderChar"/>
    <w:rsid w:val="00676C5C"/>
    <w:pPr>
      <w:tabs>
        <w:tab w:val="center" w:pos="4536"/>
        <w:tab w:val="right" w:pos="9072"/>
      </w:tabs>
    </w:pPr>
  </w:style>
  <w:style w:type="character" w:customStyle="1" w:styleId="HeaderChar">
    <w:name w:val="Header Char"/>
    <w:basedOn w:val="DefaultParagraphFont"/>
    <w:link w:val="Header"/>
    <w:rsid w:val="00B93028"/>
    <w:rPr>
      <w:rFonts w:ascii="Arial" w:eastAsia="SimSun" w:hAnsi="Arial" w:cs="Arial"/>
      <w:sz w:val="22"/>
      <w:lang w:eastAsia="zh-CN"/>
    </w:r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DecisionInvitingPara">
    <w:name w:val="Decision Inviting Para."/>
    <w:basedOn w:val="Normal"/>
    <w:rsid w:val="00FB6E4B"/>
    <w:pPr>
      <w:spacing w:line="260" w:lineRule="atLeast"/>
      <w:ind w:left="6096" w:hanging="562"/>
    </w:pPr>
    <w:rPr>
      <w:rFonts w:eastAsia="Times New Roman" w:cs="Times New Roman"/>
      <w:i/>
      <w:lang w:eastAsia="en-US"/>
    </w:rPr>
  </w:style>
  <w:style w:type="paragraph" w:customStyle="1" w:styleId="Endofdocument">
    <w:name w:val="End of document"/>
    <w:basedOn w:val="Normal"/>
    <w:rsid w:val="00FB6E4B"/>
    <w:pPr>
      <w:spacing w:line="260" w:lineRule="atLeast"/>
      <w:ind w:left="5534"/>
    </w:pPr>
    <w:rPr>
      <w:rFonts w:eastAsia="Times New Roman" w:cs="Times New Roman"/>
      <w:lang w:eastAsia="en-US"/>
    </w:rPr>
  </w:style>
  <w:style w:type="character" w:styleId="FootnoteReference">
    <w:name w:val="footnote reference"/>
    <w:aliases w:val="ftref,16 Point,Superscript 6 Point,Fußnotenzeichen DISS,BVI fnr,Ref,de nota al pie,Footnote,Error-Fußnotenzeichen5,Error-Fußnotenzeichen6,Error-Fußnotenzeichen3,Footnote Reference1,Footnote Reference Number,Footnote Reference_LVL6"/>
    <w:link w:val="BVIfnrCharCar1CarChar"/>
    <w:uiPriority w:val="99"/>
    <w:qFormat/>
    <w:rsid w:val="00FB6E4B"/>
    <w:rPr>
      <w:rFonts w:cs="Times New Roman"/>
      <w:vertAlign w:val="superscript"/>
    </w:rPr>
  </w:style>
  <w:style w:type="paragraph" w:customStyle="1" w:styleId="preparedby">
    <w:name w:val="prepared by"/>
    <w:basedOn w:val="Normal"/>
    <w:next w:val="Normal"/>
    <w:rsid w:val="00FB6E4B"/>
    <w:pPr>
      <w:spacing w:before="120" w:after="480" w:line="260" w:lineRule="atLeast"/>
      <w:ind w:left="1021"/>
    </w:pPr>
    <w:rPr>
      <w:rFonts w:eastAsia="Times New Roman" w:cs="Times New Roman"/>
      <w:i/>
      <w:lang w:eastAsia="en-US"/>
    </w:rPr>
  </w:style>
  <w:style w:type="paragraph" w:styleId="Title">
    <w:name w:val="Title"/>
    <w:basedOn w:val="Normal"/>
    <w:link w:val="TitleChar"/>
    <w:uiPriority w:val="10"/>
    <w:qFormat/>
    <w:rsid w:val="00FB6E4B"/>
    <w:pPr>
      <w:spacing w:after="300" w:line="260" w:lineRule="atLeast"/>
      <w:ind w:left="1021"/>
      <w:jc w:val="center"/>
    </w:pPr>
    <w:rPr>
      <w:rFonts w:eastAsia="Times New Roman" w:cs="Times New Roman"/>
      <w:b/>
      <w:caps/>
      <w:kern w:val="28"/>
      <w:sz w:val="30"/>
      <w:lang w:eastAsia="en-US"/>
    </w:rPr>
  </w:style>
  <w:style w:type="character" w:customStyle="1" w:styleId="TitleChar">
    <w:name w:val="Title Char"/>
    <w:basedOn w:val="DefaultParagraphFont"/>
    <w:link w:val="Title"/>
    <w:uiPriority w:val="10"/>
    <w:rsid w:val="00744FCE"/>
    <w:rPr>
      <w:rFonts w:ascii="Arial" w:hAnsi="Arial"/>
      <w:b/>
      <w:caps/>
      <w:kern w:val="28"/>
      <w:sz w:val="30"/>
    </w:rPr>
  </w:style>
  <w:style w:type="paragraph" w:customStyle="1" w:styleId="Documenttitle">
    <w:name w:val="Document title"/>
    <w:basedOn w:val="Normal"/>
    <w:next w:val="preparedby"/>
    <w:rsid w:val="00FB6E4B"/>
    <w:pPr>
      <w:spacing w:before="840" w:line="336" w:lineRule="exact"/>
      <w:ind w:left="1021"/>
    </w:pPr>
    <w:rPr>
      <w:rFonts w:eastAsia="Times New Roman" w:cs="Times New Roman"/>
      <w:b/>
      <w:caps/>
      <w:sz w:val="24"/>
      <w:lang w:eastAsia="en-US"/>
    </w:rPr>
  </w:style>
  <w:style w:type="paragraph" w:customStyle="1" w:styleId="MeetinglanguageDate">
    <w:name w:val="Meeting language &amp; Date"/>
    <w:basedOn w:val="Normal"/>
    <w:next w:val="Meetingtitle"/>
    <w:rsid w:val="00FB6E4B"/>
    <w:pPr>
      <w:spacing w:after="1680" w:line="160" w:lineRule="exact"/>
      <w:ind w:left="1021"/>
      <w:contextualSpacing/>
      <w:jc w:val="right"/>
    </w:pPr>
    <w:rPr>
      <w:rFonts w:ascii="Arial Black" w:eastAsia="Times New Roman" w:hAnsi="Arial Black" w:cs="Times New Roman"/>
      <w:b/>
      <w:caps/>
      <w:sz w:val="15"/>
      <w:lang w:eastAsia="en-US"/>
    </w:rPr>
  </w:style>
  <w:style w:type="paragraph" w:customStyle="1" w:styleId="Meetingtitle">
    <w:name w:val="Meeting title"/>
    <w:basedOn w:val="Normal"/>
    <w:next w:val="Sessiontitle"/>
    <w:rsid w:val="00FB6E4B"/>
    <w:pPr>
      <w:spacing w:line="336" w:lineRule="exact"/>
      <w:ind w:left="1021"/>
    </w:pPr>
    <w:rPr>
      <w:rFonts w:eastAsia="Times New Roman" w:cs="Times New Roman"/>
      <w:b/>
      <w:sz w:val="28"/>
      <w:lang w:eastAsia="en-US"/>
    </w:rPr>
  </w:style>
  <w:style w:type="paragraph" w:customStyle="1" w:styleId="Sessiontitle">
    <w:name w:val="Session title"/>
    <w:basedOn w:val="Meetingtitle"/>
    <w:next w:val="Meetingplacedate"/>
    <w:rsid w:val="00FB6E4B"/>
    <w:pPr>
      <w:spacing w:before="480"/>
      <w:contextualSpacing/>
    </w:pPr>
    <w:rPr>
      <w:sz w:val="24"/>
    </w:rPr>
  </w:style>
  <w:style w:type="paragraph" w:customStyle="1" w:styleId="Meetingplacedate">
    <w:name w:val="Meeting place &amp; date"/>
    <w:basedOn w:val="Sessiontitle"/>
    <w:next w:val="Documenttitle"/>
    <w:rsid w:val="00FB6E4B"/>
    <w:pPr>
      <w:spacing w:before="0"/>
      <w:contextualSpacing w:val="0"/>
    </w:pPr>
  </w:style>
  <w:style w:type="paragraph" w:customStyle="1" w:styleId="Language">
    <w:name w:val="Language"/>
    <w:basedOn w:val="Normal"/>
    <w:next w:val="Normal"/>
    <w:rsid w:val="00FB6E4B"/>
    <w:pPr>
      <w:spacing w:line="340" w:lineRule="atLeast"/>
      <w:ind w:left="1021"/>
      <w:jc w:val="right"/>
    </w:pPr>
    <w:rPr>
      <w:rFonts w:eastAsia="Times New Roman" w:cs="Times New Roman"/>
      <w:b/>
      <w:caps/>
      <w:sz w:val="40"/>
      <w:lang w:eastAsia="en-US"/>
    </w:rPr>
  </w:style>
  <w:style w:type="paragraph" w:customStyle="1" w:styleId="TESTwiposouslogo">
    <w:name w:val="TESTwiposouslogo"/>
    <w:basedOn w:val="Normal"/>
    <w:link w:val="TESTwiposouslogoChar"/>
    <w:semiHidden/>
    <w:rsid w:val="00FB6E4B"/>
    <w:pPr>
      <w:spacing w:line="240" w:lineRule="atLeast"/>
      <w:ind w:left="1021" w:right="4933"/>
      <w:jc w:val="right"/>
    </w:pPr>
    <w:rPr>
      <w:rFonts w:eastAsia="Times New Roman" w:cs="Times New Roman"/>
      <w:b/>
      <w:w w:val="150"/>
      <w:lang w:eastAsia="en-US"/>
    </w:rPr>
  </w:style>
  <w:style w:type="character" w:customStyle="1" w:styleId="TESTwiposouslogoChar">
    <w:name w:val="TESTwiposouslogo Char"/>
    <w:link w:val="TESTwiposouslogo"/>
    <w:locked/>
    <w:rsid w:val="00FB6E4B"/>
    <w:rPr>
      <w:rFonts w:ascii="Arial" w:hAnsi="Arial"/>
      <w:b/>
      <w:w w:val="150"/>
      <w:sz w:val="22"/>
      <w:lang w:val="ru-RU" w:eastAsia="en-US" w:bidi="ar-SA"/>
    </w:rPr>
  </w:style>
  <w:style w:type="paragraph" w:customStyle="1" w:styleId="TESTintellectualproperty">
    <w:name w:val="TESTintellectualproperty"/>
    <w:basedOn w:val="Normal"/>
    <w:link w:val="TESTintellectualpropertyChar"/>
    <w:semiHidden/>
    <w:rsid w:val="00FB6E4B"/>
    <w:pPr>
      <w:spacing w:line="260" w:lineRule="atLeast"/>
      <w:ind w:left="4848"/>
    </w:pPr>
    <w:rPr>
      <w:rFonts w:eastAsia="Times New Roman" w:cs="Times New Roman"/>
      <w:caps/>
      <w:sz w:val="16"/>
      <w:lang w:eastAsia="en-US"/>
    </w:rPr>
  </w:style>
  <w:style w:type="character" w:customStyle="1" w:styleId="TESTintellectualpropertyChar">
    <w:name w:val="TESTintellectualproperty Char"/>
    <w:link w:val="TESTintellectualproperty"/>
    <w:locked/>
    <w:rsid w:val="00FB6E4B"/>
    <w:rPr>
      <w:rFonts w:ascii="Arial" w:hAnsi="Arial"/>
      <w:caps/>
      <w:sz w:val="16"/>
      <w:lang w:val="ru-RU" w:eastAsia="en-US" w:bidi="ar-SA"/>
    </w:rPr>
  </w:style>
  <w:style w:type="paragraph" w:customStyle="1" w:styleId="TESTorganisation">
    <w:name w:val="TESTorganisation"/>
    <w:basedOn w:val="TESTintellectualproperty"/>
    <w:next w:val="MeetingCode"/>
    <w:link w:val="TESTorganisationChar"/>
    <w:semiHidden/>
    <w:rsid w:val="00FB6E4B"/>
  </w:style>
  <w:style w:type="paragraph" w:customStyle="1" w:styleId="MeetingCode">
    <w:name w:val="Meeting Code"/>
    <w:basedOn w:val="MeetinglanguageDate"/>
    <w:rsid w:val="00FB6E4B"/>
    <w:pPr>
      <w:spacing w:before="1800" w:after="0"/>
    </w:pPr>
  </w:style>
  <w:style w:type="character" w:customStyle="1" w:styleId="TESTorganisationChar">
    <w:name w:val="TESTorganisation Char"/>
    <w:basedOn w:val="TESTintellectualpropertyChar"/>
    <w:link w:val="TESTorganisation"/>
    <w:locked/>
    <w:rsid w:val="00FB6E4B"/>
    <w:rPr>
      <w:rFonts w:ascii="Arial" w:hAnsi="Arial"/>
      <w:caps/>
      <w:sz w:val="16"/>
      <w:lang w:val="ru-RU" w:eastAsia="en-US" w:bidi="ar-SA"/>
    </w:rPr>
  </w:style>
  <w:style w:type="paragraph" w:customStyle="1" w:styleId="TestIWIPO">
    <w:name w:val="Test I WIPO"/>
    <w:basedOn w:val="TESTwiposouslogo"/>
    <w:link w:val="TestIWIPOChar"/>
    <w:semiHidden/>
    <w:rsid w:val="00FB6E4B"/>
    <w:pPr>
      <w:ind w:right="4763"/>
    </w:pPr>
    <w:rPr>
      <w:sz w:val="28"/>
      <w:szCs w:val="28"/>
    </w:rPr>
  </w:style>
  <w:style w:type="character" w:customStyle="1" w:styleId="TestIWIPOChar">
    <w:name w:val="Test I WIPO Char"/>
    <w:link w:val="TestIWIPO"/>
    <w:locked/>
    <w:rsid w:val="00FB6E4B"/>
    <w:rPr>
      <w:rFonts w:ascii="Arial" w:hAnsi="Arial"/>
      <w:b/>
      <w:w w:val="150"/>
      <w:sz w:val="28"/>
      <w:szCs w:val="28"/>
      <w:lang w:val="ru-RU" w:eastAsia="en-US" w:bidi="ar-SA"/>
    </w:rPr>
  </w:style>
  <w:style w:type="paragraph" w:customStyle="1" w:styleId="TESTIintellectual">
    <w:name w:val="TEST I intellectual"/>
    <w:basedOn w:val="TESTintellectualproperty"/>
    <w:link w:val="TESTIintellectualChar"/>
    <w:semiHidden/>
    <w:rsid w:val="00FB6E4B"/>
    <w:rPr>
      <w:rFonts w:ascii="Arial Black" w:hAnsi="Arial Black"/>
      <w:b/>
    </w:rPr>
  </w:style>
  <w:style w:type="character" w:customStyle="1" w:styleId="TESTIintellectualChar">
    <w:name w:val="TEST I intellectual Char"/>
    <w:link w:val="TESTIintellectual"/>
    <w:locked/>
    <w:rsid w:val="00FB6E4B"/>
    <w:rPr>
      <w:rFonts w:ascii="Arial Black" w:hAnsi="Arial Black"/>
      <w:b/>
      <w:caps/>
      <w:sz w:val="16"/>
      <w:lang w:val="ru-RU" w:eastAsia="en-US" w:bidi="ar-SA"/>
    </w:rPr>
  </w:style>
  <w:style w:type="paragraph" w:customStyle="1" w:styleId="TESTIorganisation">
    <w:name w:val="TEST I organisation"/>
    <w:basedOn w:val="TESTorganisation"/>
    <w:link w:val="TESTIorganisationChar"/>
    <w:semiHidden/>
    <w:rsid w:val="00FB6E4B"/>
    <w:rPr>
      <w:b/>
    </w:rPr>
  </w:style>
  <w:style w:type="character" w:customStyle="1" w:styleId="TESTIorganisationChar">
    <w:name w:val="TEST I organisation Char"/>
    <w:link w:val="TESTIorganisation"/>
    <w:locked/>
    <w:rsid w:val="00FB6E4B"/>
    <w:rPr>
      <w:rFonts w:ascii="Arial" w:hAnsi="Arial"/>
      <w:b/>
      <w:caps/>
      <w:sz w:val="16"/>
      <w:lang w:val="ru-RU" w:eastAsia="en-US" w:bidi="ar-SA"/>
    </w:rPr>
  </w:style>
  <w:style w:type="paragraph" w:customStyle="1" w:styleId="Assembly">
    <w:name w:val="Assembly"/>
    <w:basedOn w:val="Meetingtitle"/>
    <w:next w:val="Sessiontitle"/>
    <w:rsid w:val="00FB6E4B"/>
    <w:pPr>
      <w:spacing w:before="480"/>
      <w:contextualSpacing/>
    </w:pPr>
  </w:style>
  <w:style w:type="paragraph" w:customStyle="1" w:styleId="Indent1">
    <w:name w:val="Indent 1"/>
    <w:basedOn w:val="Normal"/>
    <w:rsid w:val="00FB6E4B"/>
    <w:pPr>
      <w:spacing w:after="120" w:line="260" w:lineRule="atLeast"/>
      <w:ind w:left="2268" w:hanging="567"/>
    </w:pPr>
    <w:rPr>
      <w:rFonts w:eastAsia="Times New Roman" w:cs="Times New Roman"/>
      <w:lang w:eastAsia="en-US"/>
    </w:rPr>
  </w:style>
  <w:style w:type="paragraph" w:customStyle="1" w:styleId="Indent2">
    <w:name w:val="Indent 2"/>
    <w:basedOn w:val="Normal"/>
    <w:rsid w:val="00FB6E4B"/>
    <w:pPr>
      <w:spacing w:after="120" w:line="260" w:lineRule="atLeast"/>
      <w:ind w:left="2977" w:hanging="709"/>
    </w:pPr>
    <w:rPr>
      <w:rFonts w:eastAsia="Times New Roman" w:cs="Times New Roman"/>
      <w:lang w:eastAsia="en-US"/>
    </w:rPr>
  </w:style>
  <w:style w:type="character" w:styleId="HTMLDefinition">
    <w:name w:val="HTML Definition"/>
    <w:semiHidden/>
    <w:rsid w:val="00FB6E4B"/>
    <w:rPr>
      <w:rFonts w:cs="Times New Roman"/>
      <w:i/>
      <w:iCs/>
    </w:rPr>
  </w:style>
  <w:style w:type="character" w:styleId="Hyperlink">
    <w:name w:val="Hyperlink"/>
    <w:uiPriority w:val="99"/>
    <w:rsid w:val="00FB6E4B"/>
    <w:rPr>
      <w:rFonts w:cs="Times New Roman"/>
      <w:color w:val="0000FF"/>
      <w:u w:val="single"/>
    </w:rPr>
  </w:style>
  <w:style w:type="paragraph" w:styleId="ListNumber2">
    <w:name w:val="List Number 2"/>
    <w:basedOn w:val="Normal"/>
    <w:semiHidden/>
    <w:rsid w:val="00FB6E4B"/>
    <w:pPr>
      <w:numPr>
        <w:numId w:val="4"/>
      </w:numPr>
      <w:spacing w:line="260" w:lineRule="atLeast"/>
    </w:pPr>
    <w:rPr>
      <w:rFonts w:eastAsia="Times New Roman" w:cs="Times New Roman"/>
      <w:lang w:eastAsia="en-US"/>
    </w:rPr>
  </w:style>
  <w:style w:type="paragraph" w:styleId="ListNumber3">
    <w:name w:val="List Number 3"/>
    <w:basedOn w:val="Normal"/>
    <w:semiHidden/>
    <w:rsid w:val="00FB6E4B"/>
    <w:pPr>
      <w:numPr>
        <w:numId w:val="5"/>
      </w:numPr>
      <w:spacing w:line="260" w:lineRule="atLeast"/>
    </w:pPr>
    <w:rPr>
      <w:rFonts w:eastAsia="Times New Roman" w:cs="Times New Roman"/>
      <w:lang w:eastAsia="en-US"/>
    </w:rPr>
  </w:style>
  <w:style w:type="paragraph" w:styleId="ListNumber4">
    <w:name w:val="List Number 4"/>
    <w:basedOn w:val="Normal"/>
    <w:semiHidden/>
    <w:rsid w:val="00FB6E4B"/>
    <w:pPr>
      <w:numPr>
        <w:numId w:val="6"/>
      </w:numPr>
      <w:spacing w:line="260" w:lineRule="atLeast"/>
    </w:pPr>
    <w:rPr>
      <w:rFonts w:eastAsia="Times New Roman" w:cs="Times New Roman"/>
      <w:lang w:eastAsia="en-US"/>
    </w:rPr>
  </w:style>
  <w:style w:type="paragraph" w:styleId="ListNumber5">
    <w:name w:val="List Number 5"/>
    <w:basedOn w:val="Normal"/>
    <w:semiHidden/>
    <w:rsid w:val="00FB6E4B"/>
    <w:pPr>
      <w:numPr>
        <w:numId w:val="7"/>
      </w:numPr>
      <w:spacing w:line="260" w:lineRule="atLeast"/>
    </w:pPr>
    <w:rPr>
      <w:rFonts w:eastAsia="Times New Roman" w:cs="Times New Roman"/>
      <w:lang w:eastAsia="en-US"/>
    </w:rPr>
  </w:style>
  <w:style w:type="character" w:styleId="Strong">
    <w:name w:val="Strong"/>
    <w:uiPriority w:val="22"/>
    <w:qFormat/>
    <w:rsid w:val="00FB6E4B"/>
    <w:rPr>
      <w:rFonts w:cs="Times New Roman"/>
      <w:b/>
      <w:bCs/>
    </w:rPr>
  </w:style>
  <w:style w:type="paragraph" w:styleId="Subtitle">
    <w:name w:val="Subtitle"/>
    <w:basedOn w:val="Normal"/>
    <w:qFormat/>
    <w:rsid w:val="00FB6E4B"/>
    <w:pPr>
      <w:spacing w:after="60" w:line="260" w:lineRule="atLeast"/>
      <w:ind w:left="1021"/>
      <w:jc w:val="center"/>
      <w:outlineLvl w:val="1"/>
    </w:pPr>
    <w:rPr>
      <w:rFonts w:eastAsia="Times New Roman"/>
      <w:sz w:val="24"/>
      <w:szCs w:val="24"/>
      <w:lang w:eastAsia="en-US"/>
    </w:rPr>
  </w:style>
  <w:style w:type="paragraph" w:customStyle="1" w:styleId="paragraph">
    <w:name w:val="paragraph"/>
    <w:basedOn w:val="BodyText"/>
    <w:rsid w:val="00FB6E4B"/>
    <w:pPr>
      <w:spacing w:after="120" w:line="260" w:lineRule="atLeast"/>
      <w:ind w:left="1701" w:hanging="680"/>
    </w:pPr>
    <w:rPr>
      <w:rFonts w:eastAsia="Times New Roman" w:cs="Times New Roman"/>
      <w:lang w:eastAsia="en-US"/>
    </w:rPr>
  </w:style>
  <w:style w:type="paragraph" w:customStyle="1" w:styleId="TitleofDoc">
    <w:name w:val="Title of Doc"/>
    <w:basedOn w:val="Normal"/>
    <w:rsid w:val="00FB6E4B"/>
    <w:pPr>
      <w:spacing w:before="1200"/>
      <w:jc w:val="center"/>
    </w:pPr>
    <w:rPr>
      <w:rFonts w:ascii="Times New Roman" w:eastAsia="Times New Roman" w:hAnsi="Times New Roman" w:cs="Times New Roman"/>
      <w:caps/>
      <w:sz w:val="24"/>
      <w:lang w:eastAsia="en-US"/>
    </w:rPr>
  </w:style>
  <w:style w:type="paragraph" w:customStyle="1" w:styleId="Default">
    <w:name w:val="Default"/>
    <w:rsid w:val="00FB6E4B"/>
    <w:pPr>
      <w:autoSpaceDE w:val="0"/>
      <w:autoSpaceDN w:val="0"/>
      <w:adjustRightInd w:val="0"/>
    </w:pPr>
    <w:rPr>
      <w:rFonts w:eastAsia="Batang"/>
      <w:color w:val="000000"/>
      <w:sz w:val="24"/>
      <w:szCs w:val="24"/>
      <w:lang w:eastAsia="ko-KR"/>
    </w:rPr>
  </w:style>
  <w:style w:type="paragraph" w:styleId="Date">
    <w:name w:val="Date"/>
    <w:basedOn w:val="Normal"/>
    <w:next w:val="Normal"/>
    <w:rsid w:val="00FB6E4B"/>
    <w:rPr>
      <w:rFonts w:ascii="Times New Roman" w:eastAsia="Times New Roman" w:hAnsi="Times New Roman" w:cs="Times New Roman"/>
      <w:sz w:val="24"/>
      <w:lang w:eastAsia="en-US"/>
    </w:rPr>
  </w:style>
  <w:style w:type="character" w:styleId="FollowedHyperlink">
    <w:name w:val="FollowedHyperlink"/>
    <w:uiPriority w:val="99"/>
    <w:rsid w:val="00FB6E4B"/>
    <w:rPr>
      <w:rFonts w:cs="Times New Roman"/>
      <w:color w:val="606420"/>
      <w:u w:val="single"/>
    </w:rPr>
  </w:style>
  <w:style w:type="paragraph" w:customStyle="1" w:styleId="Question">
    <w:name w:val="Question"/>
    <w:basedOn w:val="Normal"/>
    <w:rsid w:val="00FB6E4B"/>
    <w:pPr>
      <w:keepNext/>
      <w:keepLines/>
      <w:shd w:val="pct15" w:color="auto" w:fill="FFFFFF"/>
      <w:spacing w:before="360" w:after="180"/>
      <w:ind w:left="567" w:hanging="567"/>
    </w:pPr>
    <w:rPr>
      <w:rFonts w:ascii="Times New Roman" w:eastAsia="Times New Roman" w:hAnsi="Times New Roman" w:cs="Times New Roman"/>
      <w:sz w:val="24"/>
      <w:lang w:eastAsia="en-US"/>
    </w:rPr>
  </w:style>
  <w:style w:type="paragraph" w:customStyle="1" w:styleId="Example">
    <w:name w:val="Example"/>
    <w:basedOn w:val="Normal"/>
    <w:rsid w:val="00FB6E4B"/>
    <w:pPr>
      <w:spacing w:after="40" w:line="240" w:lineRule="atLeast"/>
      <w:ind w:left="539" w:right="612"/>
    </w:pPr>
    <w:rPr>
      <w:rFonts w:eastAsia="MS Mincho" w:cs="Times New Roman"/>
      <w:i/>
      <w:lang w:eastAsia="de-DE"/>
    </w:rPr>
  </w:style>
  <w:style w:type="paragraph" w:styleId="TOC2">
    <w:name w:val="toc 2"/>
    <w:basedOn w:val="Normal"/>
    <w:next w:val="Normal"/>
    <w:autoRedefine/>
    <w:uiPriority w:val="39"/>
    <w:rsid w:val="003C4531"/>
    <w:pPr>
      <w:tabs>
        <w:tab w:val="right" w:pos="9345"/>
      </w:tabs>
      <w:spacing w:before="120" w:after="120"/>
      <w:ind w:left="202"/>
    </w:pPr>
    <w:rPr>
      <w:rFonts w:eastAsia="Times New Roman" w:cs="Times New Roman"/>
      <w:lang w:eastAsia="en-US"/>
    </w:rPr>
  </w:style>
  <w:style w:type="paragraph" w:styleId="TOC3">
    <w:name w:val="toc 3"/>
    <w:basedOn w:val="Normal"/>
    <w:next w:val="Normal"/>
    <w:autoRedefine/>
    <w:uiPriority w:val="39"/>
    <w:rsid w:val="0026327E"/>
    <w:pPr>
      <w:tabs>
        <w:tab w:val="right" w:leader="dot" w:pos="9628"/>
      </w:tabs>
      <w:spacing w:after="100" w:line="260" w:lineRule="atLeast"/>
      <w:ind w:left="220"/>
    </w:pPr>
    <w:rPr>
      <w:rFonts w:eastAsia="Times New Roman" w:cs="Times New Roman"/>
      <w:i/>
      <w:noProof/>
      <w:lang w:eastAsia="en-US"/>
    </w:rPr>
  </w:style>
  <w:style w:type="paragraph" w:styleId="ListParagraph">
    <w:name w:val="List Paragraph"/>
    <w:basedOn w:val="Normal"/>
    <w:link w:val="ListParagraphChar"/>
    <w:uiPriority w:val="34"/>
    <w:qFormat/>
    <w:rsid w:val="00FB6E4B"/>
    <w:pPr>
      <w:spacing w:line="260" w:lineRule="atLeast"/>
      <w:ind w:left="720"/>
      <w:contextualSpacing/>
    </w:pPr>
    <w:rPr>
      <w:rFonts w:eastAsia="Times New Roman" w:cs="Times New Roman"/>
      <w:lang w:eastAsia="en-US"/>
    </w:rPr>
  </w:style>
  <w:style w:type="character" w:customStyle="1" w:styleId="ListParagraphChar">
    <w:name w:val="List Paragraph Char"/>
    <w:basedOn w:val="DefaultParagraphFont"/>
    <w:link w:val="ListParagraph"/>
    <w:uiPriority w:val="34"/>
    <w:rsid w:val="00744FCE"/>
    <w:rPr>
      <w:rFonts w:ascii="Arial" w:hAnsi="Arial"/>
      <w:sz w:val="22"/>
    </w:rPr>
  </w:style>
  <w:style w:type="character" w:styleId="CommentReference">
    <w:name w:val="annotation reference"/>
    <w:uiPriority w:val="99"/>
    <w:rsid w:val="00FB6E4B"/>
    <w:rPr>
      <w:rFonts w:cs="Times New Roman"/>
      <w:sz w:val="18"/>
      <w:szCs w:val="18"/>
    </w:rPr>
  </w:style>
  <w:style w:type="paragraph" w:styleId="CommentSubject">
    <w:name w:val="annotation subject"/>
    <w:basedOn w:val="CommentText"/>
    <w:next w:val="CommentText"/>
    <w:link w:val="CommentSubjectChar"/>
    <w:uiPriority w:val="99"/>
    <w:rsid w:val="00FB6E4B"/>
    <w:pPr>
      <w:ind w:left="1021"/>
    </w:pPr>
    <w:rPr>
      <w:b/>
      <w:bCs/>
    </w:rPr>
  </w:style>
  <w:style w:type="character" w:customStyle="1" w:styleId="CommentSubjectChar">
    <w:name w:val="Comment Subject Char"/>
    <w:link w:val="CommentSubject"/>
    <w:uiPriority w:val="99"/>
    <w:locked/>
    <w:rsid w:val="00FB6E4B"/>
    <w:rPr>
      <w:rFonts w:ascii="Arial" w:eastAsia="SimSun" w:hAnsi="Arial" w:cs="Arial"/>
      <w:b/>
      <w:bCs/>
      <w:sz w:val="18"/>
      <w:lang w:val="ru-RU" w:eastAsia="zh-CN" w:bidi="ar-SA"/>
    </w:rPr>
  </w:style>
  <w:style w:type="paragraph" w:customStyle="1" w:styleId="PlaceAndDate">
    <w:name w:val="PlaceAndDate"/>
    <w:basedOn w:val="Session"/>
    <w:semiHidden/>
    <w:rsid w:val="00FB6E4B"/>
  </w:style>
  <w:style w:type="paragraph" w:customStyle="1" w:styleId="Session">
    <w:name w:val="Session"/>
    <w:basedOn w:val="Normal"/>
    <w:semiHidden/>
    <w:rsid w:val="00FB6E4B"/>
    <w:pPr>
      <w:spacing w:before="60" w:line="260" w:lineRule="atLeast"/>
      <w:ind w:left="1021"/>
      <w:jc w:val="center"/>
    </w:pPr>
    <w:rPr>
      <w:rFonts w:eastAsia="Times New Roman" w:cs="Times New Roman"/>
      <w:b/>
      <w:sz w:val="30"/>
      <w:lang w:eastAsia="en-US"/>
    </w:rPr>
  </w:style>
  <w:style w:type="character" w:styleId="PageNumber">
    <w:name w:val="page number"/>
    <w:basedOn w:val="DefaultParagraphFont"/>
    <w:uiPriority w:val="99"/>
    <w:rsid w:val="00097361"/>
  </w:style>
  <w:style w:type="paragraph" w:styleId="TOC1">
    <w:name w:val="toc 1"/>
    <w:basedOn w:val="Normal"/>
    <w:next w:val="Normal"/>
    <w:autoRedefine/>
    <w:uiPriority w:val="39"/>
    <w:rsid w:val="00E84C16"/>
    <w:pPr>
      <w:tabs>
        <w:tab w:val="right" w:pos="9345"/>
      </w:tabs>
      <w:spacing w:before="120" w:after="120"/>
    </w:pPr>
    <w:rPr>
      <w:b/>
    </w:rPr>
  </w:style>
  <w:style w:type="paragraph" w:customStyle="1" w:styleId="Reporttext">
    <w:name w:val="Report text"/>
    <w:link w:val="ReporttextChar"/>
    <w:rsid w:val="00414EC7"/>
    <w:pPr>
      <w:spacing w:before="120"/>
      <w:ind w:firstLine="360"/>
    </w:pPr>
    <w:rPr>
      <w:sz w:val="22"/>
      <w:szCs w:val="22"/>
      <w:lang w:eastAsia="en-GB"/>
    </w:rPr>
  </w:style>
  <w:style w:type="character" w:customStyle="1" w:styleId="ReporttextChar">
    <w:name w:val="Report text Char"/>
    <w:link w:val="Reporttext"/>
    <w:rsid w:val="00414EC7"/>
    <w:rPr>
      <w:sz w:val="22"/>
      <w:szCs w:val="22"/>
      <w:lang w:bidi="ar-SA"/>
    </w:rPr>
  </w:style>
  <w:style w:type="paragraph" w:customStyle="1" w:styleId="Numbers">
    <w:name w:val="Numbers"/>
    <w:basedOn w:val="Reporttext"/>
    <w:rsid w:val="00414EC7"/>
    <w:pPr>
      <w:numPr>
        <w:numId w:val="8"/>
      </w:numPr>
      <w:tabs>
        <w:tab w:val="clear" w:pos="792"/>
        <w:tab w:val="num" w:pos="567"/>
      </w:tabs>
      <w:ind w:left="0" w:firstLine="0"/>
    </w:pPr>
  </w:style>
  <w:style w:type="paragraph" w:customStyle="1" w:styleId="CarCar">
    <w:name w:val="Car Car"/>
    <w:basedOn w:val="Normal"/>
    <w:rsid w:val="00F1186F"/>
    <w:pPr>
      <w:spacing w:after="160" w:line="240" w:lineRule="exact"/>
    </w:pPr>
    <w:rPr>
      <w:rFonts w:ascii="Verdana" w:eastAsia="Times New Roman" w:hAnsi="Verdana" w:cs="Times New Roman"/>
      <w:sz w:val="20"/>
      <w:lang w:eastAsia="en-US"/>
    </w:rPr>
  </w:style>
  <w:style w:type="table" w:styleId="TableGrid">
    <w:name w:val="Table Grid"/>
    <w:aliases w:val="TabelEcorys,Table test"/>
    <w:basedOn w:val="TableNormal"/>
    <w:rsid w:val="0035722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rsid w:val="004877F1"/>
    <w:rPr>
      <w:rFonts w:ascii="Tahoma" w:hAnsi="Tahoma" w:cs="Times New Roman"/>
      <w:sz w:val="16"/>
      <w:szCs w:val="16"/>
    </w:rPr>
  </w:style>
  <w:style w:type="character" w:customStyle="1" w:styleId="BalloonTextChar">
    <w:name w:val="Balloon Text Char"/>
    <w:link w:val="BalloonText"/>
    <w:uiPriority w:val="99"/>
    <w:rsid w:val="004877F1"/>
    <w:rPr>
      <w:rFonts w:ascii="Tahoma" w:eastAsia="SimSun" w:hAnsi="Tahoma" w:cs="Tahoma"/>
      <w:sz w:val="16"/>
      <w:szCs w:val="16"/>
      <w:lang w:eastAsia="zh-CN"/>
    </w:rPr>
  </w:style>
  <w:style w:type="paragraph" w:styleId="Revision">
    <w:name w:val="Revision"/>
    <w:hidden/>
    <w:uiPriority w:val="99"/>
    <w:semiHidden/>
    <w:rsid w:val="001F4C95"/>
    <w:rPr>
      <w:rFonts w:ascii="Arial" w:eastAsia="SimSun" w:hAnsi="Arial" w:cs="Arial"/>
      <w:sz w:val="22"/>
      <w:lang w:eastAsia="zh-CN"/>
    </w:rPr>
  </w:style>
  <w:style w:type="character" w:customStyle="1" w:styleId="apple-converted-space">
    <w:name w:val="apple-converted-space"/>
    <w:basedOn w:val="DefaultParagraphFont"/>
    <w:rsid w:val="00964CD7"/>
  </w:style>
  <w:style w:type="paragraph" w:customStyle="1" w:styleId="CoverPageTitle">
    <w:name w:val="Cover Page Title"/>
    <w:basedOn w:val="Normal"/>
    <w:rsid w:val="00A86C57"/>
    <w:pPr>
      <w:overflowPunct w:val="0"/>
      <w:autoSpaceDE w:val="0"/>
      <w:autoSpaceDN w:val="0"/>
      <w:adjustRightInd w:val="0"/>
      <w:spacing w:before="1680" w:after="240"/>
      <w:ind w:left="360" w:right="4020" w:firstLine="360"/>
      <w:textAlignment w:val="baseline"/>
    </w:pPr>
    <w:rPr>
      <w:rFonts w:ascii="Calibri" w:eastAsia="Times New Roman" w:hAnsi="Calibri" w:cs="Times New Roman"/>
      <w:b/>
      <w:bCs/>
      <w:color w:val="000000"/>
      <w:spacing w:val="60"/>
      <w:kern w:val="28"/>
      <w:sz w:val="48"/>
      <w:szCs w:val="22"/>
      <w:lang w:eastAsia="en-US" w:bidi="en-US"/>
      <w14:shadow w14:blurRad="50800" w14:dist="38100" w14:dir="2700000" w14:sx="100000" w14:sy="100000" w14:kx="0" w14:ky="0" w14:algn="tl">
        <w14:srgbClr w14:val="000000">
          <w14:alpha w14:val="60000"/>
        </w14:srgbClr>
      </w14:shadow>
    </w:rPr>
  </w:style>
  <w:style w:type="paragraph" w:customStyle="1" w:styleId="Logo">
    <w:name w:val="Logo"/>
    <w:basedOn w:val="Reporttext"/>
    <w:rsid w:val="00A86C57"/>
    <w:pPr>
      <w:spacing w:before="0"/>
      <w:jc w:val="right"/>
    </w:pPr>
    <w:rPr>
      <w:lang w:eastAsia="en-US"/>
    </w:rPr>
  </w:style>
  <w:style w:type="paragraph" w:customStyle="1" w:styleId="Covers-Title">
    <w:name w:val="Cover s-Title"/>
    <w:basedOn w:val="Reporttext"/>
    <w:rsid w:val="00A86C57"/>
    <w:pPr>
      <w:overflowPunct w:val="0"/>
      <w:autoSpaceDE w:val="0"/>
      <w:autoSpaceDN w:val="0"/>
      <w:adjustRightInd w:val="0"/>
      <w:spacing w:before="360" w:after="240"/>
      <w:ind w:left="360" w:right="4018"/>
      <w:textAlignment w:val="baseline"/>
    </w:pPr>
    <w:rPr>
      <w:color w:val="000000"/>
      <w:spacing w:val="60"/>
      <w:kern w:val="28"/>
      <w:sz w:val="36"/>
      <w:lang w:eastAsia="en-US"/>
    </w:rPr>
  </w:style>
  <w:style w:type="paragraph" w:customStyle="1" w:styleId="CoverAuthor">
    <w:name w:val="Cover Author"/>
    <w:basedOn w:val="Normal"/>
    <w:rsid w:val="00A86C57"/>
    <w:pPr>
      <w:overflowPunct w:val="0"/>
      <w:autoSpaceDE w:val="0"/>
      <w:autoSpaceDN w:val="0"/>
      <w:adjustRightInd w:val="0"/>
      <w:ind w:left="360" w:right="4018" w:firstLine="360"/>
      <w:textAlignment w:val="baseline"/>
    </w:pPr>
    <w:rPr>
      <w:rFonts w:ascii="Calibri" w:eastAsia="Times New Roman" w:hAnsi="Calibri" w:cs="Times New Roman"/>
      <w:sz w:val="32"/>
      <w:szCs w:val="22"/>
      <w:lang w:eastAsia="en-US" w:bidi="en-US"/>
    </w:rPr>
  </w:style>
  <w:style w:type="paragraph" w:customStyle="1" w:styleId="CoverDate">
    <w:name w:val="Cover Date"/>
    <w:basedOn w:val="CoverAuthor"/>
    <w:rsid w:val="00A86C57"/>
    <w:rPr>
      <w:spacing w:val="60"/>
      <w:sz w:val="28"/>
    </w:rPr>
  </w:style>
  <w:style w:type="paragraph" w:customStyle="1" w:styleId="Heading30">
    <w:name w:val="Heading3"/>
    <w:basedOn w:val="BodyText"/>
    <w:link w:val="Heading3Char0"/>
    <w:qFormat/>
    <w:rsid w:val="00A86C57"/>
    <w:pPr>
      <w:spacing w:after="120"/>
      <w:jc w:val="center"/>
    </w:pPr>
    <w:rPr>
      <w:rFonts w:eastAsia="MS Mincho"/>
      <w:b/>
      <w:i/>
      <w:sz w:val="28"/>
      <w:szCs w:val="28"/>
      <w:lang w:eastAsia="en-US"/>
    </w:rPr>
  </w:style>
  <w:style w:type="character" w:customStyle="1" w:styleId="Heading3Char0">
    <w:name w:val="Heading3 Char"/>
    <w:link w:val="Heading30"/>
    <w:rsid w:val="00A86C57"/>
    <w:rPr>
      <w:rFonts w:ascii="Arial" w:eastAsia="MS Mincho" w:hAnsi="Arial" w:cs="Arial"/>
      <w:b/>
      <w:i/>
      <w:sz w:val="28"/>
      <w:szCs w:val="28"/>
      <w:lang w:val="ru-RU"/>
    </w:rPr>
  </w:style>
  <w:style w:type="paragraph" w:styleId="NormalWeb">
    <w:name w:val="Normal (Web)"/>
    <w:basedOn w:val="Normal"/>
    <w:uiPriority w:val="99"/>
    <w:unhideWhenUsed/>
    <w:rsid w:val="00A86C57"/>
    <w:pPr>
      <w:spacing w:before="100" w:beforeAutospacing="1" w:after="100" w:afterAutospacing="1"/>
    </w:pPr>
    <w:rPr>
      <w:rFonts w:ascii="Times New Roman" w:eastAsia="Times New Roman" w:hAnsi="Times New Roman" w:cs="Times New Roman"/>
      <w:sz w:val="24"/>
      <w:szCs w:val="24"/>
      <w:lang w:eastAsia="de-AT"/>
    </w:rPr>
  </w:style>
  <w:style w:type="paragraph" w:customStyle="1" w:styleId="trt0xe">
    <w:name w:val="trt0xe"/>
    <w:basedOn w:val="Normal"/>
    <w:rsid w:val="00A86C57"/>
    <w:pPr>
      <w:spacing w:before="100" w:beforeAutospacing="1" w:after="100" w:afterAutospacing="1"/>
    </w:pPr>
    <w:rPr>
      <w:rFonts w:ascii="Times New Roman" w:eastAsia="Times New Roman" w:hAnsi="Times New Roman" w:cs="Times New Roman"/>
      <w:sz w:val="24"/>
      <w:szCs w:val="24"/>
      <w:lang w:eastAsia="de-AT"/>
    </w:rPr>
  </w:style>
  <w:style w:type="paragraph" w:customStyle="1" w:styleId="v1msolistparagraph">
    <w:name w:val="v1msolistparagraph"/>
    <w:basedOn w:val="Normal"/>
    <w:rsid w:val="00C13DDE"/>
    <w:pPr>
      <w:spacing w:before="100" w:beforeAutospacing="1" w:after="100" w:afterAutospacing="1"/>
    </w:pPr>
    <w:rPr>
      <w:rFonts w:ascii="Times New Roman" w:eastAsia="Times New Roman" w:hAnsi="Times New Roman" w:cs="Times New Roman"/>
      <w:sz w:val="24"/>
      <w:szCs w:val="24"/>
      <w:lang w:eastAsia="de-AT"/>
    </w:rPr>
  </w:style>
  <w:style w:type="character" w:customStyle="1" w:styleId="fontstyle01">
    <w:name w:val="fontstyle01"/>
    <w:basedOn w:val="DefaultParagraphFont"/>
    <w:rsid w:val="001F3318"/>
    <w:rPr>
      <w:rFonts w:ascii="TimesNewRomanPS-BoldMT" w:hAnsi="TimesNewRomanPS-BoldMT" w:hint="default"/>
      <w:b/>
      <w:bCs/>
      <w:i w:val="0"/>
      <w:iCs w:val="0"/>
      <w:color w:val="000000"/>
      <w:sz w:val="52"/>
      <w:szCs w:val="52"/>
    </w:rPr>
  </w:style>
  <w:style w:type="paragraph" w:styleId="TOCHeading">
    <w:name w:val="TOC Heading"/>
    <w:basedOn w:val="Heading1"/>
    <w:next w:val="Normal"/>
    <w:uiPriority w:val="39"/>
    <w:unhideWhenUsed/>
    <w:qFormat/>
    <w:rsid w:val="00744FCE"/>
    <w:pPr>
      <w:keepLines/>
      <w:spacing w:after="0"/>
      <w:outlineLvl w:val="9"/>
    </w:pPr>
    <w:rPr>
      <w:rFonts w:asciiTheme="majorHAnsi" w:eastAsiaTheme="majorEastAsia" w:hAnsiTheme="majorHAnsi" w:cstheme="majorBidi"/>
      <w:b w:val="0"/>
      <w:bCs w:val="0"/>
      <w:caps w:val="0"/>
      <w:color w:val="2E74B5" w:themeColor="accent1" w:themeShade="BF"/>
      <w:kern w:val="0"/>
      <w:sz w:val="32"/>
    </w:rPr>
  </w:style>
  <w:style w:type="paragraph" w:styleId="NoSpacing">
    <w:name w:val="No Spacing"/>
    <w:aliases w:val="Examples2"/>
    <w:uiPriority w:val="1"/>
    <w:qFormat/>
    <w:rsid w:val="00744FCE"/>
    <w:pPr>
      <w:jc w:val="both"/>
    </w:pPr>
    <w:rPr>
      <w:rFonts w:ascii="Arial" w:eastAsiaTheme="minorHAnsi" w:hAnsi="Arial" w:cs="Arial"/>
      <w:color w:val="404040" w:themeColor="text1" w:themeTint="BF"/>
      <w:sz w:val="16"/>
      <w:szCs w:val="21"/>
    </w:rPr>
  </w:style>
  <w:style w:type="paragraph" w:customStyle="1" w:styleId="ToRNumberedparas">
    <w:name w:val="ToR Numbered paras"/>
    <w:basedOn w:val="ListParagraph"/>
    <w:link w:val="ToRNumberedparasChar"/>
    <w:qFormat/>
    <w:rsid w:val="00744FCE"/>
    <w:pPr>
      <w:numPr>
        <w:numId w:val="9"/>
      </w:numPr>
      <w:spacing w:line="288" w:lineRule="auto"/>
      <w:contextualSpacing w:val="0"/>
    </w:pPr>
    <w:rPr>
      <w:rFonts w:ascii="Times New Roman" w:hAnsi="Times New Roman"/>
      <w:sz w:val="24"/>
      <w:szCs w:val="22"/>
    </w:rPr>
  </w:style>
  <w:style w:type="character" w:customStyle="1" w:styleId="ToRNumberedparasChar">
    <w:name w:val="ToR Numbered paras Char"/>
    <w:basedOn w:val="DefaultParagraphFont"/>
    <w:link w:val="ToRNumberedparas"/>
    <w:rsid w:val="00744FCE"/>
    <w:rPr>
      <w:sz w:val="24"/>
      <w:szCs w:val="22"/>
      <w:lang w:val="ru-RU"/>
    </w:rPr>
  </w:style>
  <w:style w:type="paragraph" w:customStyle="1" w:styleId="Footnotes">
    <w:name w:val="Footnotes"/>
    <w:basedOn w:val="FootnoteText"/>
    <w:link w:val="FootnotesChar"/>
    <w:qFormat/>
    <w:rsid w:val="00744FCE"/>
    <w:pPr>
      <w:ind w:left="284" w:hanging="284"/>
    </w:pPr>
    <w:rPr>
      <w:rFonts w:ascii="Times New Roman" w:eastAsia="Times New Roman" w:hAnsi="Times New Roman" w:cstheme="minorBidi"/>
      <w:sz w:val="24"/>
      <w:szCs w:val="18"/>
      <w:lang w:eastAsia="en-US"/>
    </w:rPr>
  </w:style>
  <w:style w:type="character" w:customStyle="1" w:styleId="FootnotesChar">
    <w:name w:val="Footnotes Char"/>
    <w:basedOn w:val="DefaultParagraphFont"/>
    <w:link w:val="Footnotes"/>
    <w:rsid w:val="00744FCE"/>
    <w:rPr>
      <w:rFonts w:cstheme="minorBidi"/>
      <w:sz w:val="24"/>
      <w:szCs w:val="18"/>
      <w:lang w:val="ru-RU"/>
    </w:rPr>
  </w:style>
  <w:style w:type="paragraph" w:customStyle="1" w:styleId="TableParagraph">
    <w:name w:val="Table Paragraph"/>
    <w:basedOn w:val="Normal"/>
    <w:uiPriority w:val="1"/>
    <w:qFormat/>
    <w:rsid w:val="00744FCE"/>
    <w:pPr>
      <w:widowControl w:val="0"/>
      <w:autoSpaceDE w:val="0"/>
      <w:autoSpaceDN w:val="0"/>
      <w:spacing w:before="31"/>
    </w:pPr>
    <w:rPr>
      <w:rFonts w:ascii="Times New Roman" w:eastAsia="Arial" w:hAnsi="Times New Roman" w:cs="Times New Roman"/>
      <w:szCs w:val="22"/>
      <w:lang w:eastAsia="en-US"/>
    </w:rPr>
  </w:style>
  <w:style w:type="paragraph" w:customStyle="1" w:styleId="Normal1">
    <w:name w:val="Normal1"/>
    <w:rsid w:val="00744FCE"/>
    <w:rPr>
      <w:rFonts w:ascii="Arial" w:eastAsia="Arial" w:hAnsi="Arial" w:cs="Arial"/>
      <w:color w:val="000000"/>
    </w:rPr>
  </w:style>
  <w:style w:type="character" w:customStyle="1" w:styleId="BodyTextIndentChar">
    <w:name w:val="Body Text Indent Char"/>
    <w:basedOn w:val="DefaultParagraphFont"/>
    <w:link w:val="BodyTextIndent"/>
    <w:uiPriority w:val="99"/>
    <w:semiHidden/>
    <w:rsid w:val="00744FCE"/>
    <w:rPr>
      <w:sz w:val="24"/>
      <w:szCs w:val="24"/>
      <w:lang w:val="ru-RU"/>
    </w:rPr>
  </w:style>
  <w:style w:type="paragraph" w:styleId="BodyTextIndent">
    <w:name w:val="Body Text Indent"/>
    <w:basedOn w:val="Normal"/>
    <w:link w:val="BodyTextIndentChar"/>
    <w:uiPriority w:val="99"/>
    <w:semiHidden/>
    <w:unhideWhenUsed/>
    <w:rsid w:val="00744FCE"/>
    <w:pPr>
      <w:spacing w:after="120"/>
      <w:ind w:left="283"/>
    </w:pPr>
    <w:rPr>
      <w:rFonts w:ascii="Times New Roman" w:eastAsia="Times New Roman" w:hAnsi="Times New Roman" w:cs="Times New Roman"/>
      <w:sz w:val="24"/>
      <w:szCs w:val="24"/>
      <w:lang w:eastAsia="en-US"/>
    </w:rPr>
  </w:style>
  <w:style w:type="numbering" w:customStyle="1" w:styleId="NoList1">
    <w:name w:val="No List1"/>
    <w:next w:val="NoList"/>
    <w:uiPriority w:val="99"/>
    <w:semiHidden/>
    <w:unhideWhenUsed/>
    <w:rsid w:val="002105F6"/>
  </w:style>
  <w:style w:type="paragraph" w:customStyle="1" w:styleId="TOC41">
    <w:name w:val="TOC 41"/>
    <w:basedOn w:val="Normal"/>
    <w:next w:val="Normal"/>
    <w:autoRedefine/>
    <w:uiPriority w:val="39"/>
    <w:semiHidden/>
    <w:unhideWhenUsed/>
    <w:rsid w:val="002105F6"/>
    <w:pPr>
      <w:ind w:left="540"/>
    </w:pPr>
    <w:rPr>
      <w:rFonts w:ascii="Calibri" w:eastAsia="Times New Roman" w:hAnsi="Calibri" w:cs="Times New Roman"/>
      <w:sz w:val="24"/>
      <w:lang w:eastAsia="en-US"/>
    </w:rPr>
  </w:style>
  <w:style w:type="paragraph" w:customStyle="1" w:styleId="TOC51">
    <w:name w:val="TOC 51"/>
    <w:basedOn w:val="Normal"/>
    <w:next w:val="Normal"/>
    <w:autoRedefine/>
    <w:uiPriority w:val="39"/>
    <w:semiHidden/>
    <w:unhideWhenUsed/>
    <w:rsid w:val="002105F6"/>
    <w:pPr>
      <w:ind w:left="720"/>
    </w:pPr>
    <w:rPr>
      <w:rFonts w:ascii="Calibri" w:eastAsia="Times New Roman" w:hAnsi="Calibri" w:cs="Times New Roman"/>
      <w:sz w:val="24"/>
      <w:lang w:eastAsia="en-US"/>
    </w:rPr>
  </w:style>
  <w:style w:type="paragraph" w:customStyle="1" w:styleId="TOC61">
    <w:name w:val="TOC 61"/>
    <w:basedOn w:val="Normal"/>
    <w:next w:val="Normal"/>
    <w:autoRedefine/>
    <w:uiPriority w:val="39"/>
    <w:semiHidden/>
    <w:unhideWhenUsed/>
    <w:rsid w:val="002105F6"/>
    <w:pPr>
      <w:ind w:left="900"/>
    </w:pPr>
    <w:rPr>
      <w:rFonts w:ascii="Calibri" w:eastAsia="Times New Roman" w:hAnsi="Calibri" w:cs="Times New Roman"/>
      <w:sz w:val="24"/>
      <w:lang w:eastAsia="en-US"/>
    </w:rPr>
  </w:style>
  <w:style w:type="paragraph" w:customStyle="1" w:styleId="TOC71">
    <w:name w:val="TOC 71"/>
    <w:basedOn w:val="Normal"/>
    <w:next w:val="Normal"/>
    <w:autoRedefine/>
    <w:uiPriority w:val="39"/>
    <w:semiHidden/>
    <w:unhideWhenUsed/>
    <w:rsid w:val="002105F6"/>
    <w:pPr>
      <w:ind w:left="1080"/>
    </w:pPr>
    <w:rPr>
      <w:rFonts w:ascii="Calibri" w:eastAsia="Times New Roman" w:hAnsi="Calibri" w:cs="Times New Roman"/>
      <w:sz w:val="24"/>
      <w:lang w:eastAsia="en-US"/>
    </w:rPr>
  </w:style>
  <w:style w:type="paragraph" w:customStyle="1" w:styleId="TOC81">
    <w:name w:val="TOC 81"/>
    <w:basedOn w:val="Normal"/>
    <w:next w:val="Normal"/>
    <w:autoRedefine/>
    <w:uiPriority w:val="39"/>
    <w:semiHidden/>
    <w:unhideWhenUsed/>
    <w:rsid w:val="002105F6"/>
    <w:pPr>
      <w:ind w:left="1260"/>
    </w:pPr>
    <w:rPr>
      <w:rFonts w:ascii="Calibri" w:eastAsia="Times New Roman" w:hAnsi="Calibri" w:cs="Times New Roman"/>
      <w:sz w:val="24"/>
      <w:lang w:eastAsia="en-US"/>
    </w:rPr>
  </w:style>
  <w:style w:type="paragraph" w:customStyle="1" w:styleId="TOC91">
    <w:name w:val="TOC 91"/>
    <w:basedOn w:val="Normal"/>
    <w:next w:val="Normal"/>
    <w:autoRedefine/>
    <w:uiPriority w:val="39"/>
    <w:semiHidden/>
    <w:unhideWhenUsed/>
    <w:rsid w:val="002105F6"/>
    <w:pPr>
      <w:ind w:left="1440"/>
    </w:pPr>
    <w:rPr>
      <w:rFonts w:ascii="Calibri" w:eastAsia="Times New Roman" w:hAnsi="Calibri" w:cs="Times New Roman"/>
      <w:sz w:val="24"/>
      <w:lang w:eastAsia="en-US"/>
    </w:rPr>
  </w:style>
  <w:style w:type="table" w:customStyle="1" w:styleId="TableGrid1">
    <w:name w:val="Table Grid1"/>
    <w:basedOn w:val="TableNormal"/>
    <w:next w:val="TableGrid"/>
    <w:uiPriority w:val="39"/>
    <w:rsid w:val="002105F6"/>
    <w:rPr>
      <w:rFonts w:ascii="Calibri" w:eastAsia="Calibri" w:hAnsi="Calibri"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DefaultParagraphFont"/>
    <w:uiPriority w:val="99"/>
    <w:semiHidden/>
    <w:unhideWhenUsed/>
    <w:rsid w:val="002105F6"/>
    <w:rPr>
      <w:color w:val="605E5C"/>
      <w:shd w:val="clear" w:color="auto" w:fill="E1DFDD"/>
    </w:rPr>
  </w:style>
  <w:style w:type="table" w:customStyle="1" w:styleId="GridTable2-Accent51">
    <w:name w:val="Grid Table 2 - Accent 51"/>
    <w:basedOn w:val="TableNormal"/>
    <w:next w:val="GridTable2-Accent5"/>
    <w:uiPriority w:val="47"/>
    <w:rsid w:val="002105F6"/>
    <w:rPr>
      <w:rFonts w:ascii="Calibri" w:eastAsia="Calibri" w:hAnsi="Calibri" w:cs="Arial"/>
      <w:sz w:val="22"/>
      <w:szCs w:val="22"/>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2-Accent52">
    <w:name w:val="Grid Table 2 - Accent 52"/>
    <w:basedOn w:val="TableNormal"/>
    <w:next w:val="GridTable2-Accent5"/>
    <w:uiPriority w:val="47"/>
    <w:rsid w:val="002105F6"/>
    <w:rPr>
      <w:rFonts w:ascii="Helvetica Light" w:eastAsia="Calibri" w:hAnsi="Helvetica Light" w:cs="Times New Roman (Cuerpo en alfa"/>
      <w:sz w:val="22"/>
      <w:szCs w:val="24"/>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Mencinsinresolver2">
    <w:name w:val="Mención sin resolver2"/>
    <w:basedOn w:val="DefaultParagraphFont"/>
    <w:uiPriority w:val="99"/>
    <w:semiHidden/>
    <w:unhideWhenUsed/>
    <w:rsid w:val="002105F6"/>
    <w:rPr>
      <w:color w:val="605E5C"/>
      <w:shd w:val="clear" w:color="auto" w:fill="E1DFDD"/>
    </w:rPr>
  </w:style>
  <w:style w:type="table" w:customStyle="1" w:styleId="Tablaconcuadrcula1">
    <w:name w:val="Tabla con cuadrícula1"/>
    <w:basedOn w:val="TableNormal"/>
    <w:next w:val="TableGrid"/>
    <w:uiPriority w:val="59"/>
    <w:rsid w:val="002105F6"/>
    <w:rPr>
      <w:rFonts w:ascii="Calibri" w:hAnsi="Calibri" w:cs="Arial"/>
      <w:sz w:val="24"/>
      <w:szCs w:val="24"/>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eNormal"/>
    <w:next w:val="TableGrid"/>
    <w:uiPriority w:val="59"/>
    <w:rsid w:val="002105F6"/>
    <w:rPr>
      <w:rFonts w:ascii="Calibri" w:hAnsi="Calibri" w:cs="Arial"/>
      <w:sz w:val="24"/>
      <w:szCs w:val="24"/>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11">
    <w:name w:val="Medium Shading 1 - Accent 11"/>
    <w:basedOn w:val="TableNormal"/>
    <w:next w:val="MediumShading1-Accent1"/>
    <w:uiPriority w:val="63"/>
    <w:rsid w:val="002105F6"/>
    <w:rPr>
      <w:rFonts w:ascii="Calibri" w:hAnsi="Calibri" w:cs="Arial"/>
      <w:sz w:val="22"/>
      <w:szCs w:val="22"/>
      <w:lang w:eastAsia="zh-CN"/>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0" w:after="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customStyle="1" w:styleId="PlainTable31">
    <w:name w:val="Plain Table 31"/>
    <w:basedOn w:val="TableNormal"/>
    <w:next w:val="PlainTable3"/>
    <w:uiPriority w:val="43"/>
    <w:rsid w:val="002105F6"/>
    <w:rPr>
      <w:rFonts w:ascii="Helvetica Light" w:eastAsia="Calibri" w:hAnsi="Helvetica Light" w:cs="Times New Roman (Cuerpo en alfa"/>
      <w:sz w:val="22"/>
      <w:szCs w:val="24"/>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next w:val="PlainTable4"/>
    <w:uiPriority w:val="44"/>
    <w:rsid w:val="002105F6"/>
    <w:rPr>
      <w:rFonts w:ascii="Helvetica Light" w:eastAsia="Calibri" w:hAnsi="Helvetica Light" w:cs="Times New Roman (Cuerpo en alfa"/>
      <w:sz w:val="22"/>
      <w:szCs w:val="24"/>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GridTable5Dark-Accent51">
    <w:name w:val="Grid Table 5 Dark - Accent 51"/>
    <w:basedOn w:val="TableNormal"/>
    <w:next w:val="GridTable5Dark-Accent5"/>
    <w:uiPriority w:val="50"/>
    <w:rsid w:val="002105F6"/>
    <w:rPr>
      <w:rFonts w:ascii="Helvetica Light" w:eastAsia="Calibri" w:hAnsi="Helvetica Light" w:cs="Times New Roman (Cuerpo en alfa"/>
      <w:sz w:val="22"/>
      <w:szCs w:val="24"/>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GridTable5Dark-Accent11">
    <w:name w:val="Grid Table 5 Dark - Accent 11"/>
    <w:basedOn w:val="TableNormal"/>
    <w:next w:val="GridTable5Dark-Accent1"/>
    <w:uiPriority w:val="50"/>
    <w:rsid w:val="002105F6"/>
    <w:rPr>
      <w:rFonts w:ascii="Helvetica Light" w:eastAsia="Calibri" w:hAnsi="Helvetica Light" w:cs="Times New Roman (Cuerpo en alfa"/>
      <w:sz w:val="22"/>
      <w:szCs w:val="24"/>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4-Accent51">
    <w:name w:val="List Table 4 - Accent 51"/>
    <w:basedOn w:val="TableNormal"/>
    <w:next w:val="ListTable4-Accent5"/>
    <w:uiPriority w:val="49"/>
    <w:rsid w:val="002105F6"/>
    <w:rPr>
      <w:rFonts w:ascii="Helvetica Light" w:eastAsia="Calibri" w:hAnsi="Helvetica Light" w:cs="Times New Roman (Cuerpo en alfa"/>
      <w:sz w:val="22"/>
      <w:szCs w:val="24"/>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UnresolvedMention1">
    <w:name w:val="Unresolved Mention1"/>
    <w:basedOn w:val="DefaultParagraphFont"/>
    <w:uiPriority w:val="99"/>
    <w:semiHidden/>
    <w:unhideWhenUsed/>
    <w:rsid w:val="002105F6"/>
    <w:rPr>
      <w:color w:val="605E5C"/>
      <w:shd w:val="clear" w:color="auto" w:fill="E1DFDD"/>
    </w:rPr>
  </w:style>
  <w:style w:type="character" w:customStyle="1" w:styleId="UnresolvedMention2">
    <w:name w:val="Unresolved Mention2"/>
    <w:basedOn w:val="DefaultParagraphFont"/>
    <w:uiPriority w:val="99"/>
    <w:semiHidden/>
    <w:unhideWhenUsed/>
    <w:rsid w:val="002105F6"/>
    <w:rPr>
      <w:color w:val="605E5C"/>
      <w:shd w:val="clear" w:color="auto" w:fill="E1DFDD"/>
    </w:rPr>
  </w:style>
  <w:style w:type="table" w:styleId="GridTable2-Accent5">
    <w:name w:val="Grid Table 2 Accent 5"/>
    <w:basedOn w:val="TableNormal"/>
    <w:uiPriority w:val="47"/>
    <w:rsid w:val="002105F6"/>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MediumShading1-Accent1">
    <w:name w:val="Medium Shading 1 Accent 1"/>
    <w:basedOn w:val="TableNormal"/>
    <w:uiPriority w:val="63"/>
    <w:semiHidden/>
    <w:unhideWhenUsed/>
    <w:rsid w:val="002105F6"/>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PlainTable3">
    <w:name w:val="Plain Table 3"/>
    <w:basedOn w:val="TableNormal"/>
    <w:uiPriority w:val="43"/>
    <w:rsid w:val="002105F6"/>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105F6"/>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5Dark-Accent5">
    <w:name w:val="Grid Table 5 Dark Accent 5"/>
    <w:basedOn w:val="TableNormal"/>
    <w:uiPriority w:val="50"/>
    <w:rsid w:val="002105F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GridTable5Dark-Accent1">
    <w:name w:val="Grid Table 5 Dark Accent 1"/>
    <w:basedOn w:val="TableNormal"/>
    <w:uiPriority w:val="50"/>
    <w:rsid w:val="002105F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ListTable4-Accent5">
    <w:name w:val="List Table 4 Accent 5"/>
    <w:basedOn w:val="TableNormal"/>
    <w:uiPriority w:val="49"/>
    <w:rsid w:val="002105F6"/>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BVIfnrCharCar1CarChar">
    <w:name w:val="BVI fnr Char Car1 Car Char"/>
    <w:aliases w:val="BVI fnr Char Car Car Char,ftref Char Car Car Char, BVI fnr Char Car Char Char Car Car Char,BVI fnr Char Car Char Char Car Car Char,ftref Char Car Char Char Car Car Char, BVI fnr Char,BVI fnr Char"/>
    <w:basedOn w:val="Normal"/>
    <w:next w:val="Normal"/>
    <w:link w:val="FootnoteReference"/>
    <w:uiPriority w:val="99"/>
    <w:rsid w:val="00C720F4"/>
    <w:pPr>
      <w:spacing w:before="30" w:after="160" w:line="240" w:lineRule="exact"/>
      <w:jc w:val="both"/>
    </w:pPr>
    <w:rPr>
      <w:rFonts w:ascii="Times New Roman" w:eastAsia="Times New Roman" w:hAnsi="Times New Roman" w:cs="Times New Roman"/>
      <w:sz w:val="20"/>
      <w:vertAlign w:val="superscript"/>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767545">
      <w:bodyDiv w:val="1"/>
      <w:marLeft w:val="0"/>
      <w:marRight w:val="0"/>
      <w:marTop w:val="0"/>
      <w:marBottom w:val="0"/>
      <w:divBdr>
        <w:top w:val="none" w:sz="0" w:space="0" w:color="auto"/>
        <w:left w:val="none" w:sz="0" w:space="0" w:color="auto"/>
        <w:bottom w:val="none" w:sz="0" w:space="0" w:color="auto"/>
        <w:right w:val="none" w:sz="0" w:space="0" w:color="auto"/>
      </w:divBdr>
    </w:div>
    <w:div w:id="497615615">
      <w:bodyDiv w:val="1"/>
      <w:marLeft w:val="0"/>
      <w:marRight w:val="0"/>
      <w:marTop w:val="0"/>
      <w:marBottom w:val="0"/>
      <w:divBdr>
        <w:top w:val="none" w:sz="0" w:space="0" w:color="auto"/>
        <w:left w:val="none" w:sz="0" w:space="0" w:color="auto"/>
        <w:bottom w:val="none" w:sz="0" w:space="0" w:color="auto"/>
        <w:right w:val="none" w:sz="0" w:space="0" w:color="auto"/>
      </w:divBdr>
    </w:div>
    <w:div w:id="1011295340">
      <w:bodyDiv w:val="1"/>
      <w:marLeft w:val="0"/>
      <w:marRight w:val="0"/>
      <w:marTop w:val="0"/>
      <w:marBottom w:val="0"/>
      <w:divBdr>
        <w:top w:val="none" w:sz="0" w:space="0" w:color="auto"/>
        <w:left w:val="none" w:sz="0" w:space="0" w:color="auto"/>
        <w:bottom w:val="none" w:sz="0" w:space="0" w:color="auto"/>
        <w:right w:val="none" w:sz="0" w:space="0" w:color="auto"/>
      </w:divBdr>
    </w:div>
    <w:div w:id="1457916635">
      <w:bodyDiv w:val="1"/>
      <w:marLeft w:val="0"/>
      <w:marRight w:val="0"/>
      <w:marTop w:val="0"/>
      <w:marBottom w:val="0"/>
      <w:divBdr>
        <w:top w:val="none" w:sz="0" w:space="0" w:color="auto"/>
        <w:left w:val="none" w:sz="0" w:space="0" w:color="auto"/>
        <w:bottom w:val="none" w:sz="0" w:space="0" w:color="auto"/>
        <w:right w:val="none" w:sz="0" w:space="0" w:color="auto"/>
      </w:divBdr>
    </w:div>
    <w:div w:id="1705250222">
      <w:bodyDiv w:val="1"/>
      <w:marLeft w:val="0"/>
      <w:marRight w:val="0"/>
      <w:marTop w:val="0"/>
      <w:marBottom w:val="0"/>
      <w:divBdr>
        <w:top w:val="none" w:sz="0" w:space="0" w:color="auto"/>
        <w:left w:val="none" w:sz="0" w:space="0" w:color="auto"/>
        <w:bottom w:val="none" w:sz="0" w:space="0" w:color="auto"/>
        <w:right w:val="none" w:sz="0" w:space="0" w:color="auto"/>
      </w:divBdr>
      <w:divsChild>
        <w:div w:id="592322217">
          <w:marLeft w:val="0"/>
          <w:marRight w:val="0"/>
          <w:marTop w:val="0"/>
          <w:marBottom w:val="0"/>
          <w:divBdr>
            <w:top w:val="none" w:sz="0" w:space="0" w:color="auto"/>
            <w:left w:val="none" w:sz="0" w:space="0" w:color="auto"/>
            <w:bottom w:val="none" w:sz="0" w:space="0" w:color="auto"/>
            <w:right w:val="none" w:sz="0" w:space="0" w:color="auto"/>
          </w:divBdr>
        </w:div>
        <w:div w:id="1086728271">
          <w:marLeft w:val="0"/>
          <w:marRight w:val="0"/>
          <w:marTop w:val="0"/>
          <w:marBottom w:val="0"/>
          <w:divBdr>
            <w:top w:val="none" w:sz="0" w:space="0" w:color="auto"/>
            <w:left w:val="none" w:sz="0" w:space="0" w:color="auto"/>
            <w:bottom w:val="none" w:sz="0" w:space="0" w:color="auto"/>
            <w:right w:val="none" w:sz="0" w:space="0" w:color="auto"/>
          </w:divBdr>
        </w:div>
        <w:div w:id="1696732328">
          <w:marLeft w:val="0"/>
          <w:marRight w:val="0"/>
          <w:marTop w:val="0"/>
          <w:marBottom w:val="0"/>
          <w:divBdr>
            <w:top w:val="none" w:sz="0" w:space="0" w:color="auto"/>
            <w:left w:val="none" w:sz="0" w:space="0" w:color="auto"/>
            <w:bottom w:val="none" w:sz="0" w:space="0" w:color="auto"/>
            <w:right w:val="none" w:sz="0" w:space="0" w:color="auto"/>
          </w:divBdr>
        </w:div>
        <w:div w:id="2006590974">
          <w:marLeft w:val="0"/>
          <w:marRight w:val="0"/>
          <w:marTop w:val="0"/>
          <w:marBottom w:val="0"/>
          <w:divBdr>
            <w:top w:val="none" w:sz="0" w:space="0" w:color="auto"/>
            <w:left w:val="none" w:sz="0" w:space="0" w:color="auto"/>
            <w:bottom w:val="none" w:sz="0" w:space="0" w:color="auto"/>
            <w:right w:val="none" w:sz="0" w:space="0" w:color="auto"/>
          </w:divBdr>
        </w:div>
      </w:divsChild>
    </w:div>
    <w:div w:id="1966810163">
      <w:bodyDiv w:val="1"/>
      <w:marLeft w:val="0"/>
      <w:marRight w:val="0"/>
      <w:marTop w:val="0"/>
      <w:marBottom w:val="0"/>
      <w:divBdr>
        <w:top w:val="none" w:sz="0" w:space="0" w:color="auto"/>
        <w:left w:val="none" w:sz="0" w:space="0" w:color="auto"/>
        <w:bottom w:val="none" w:sz="0" w:space="0" w:color="auto"/>
        <w:right w:val="none" w:sz="0" w:space="0" w:color="auto"/>
      </w:divBdr>
      <w:divsChild>
        <w:div w:id="1839224908">
          <w:blockQuote w:val="1"/>
          <w:marLeft w:val="0"/>
          <w:marRight w:val="0"/>
          <w:marTop w:val="30"/>
          <w:marBottom w:val="30"/>
          <w:divBdr>
            <w:top w:val="none" w:sz="0" w:space="0" w:color="auto"/>
            <w:left w:val="single" w:sz="12" w:space="5" w:color="E33B00"/>
            <w:bottom w:val="none" w:sz="0" w:space="0" w:color="auto"/>
            <w:right w:val="none" w:sz="0" w:space="0" w:color="auto"/>
          </w:divBdr>
          <w:divsChild>
            <w:div w:id="177898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1443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eader" Target="header2.xm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wipo.int/ip-development/en/agenda/projects/ip-and-gastronomic-tourism.html" TargetMode="External"/><Relationship Id="rId2" Type="http://schemas.openxmlformats.org/officeDocument/2006/relationships/hyperlink" Target="http://www.wipo.int/meetings/ru/doc_details.jsp?doc_id=421371" TargetMode="External"/><Relationship Id="rId1" Type="http://schemas.openxmlformats.org/officeDocument/2006/relationships/hyperlink" Target="http://www.wipo.int/ip-development/ru/agenda/recommendation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C4AC5B-D4B5-4B02-808B-139CCF86B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5238</Words>
  <Characters>35842</Characters>
  <Application>Microsoft Office Word</Application>
  <DocSecurity>0</DocSecurity>
  <Lines>876</Lines>
  <Paragraphs>325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CDIP_30_10_Evaluation Report_IP and Gastronomic Tourism</vt:lpstr>
      <vt:lpstr>Evaluation - public domain</vt:lpstr>
    </vt:vector>
  </TitlesOfParts>
  <Company>WIPO</Company>
  <LinksUpToDate>false</LinksUpToDate>
  <CharactersWithSpaces>40912</CharactersWithSpaces>
  <SharedDoc>false</SharedDoc>
  <HLinks>
    <vt:vector size="90" baseType="variant">
      <vt:variant>
        <vt:i4>1376327</vt:i4>
      </vt:variant>
      <vt:variant>
        <vt:i4>76</vt:i4>
      </vt:variant>
      <vt:variant>
        <vt:i4>0</vt:i4>
      </vt:variant>
      <vt:variant>
        <vt:i4>5</vt:i4>
      </vt:variant>
      <vt:variant>
        <vt:lpwstr>https://www.wipo.int/tisc/en/</vt:lpwstr>
      </vt:variant>
      <vt:variant>
        <vt:lpwstr/>
      </vt:variant>
      <vt:variant>
        <vt:i4>2228237</vt:i4>
      </vt:variant>
      <vt:variant>
        <vt:i4>73</vt:i4>
      </vt:variant>
      <vt:variant>
        <vt:i4>0</vt:i4>
      </vt:variant>
      <vt:variant>
        <vt:i4>5</vt:i4>
      </vt:variant>
      <vt:variant>
        <vt:lpwstr>https://www.wipo.int/patentscope/en/programs/legal_status/</vt:lpwstr>
      </vt:variant>
      <vt:variant>
        <vt:lpwstr/>
      </vt:variant>
      <vt:variant>
        <vt:i4>655370</vt:i4>
      </vt:variant>
      <vt:variant>
        <vt:i4>70</vt:i4>
      </vt:variant>
      <vt:variant>
        <vt:i4>0</vt:i4>
      </vt:variant>
      <vt:variant>
        <vt:i4>5</vt:i4>
      </vt:variant>
      <vt:variant>
        <vt:lpwstr>https://www.wipo.int/patentscope/en/</vt:lpwstr>
      </vt:variant>
      <vt:variant>
        <vt:lpwstr/>
      </vt:variant>
      <vt:variant>
        <vt:i4>25</vt:i4>
      </vt:variant>
      <vt:variant>
        <vt:i4>67</vt:i4>
      </vt:variant>
      <vt:variant>
        <vt:i4>0</vt:i4>
      </vt:variant>
      <vt:variant>
        <vt:i4>5</vt:i4>
      </vt:variant>
      <vt:variant>
        <vt:lpwstr>https://www.wipo.int/patents/en/</vt:lpwstr>
      </vt:variant>
      <vt:variant>
        <vt:lpwstr/>
      </vt:variant>
      <vt:variant>
        <vt:i4>1048632</vt:i4>
      </vt:variant>
      <vt:variant>
        <vt:i4>60</vt:i4>
      </vt:variant>
      <vt:variant>
        <vt:i4>0</vt:i4>
      </vt:variant>
      <vt:variant>
        <vt:i4>5</vt:i4>
      </vt:variant>
      <vt:variant>
        <vt:lpwstr/>
      </vt:variant>
      <vt:variant>
        <vt:lpwstr>_Toc18392482</vt:lpwstr>
      </vt:variant>
      <vt:variant>
        <vt:i4>1245240</vt:i4>
      </vt:variant>
      <vt:variant>
        <vt:i4>54</vt:i4>
      </vt:variant>
      <vt:variant>
        <vt:i4>0</vt:i4>
      </vt:variant>
      <vt:variant>
        <vt:i4>5</vt:i4>
      </vt:variant>
      <vt:variant>
        <vt:lpwstr/>
      </vt:variant>
      <vt:variant>
        <vt:lpwstr>_Toc18392481</vt:lpwstr>
      </vt:variant>
      <vt:variant>
        <vt:i4>1179704</vt:i4>
      </vt:variant>
      <vt:variant>
        <vt:i4>48</vt:i4>
      </vt:variant>
      <vt:variant>
        <vt:i4>0</vt:i4>
      </vt:variant>
      <vt:variant>
        <vt:i4>5</vt:i4>
      </vt:variant>
      <vt:variant>
        <vt:lpwstr/>
      </vt:variant>
      <vt:variant>
        <vt:lpwstr>_Toc18392480</vt:lpwstr>
      </vt:variant>
      <vt:variant>
        <vt:i4>1769527</vt:i4>
      </vt:variant>
      <vt:variant>
        <vt:i4>42</vt:i4>
      </vt:variant>
      <vt:variant>
        <vt:i4>0</vt:i4>
      </vt:variant>
      <vt:variant>
        <vt:i4>5</vt:i4>
      </vt:variant>
      <vt:variant>
        <vt:lpwstr/>
      </vt:variant>
      <vt:variant>
        <vt:lpwstr>_Toc18392479</vt:lpwstr>
      </vt:variant>
      <vt:variant>
        <vt:i4>1703991</vt:i4>
      </vt:variant>
      <vt:variant>
        <vt:i4>36</vt:i4>
      </vt:variant>
      <vt:variant>
        <vt:i4>0</vt:i4>
      </vt:variant>
      <vt:variant>
        <vt:i4>5</vt:i4>
      </vt:variant>
      <vt:variant>
        <vt:lpwstr/>
      </vt:variant>
      <vt:variant>
        <vt:lpwstr>_Toc18392478</vt:lpwstr>
      </vt:variant>
      <vt:variant>
        <vt:i4>1376311</vt:i4>
      </vt:variant>
      <vt:variant>
        <vt:i4>30</vt:i4>
      </vt:variant>
      <vt:variant>
        <vt:i4>0</vt:i4>
      </vt:variant>
      <vt:variant>
        <vt:i4>5</vt:i4>
      </vt:variant>
      <vt:variant>
        <vt:lpwstr/>
      </vt:variant>
      <vt:variant>
        <vt:lpwstr>_Toc18392477</vt:lpwstr>
      </vt:variant>
      <vt:variant>
        <vt:i4>1310775</vt:i4>
      </vt:variant>
      <vt:variant>
        <vt:i4>24</vt:i4>
      </vt:variant>
      <vt:variant>
        <vt:i4>0</vt:i4>
      </vt:variant>
      <vt:variant>
        <vt:i4>5</vt:i4>
      </vt:variant>
      <vt:variant>
        <vt:lpwstr/>
      </vt:variant>
      <vt:variant>
        <vt:lpwstr>_Toc18392476</vt:lpwstr>
      </vt:variant>
      <vt:variant>
        <vt:i4>1507383</vt:i4>
      </vt:variant>
      <vt:variant>
        <vt:i4>18</vt:i4>
      </vt:variant>
      <vt:variant>
        <vt:i4>0</vt:i4>
      </vt:variant>
      <vt:variant>
        <vt:i4>5</vt:i4>
      </vt:variant>
      <vt:variant>
        <vt:lpwstr/>
      </vt:variant>
      <vt:variant>
        <vt:lpwstr>_Toc18392475</vt:lpwstr>
      </vt:variant>
      <vt:variant>
        <vt:i4>1441847</vt:i4>
      </vt:variant>
      <vt:variant>
        <vt:i4>12</vt:i4>
      </vt:variant>
      <vt:variant>
        <vt:i4>0</vt:i4>
      </vt:variant>
      <vt:variant>
        <vt:i4>5</vt:i4>
      </vt:variant>
      <vt:variant>
        <vt:lpwstr/>
      </vt:variant>
      <vt:variant>
        <vt:lpwstr>_Toc18392474</vt:lpwstr>
      </vt:variant>
      <vt:variant>
        <vt:i4>1114167</vt:i4>
      </vt:variant>
      <vt:variant>
        <vt:i4>6</vt:i4>
      </vt:variant>
      <vt:variant>
        <vt:i4>0</vt:i4>
      </vt:variant>
      <vt:variant>
        <vt:i4>5</vt:i4>
      </vt:variant>
      <vt:variant>
        <vt:lpwstr/>
      </vt:variant>
      <vt:variant>
        <vt:lpwstr>_Toc18392473</vt:lpwstr>
      </vt:variant>
      <vt:variant>
        <vt:i4>4063336</vt:i4>
      </vt:variant>
      <vt:variant>
        <vt:i4>0</vt:i4>
      </vt:variant>
      <vt:variant>
        <vt:i4>0</vt:i4>
      </vt:variant>
      <vt:variant>
        <vt:i4>5</vt:i4>
      </vt:variant>
      <vt:variant>
        <vt:lpwstr>https://www.wipo.int/patent_register_portal/en/index.html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CDIP_30_10_Evaluation Report_IP and Gastronomic Tourism</dc:title>
  <dc:creator>oneil</dc:creator>
  <cp:keywords>FOR OFFICIAL USE ONLY</cp:keywords>
  <cp:lastModifiedBy>PANAKAL Joseph Lazar</cp:lastModifiedBy>
  <cp:revision>2</cp:revision>
  <cp:lastPrinted>2023-03-01T16:27:00Z</cp:lastPrinted>
  <dcterms:created xsi:type="dcterms:W3CDTF">2023-03-07T16:07:00Z</dcterms:created>
  <dcterms:modified xsi:type="dcterms:W3CDTF">2023-03-07T16:07:00Z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0a3a40bf-f3f8-41b1-be4f-5e77ed40e9e7</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