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6058" w:rsidRPr="007E1C53" w:rsidRDefault="00E62898" w:rsidP="00E62898">
      <w:pPr>
        <w:widowControl w:val="0"/>
        <w:jc w:val="right"/>
        <w:rPr>
          <w:b/>
          <w:sz w:val="2"/>
          <w:szCs w:val="40"/>
          <w:lang w:val="fr-CH"/>
        </w:rPr>
      </w:pPr>
      <w:bookmarkStart w:id="0" w:name="TitleOfDoc"/>
      <w:bookmarkStart w:id="1" w:name="Prepared"/>
      <w:bookmarkEnd w:id="0"/>
      <w:bookmarkEnd w:id="1"/>
      <w:r w:rsidRPr="007E1C53">
        <w:rPr>
          <w:b/>
          <w:sz w:val="40"/>
          <w:szCs w:val="40"/>
          <w:lang w:val="fr-CH"/>
        </w:rPr>
        <w:t>F</w:t>
      </w:r>
    </w:p>
    <w:p w:rsidR="009B6058" w:rsidRPr="007E1C53" w:rsidRDefault="00E62898" w:rsidP="00E62898">
      <w:pPr>
        <w:spacing w:line="360" w:lineRule="auto"/>
        <w:ind w:left="4592"/>
        <w:rPr>
          <w:rFonts w:ascii="Arial Black" w:hAnsi="Arial Black"/>
          <w:caps/>
          <w:sz w:val="15"/>
          <w:lang w:val="fr-CH"/>
        </w:rPr>
      </w:pPr>
      <w:r w:rsidRPr="007E1C53">
        <w:rPr>
          <w:noProof/>
          <w:lang w:val="en-US" w:eastAsia="en-US"/>
        </w:rPr>
        <w:drawing>
          <wp:inline distT="0" distB="0" distL="0" distR="0" wp14:anchorId="33643A40" wp14:editId="271B6E43">
            <wp:extent cx="1857375" cy="1323975"/>
            <wp:effectExtent l="0" t="0" r="9525" b="9525"/>
            <wp:docPr id="2" name="Picture 2" descr="Les courbes en direction du ciel du logo de l’OMPI évoquent le progrès de l’humanité stimulé par l’innovation et la créativité." title="Logo de l'OMPI, Organisation Mondiale de la Propriété Intellectue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p w:rsidR="009B6058" w:rsidRPr="007E1C53" w:rsidRDefault="00E62898" w:rsidP="00E62898">
      <w:pPr>
        <w:pBdr>
          <w:top w:val="single" w:sz="4" w:space="10" w:color="auto"/>
        </w:pBdr>
        <w:spacing w:before="120"/>
        <w:jc w:val="right"/>
        <w:rPr>
          <w:rFonts w:ascii="Arial Black" w:hAnsi="Arial Black"/>
          <w:b/>
          <w:caps/>
          <w:sz w:val="15"/>
          <w:lang w:val="fr-CH"/>
        </w:rPr>
      </w:pPr>
      <w:proofErr w:type="spellStart"/>
      <w:r w:rsidRPr="007E1C53">
        <w:rPr>
          <w:rFonts w:ascii="Arial Black" w:hAnsi="Arial Black"/>
          <w:b/>
          <w:caps/>
          <w:sz w:val="15"/>
          <w:lang w:val="fr-CH"/>
        </w:rPr>
        <w:t>CDIP</w:t>
      </w:r>
      <w:proofErr w:type="spellEnd"/>
      <w:r w:rsidRPr="007E1C53">
        <w:rPr>
          <w:rFonts w:ascii="Arial Black" w:hAnsi="Arial Black"/>
          <w:b/>
          <w:caps/>
          <w:sz w:val="15"/>
          <w:lang w:val="fr-CH"/>
        </w:rPr>
        <w:t>/25/</w:t>
      </w:r>
      <w:bookmarkStart w:id="2" w:name="Code"/>
      <w:bookmarkEnd w:id="2"/>
      <w:r w:rsidRPr="007E1C53">
        <w:rPr>
          <w:rFonts w:ascii="Arial Black" w:hAnsi="Arial Black"/>
          <w:b/>
          <w:caps/>
          <w:sz w:val="15"/>
          <w:lang w:val="fr-CH"/>
        </w:rPr>
        <w:t>9</w:t>
      </w:r>
    </w:p>
    <w:p w:rsidR="009B6058" w:rsidRPr="007E1C53" w:rsidRDefault="00E62898" w:rsidP="00E62898">
      <w:pPr>
        <w:jc w:val="right"/>
        <w:rPr>
          <w:rFonts w:ascii="Arial Black" w:hAnsi="Arial Black"/>
          <w:b/>
          <w:caps/>
          <w:sz w:val="15"/>
          <w:lang w:val="fr-CH"/>
        </w:rPr>
      </w:pPr>
      <w:r w:rsidRPr="007E1C53">
        <w:rPr>
          <w:rFonts w:ascii="Arial Black" w:hAnsi="Arial Black"/>
          <w:b/>
          <w:caps/>
          <w:sz w:val="15"/>
          <w:lang w:val="fr-CH"/>
        </w:rPr>
        <w:t>ORIGINAL</w:t>
      </w:r>
      <w:r w:rsidR="00940BD3">
        <w:rPr>
          <w:rFonts w:ascii="Arial Black" w:hAnsi="Arial Black"/>
          <w:b/>
          <w:caps/>
          <w:sz w:val="15"/>
          <w:lang w:val="fr-CH"/>
        </w:rPr>
        <w:t> :</w:t>
      </w:r>
      <w:bookmarkStart w:id="3" w:name="Original"/>
      <w:bookmarkEnd w:id="3"/>
      <w:r w:rsidRPr="007E1C53">
        <w:rPr>
          <w:rFonts w:ascii="Arial Black" w:hAnsi="Arial Black"/>
          <w:b/>
          <w:caps/>
          <w:sz w:val="15"/>
          <w:lang w:val="fr-CH"/>
        </w:rPr>
        <w:t xml:space="preserve"> anglais</w:t>
      </w:r>
    </w:p>
    <w:p w:rsidR="009B6058" w:rsidRPr="007E1C53" w:rsidRDefault="00E62898" w:rsidP="00E62898">
      <w:pPr>
        <w:spacing w:line="1680" w:lineRule="auto"/>
        <w:jc w:val="right"/>
        <w:rPr>
          <w:rFonts w:ascii="Arial Black" w:hAnsi="Arial Black"/>
          <w:b/>
          <w:caps/>
          <w:sz w:val="15"/>
          <w:lang w:val="fr-CH"/>
        </w:rPr>
      </w:pPr>
      <w:r w:rsidRPr="007E1C53">
        <w:rPr>
          <w:rFonts w:ascii="Arial Black" w:hAnsi="Arial Black"/>
          <w:b/>
          <w:caps/>
          <w:sz w:val="15"/>
          <w:lang w:val="fr-CH"/>
        </w:rPr>
        <w:t>DATE</w:t>
      </w:r>
      <w:r w:rsidR="00940BD3">
        <w:rPr>
          <w:rFonts w:ascii="Arial Black" w:hAnsi="Arial Black"/>
          <w:b/>
          <w:caps/>
          <w:sz w:val="15"/>
          <w:lang w:val="fr-CH"/>
        </w:rPr>
        <w:t> :</w:t>
      </w:r>
      <w:bookmarkStart w:id="4" w:name="Date"/>
      <w:bookmarkEnd w:id="4"/>
      <w:r w:rsidR="00FB6977">
        <w:rPr>
          <w:rFonts w:ascii="Arial Black" w:hAnsi="Arial Black"/>
          <w:b/>
          <w:caps/>
          <w:sz w:val="15"/>
          <w:lang w:val="fr-CH"/>
        </w:rPr>
        <w:t xml:space="preserve"> 3</w:t>
      </w:r>
      <w:r w:rsidRPr="007E1C53">
        <w:rPr>
          <w:rFonts w:ascii="Arial Black" w:hAnsi="Arial Black"/>
          <w:b/>
          <w:caps/>
          <w:sz w:val="15"/>
          <w:lang w:val="fr-CH"/>
        </w:rPr>
        <w:t>0</w:t>
      </w:r>
      <w:r w:rsidR="00B57155" w:rsidRPr="007E1C53">
        <w:rPr>
          <w:rFonts w:ascii="Arial Black" w:hAnsi="Arial Black"/>
          <w:b/>
          <w:caps/>
          <w:sz w:val="15"/>
          <w:lang w:val="fr-CH"/>
        </w:rPr>
        <w:t> </w:t>
      </w:r>
      <w:r w:rsidRPr="007E1C53">
        <w:rPr>
          <w:rFonts w:ascii="Arial Black" w:hAnsi="Arial Black"/>
          <w:b/>
          <w:caps/>
          <w:sz w:val="15"/>
          <w:lang w:val="fr-CH"/>
        </w:rPr>
        <w:t>mars</w:t>
      </w:r>
      <w:r w:rsidR="00B57155" w:rsidRPr="007E1C53">
        <w:rPr>
          <w:rFonts w:ascii="Arial Black" w:hAnsi="Arial Black"/>
          <w:b/>
          <w:caps/>
          <w:sz w:val="15"/>
          <w:lang w:val="fr-CH"/>
        </w:rPr>
        <w:t> </w:t>
      </w:r>
      <w:r w:rsidRPr="007E1C53">
        <w:rPr>
          <w:rFonts w:ascii="Arial Black" w:hAnsi="Arial Black"/>
          <w:b/>
          <w:caps/>
          <w:sz w:val="15"/>
          <w:lang w:val="fr-CH"/>
        </w:rPr>
        <w:t>2020</w:t>
      </w:r>
    </w:p>
    <w:p w:rsidR="009B6058" w:rsidRPr="007E1C53" w:rsidRDefault="00E62898" w:rsidP="00E62898">
      <w:pPr>
        <w:spacing w:before="1000" w:after="600"/>
        <w:outlineLvl w:val="0"/>
        <w:rPr>
          <w:b/>
          <w:sz w:val="28"/>
          <w:szCs w:val="28"/>
          <w:lang w:val="fr-CH"/>
        </w:rPr>
      </w:pPr>
      <w:r w:rsidRPr="007E1C53">
        <w:rPr>
          <w:b/>
          <w:sz w:val="28"/>
          <w:szCs w:val="28"/>
          <w:lang w:val="fr-CH"/>
        </w:rPr>
        <w:t>Comité du développement et de la propriété intellectuelle (</w:t>
      </w:r>
      <w:proofErr w:type="spellStart"/>
      <w:r w:rsidRPr="007E1C53">
        <w:rPr>
          <w:b/>
          <w:sz w:val="28"/>
          <w:szCs w:val="28"/>
          <w:lang w:val="fr-CH"/>
        </w:rPr>
        <w:t>CDIP</w:t>
      </w:r>
      <w:proofErr w:type="spellEnd"/>
      <w:r w:rsidRPr="007E1C53">
        <w:rPr>
          <w:b/>
          <w:sz w:val="28"/>
          <w:szCs w:val="28"/>
          <w:lang w:val="fr-CH"/>
        </w:rPr>
        <w:t>)</w:t>
      </w:r>
    </w:p>
    <w:p w:rsidR="009B6058" w:rsidRPr="007E1C53" w:rsidRDefault="00E62898" w:rsidP="00E62898">
      <w:pPr>
        <w:rPr>
          <w:b/>
          <w:sz w:val="24"/>
          <w:szCs w:val="24"/>
          <w:lang w:val="fr-CH"/>
        </w:rPr>
      </w:pPr>
      <w:r w:rsidRPr="007E1C53">
        <w:rPr>
          <w:b/>
          <w:sz w:val="24"/>
          <w:szCs w:val="24"/>
          <w:lang w:val="fr-CH"/>
        </w:rPr>
        <w:t>Vingt</w:t>
      </w:r>
      <w:r w:rsidR="00940BD3">
        <w:rPr>
          <w:b/>
          <w:sz w:val="24"/>
          <w:szCs w:val="24"/>
          <w:lang w:val="fr-CH"/>
        </w:rPr>
        <w:t>-</w:t>
      </w:r>
      <w:r w:rsidRPr="007E1C53">
        <w:rPr>
          <w:b/>
          <w:sz w:val="24"/>
          <w:szCs w:val="24"/>
          <w:lang w:val="fr-CH"/>
        </w:rPr>
        <w:t>cinqu</w:t>
      </w:r>
      <w:r w:rsidR="00940BD3">
        <w:rPr>
          <w:b/>
          <w:sz w:val="24"/>
          <w:szCs w:val="24"/>
          <w:lang w:val="fr-CH"/>
        </w:rPr>
        <w:t>ième session</w:t>
      </w:r>
    </w:p>
    <w:p w:rsidR="009B6058" w:rsidRPr="007E1C53" w:rsidRDefault="00E62898" w:rsidP="00E62898">
      <w:pPr>
        <w:spacing w:after="720"/>
        <w:outlineLvl w:val="0"/>
        <w:rPr>
          <w:b/>
          <w:sz w:val="24"/>
          <w:szCs w:val="24"/>
          <w:lang w:val="fr-CH"/>
        </w:rPr>
      </w:pPr>
      <w:r w:rsidRPr="007E1C53">
        <w:rPr>
          <w:b/>
          <w:sz w:val="24"/>
          <w:szCs w:val="24"/>
          <w:lang w:val="fr-CH"/>
        </w:rPr>
        <w:t>Genève, 18 – 22 mai 2020</w:t>
      </w:r>
    </w:p>
    <w:p w:rsidR="009B6058" w:rsidRPr="007E1C53" w:rsidRDefault="007E1C53" w:rsidP="007E1C53">
      <w:pPr>
        <w:pStyle w:val="Heading1"/>
        <w:rPr>
          <w:color w:val="auto"/>
        </w:rPr>
      </w:pPr>
      <w:r w:rsidRPr="007E1C53">
        <w:rPr>
          <w:color w:val="auto"/>
        </w:rPr>
        <w:t>Bilan et liste d</w:t>
      </w:r>
      <w:r w:rsidR="00940BD3">
        <w:rPr>
          <w:color w:val="auto"/>
        </w:rPr>
        <w:t>’</w:t>
      </w:r>
      <w:r w:rsidRPr="007E1C53">
        <w:rPr>
          <w:color w:val="auto"/>
        </w:rPr>
        <w:t>activités proposées sur la propriété intellectuelle et le développement dans l</w:t>
      </w:r>
      <w:r w:rsidR="00940BD3">
        <w:rPr>
          <w:color w:val="auto"/>
        </w:rPr>
        <w:t>’</w:t>
      </w:r>
      <w:r w:rsidRPr="007E1C53">
        <w:rPr>
          <w:color w:val="auto"/>
        </w:rPr>
        <w:t>environnement numérique</w:t>
      </w:r>
    </w:p>
    <w:p w:rsidR="009B6058" w:rsidRPr="007E1C53" w:rsidRDefault="00C46341" w:rsidP="00C46341">
      <w:pPr>
        <w:spacing w:after="720"/>
        <w:rPr>
          <w:i/>
          <w:lang w:val="fr-CH"/>
        </w:rPr>
      </w:pPr>
      <w:r w:rsidRPr="007E1C53">
        <w:rPr>
          <w:i/>
          <w:lang w:val="fr-CH"/>
        </w:rPr>
        <w:t>Document établi par le Secrétariat</w:t>
      </w:r>
    </w:p>
    <w:p w:rsidR="009B6058" w:rsidRPr="007E1C53" w:rsidRDefault="00C46341" w:rsidP="007E1C53">
      <w:pPr>
        <w:pStyle w:val="ONUMFS"/>
      </w:pPr>
      <w:r w:rsidRPr="007E1C53">
        <w:t>À sa vingt</w:t>
      </w:r>
      <w:r w:rsidR="00940BD3">
        <w:t>-</w:t>
      </w:r>
      <w:r w:rsidRPr="007E1C53">
        <w:t>trois</w:t>
      </w:r>
      <w:r w:rsidR="00940BD3">
        <w:t>ième session</w:t>
      </w:r>
      <w:r w:rsidRPr="007E1C53">
        <w:t xml:space="preserve"> tenue du 20 au 24</w:t>
      </w:r>
      <w:r w:rsidR="00B57155" w:rsidRPr="007E1C53">
        <w:t> </w:t>
      </w:r>
      <w:r w:rsidRPr="007E1C53">
        <w:t>mai</w:t>
      </w:r>
      <w:r w:rsidR="00B57155" w:rsidRPr="007E1C53">
        <w:t> </w:t>
      </w:r>
      <w:r w:rsidRPr="007E1C53">
        <w:t>2019, le Comité du développement et de la propriété intellectuelle (</w:t>
      </w:r>
      <w:proofErr w:type="spellStart"/>
      <w:r w:rsidRPr="007E1C53">
        <w:t>CDIP</w:t>
      </w:r>
      <w:proofErr w:type="spellEnd"/>
      <w:r w:rsidRPr="007E1C53">
        <w:t>) a, lors de l</w:t>
      </w:r>
      <w:r w:rsidR="00940BD3">
        <w:t>’</w:t>
      </w:r>
      <w:r w:rsidRPr="007E1C53">
        <w:t>examen de la proposition présentée par la Fédération de Russie sur la propriété intellectuelle et le développement dans l</w:t>
      </w:r>
      <w:r w:rsidR="00940BD3">
        <w:t>’</w:t>
      </w:r>
      <w:r w:rsidRPr="007E1C53">
        <w:t>environnement numérique (document</w:t>
      </w:r>
      <w:r w:rsidR="00B57155" w:rsidRPr="007E1C53">
        <w:t> </w:t>
      </w:r>
      <w:hyperlink r:id="rId9" w:history="1">
        <w:proofErr w:type="spellStart"/>
        <w:r w:rsidRPr="007E1C53">
          <w:rPr>
            <w:rStyle w:val="Hyperlink"/>
            <w:bCs/>
            <w:color w:val="auto"/>
            <w:lang w:val="fr-CH"/>
          </w:rPr>
          <w:t>CDIP</w:t>
        </w:r>
        <w:proofErr w:type="spellEnd"/>
        <w:r w:rsidRPr="007E1C53">
          <w:rPr>
            <w:rStyle w:val="Hyperlink"/>
            <w:bCs/>
            <w:color w:val="auto"/>
            <w:lang w:val="fr-CH"/>
          </w:rPr>
          <w:t>/23/16</w:t>
        </w:r>
      </w:hyperlink>
      <w:r w:rsidRPr="007E1C53">
        <w:t>), demandé au Secrétariat</w:t>
      </w:r>
      <w:r w:rsidR="00940BD3">
        <w:t> :</w:t>
      </w:r>
    </w:p>
    <w:p w:rsidR="00940BD3" w:rsidRDefault="00B57155" w:rsidP="00FF563E">
      <w:pPr>
        <w:pStyle w:val="ONUMFS"/>
        <w:numPr>
          <w:ilvl w:val="0"/>
          <w:numId w:val="0"/>
        </w:numPr>
        <w:ind w:left="567"/>
        <w:rPr>
          <w:i/>
        </w:rPr>
      </w:pPr>
      <w:r w:rsidRPr="00FF563E">
        <w:rPr>
          <w:i/>
        </w:rPr>
        <w:t>“</w:t>
      </w:r>
      <w:r w:rsidR="00FF563E">
        <w:rPr>
          <w:i/>
        </w:rPr>
        <w:t>a)</w:t>
      </w:r>
      <w:r w:rsidR="00FF563E">
        <w:rPr>
          <w:i/>
        </w:rPr>
        <w:tab/>
      </w:r>
      <w:r w:rsidR="006C7EFA" w:rsidRPr="00FF563E">
        <w:rPr>
          <w:i/>
        </w:rPr>
        <w:t>de procéder à un bilan dans le contexte de la numérisation des offices de propriété intellectuelle afin de recenser les besoins des pays en développement et</w:t>
      </w:r>
      <w:r w:rsidR="00940BD3" w:rsidRPr="00FF563E">
        <w:rPr>
          <w:i/>
        </w:rPr>
        <w:t xml:space="preserve"> des</w:t>
      </w:r>
      <w:r w:rsidR="00940BD3">
        <w:rPr>
          <w:i/>
        </w:rPr>
        <w:t> </w:t>
      </w:r>
      <w:r w:rsidR="00940BD3" w:rsidRPr="00FF563E">
        <w:rPr>
          <w:i/>
        </w:rPr>
        <w:t>PMA</w:t>
      </w:r>
      <w:r w:rsidR="006C7EFA" w:rsidRPr="00FF563E">
        <w:rPr>
          <w:i/>
        </w:rPr>
        <w:t xml:space="preserve"> en matière d</w:t>
      </w:r>
      <w:r w:rsidR="00940BD3">
        <w:rPr>
          <w:i/>
        </w:rPr>
        <w:t>’</w:t>
      </w:r>
      <w:r w:rsidR="006C7EFA" w:rsidRPr="00FF563E">
        <w:rPr>
          <w:i/>
        </w:rPr>
        <w:t>infrastructure dans les domaines de la sensibilisation, du renforcement des capacités des offices et institutions de propriété intellectuelle et de leur utilisation des technologies numériques pour automatiser et optimiser les procédures d</w:t>
      </w:r>
      <w:r w:rsidR="00940BD3">
        <w:rPr>
          <w:i/>
        </w:rPr>
        <w:t>’</w:t>
      </w:r>
      <w:r w:rsidR="006C7EFA" w:rsidRPr="00FF563E">
        <w:rPr>
          <w:i/>
        </w:rPr>
        <w:t>enregistrement et d</w:t>
      </w:r>
      <w:r w:rsidR="00940BD3">
        <w:rPr>
          <w:i/>
        </w:rPr>
        <w:t>’</w:t>
      </w:r>
      <w:r w:rsidR="006C7EFA" w:rsidRPr="00FF563E">
        <w:rPr>
          <w:i/>
        </w:rPr>
        <w:t>administration de la propriété intellectuelle;</w:t>
      </w:r>
    </w:p>
    <w:p w:rsidR="00FF563E" w:rsidRPr="00FF563E" w:rsidRDefault="00FF563E" w:rsidP="00FF563E">
      <w:pPr>
        <w:pStyle w:val="ONUMFS"/>
        <w:numPr>
          <w:ilvl w:val="0"/>
          <w:numId w:val="0"/>
        </w:numPr>
        <w:ind w:left="567"/>
        <w:rPr>
          <w:i/>
        </w:rPr>
      </w:pPr>
      <w:r>
        <w:rPr>
          <w:i/>
        </w:rPr>
        <w:t>“</w:t>
      </w:r>
      <w:r w:rsidR="006C7EFA" w:rsidRPr="00FF563E">
        <w:rPr>
          <w:i/>
        </w:rPr>
        <w:t>b)</w:t>
      </w:r>
      <w:r>
        <w:rPr>
          <w:i/>
        </w:rPr>
        <w:tab/>
      </w:r>
      <w:r w:rsidR="006C7EFA" w:rsidRPr="00FF563E">
        <w:rPr>
          <w:i/>
        </w:rPr>
        <w:t>en fonction des conclusions de ce bilan, établir pour examen par</w:t>
      </w:r>
      <w:r w:rsidR="00940BD3" w:rsidRPr="00FF563E">
        <w:rPr>
          <w:i/>
        </w:rPr>
        <w:t xml:space="preserve"> le</w:t>
      </w:r>
      <w:r w:rsidR="00940BD3">
        <w:rPr>
          <w:i/>
        </w:rPr>
        <w:t> </w:t>
      </w:r>
      <w:proofErr w:type="spellStart"/>
      <w:r w:rsidR="00940BD3" w:rsidRPr="00FF563E">
        <w:rPr>
          <w:i/>
        </w:rPr>
        <w:t>CDI</w:t>
      </w:r>
      <w:r w:rsidR="006C7EFA" w:rsidRPr="00FF563E">
        <w:rPr>
          <w:i/>
        </w:rPr>
        <w:t>P</w:t>
      </w:r>
      <w:proofErr w:type="spellEnd"/>
      <w:r w:rsidR="006C7EFA" w:rsidRPr="00FF563E">
        <w:rPr>
          <w:i/>
        </w:rPr>
        <w:t xml:space="preserve"> une liste d</w:t>
      </w:r>
      <w:r w:rsidR="00940BD3">
        <w:rPr>
          <w:i/>
        </w:rPr>
        <w:t>’</w:t>
      </w:r>
      <w:r w:rsidR="006C7EFA" w:rsidRPr="00FF563E">
        <w:rPr>
          <w:i/>
        </w:rPr>
        <w:t>activités proposées pour permettre la mise en œuvre des recommandations du Plan d</w:t>
      </w:r>
      <w:r w:rsidR="00940BD3">
        <w:rPr>
          <w:i/>
        </w:rPr>
        <w:t>’</w:t>
      </w:r>
      <w:r w:rsidR="006C7EFA" w:rsidRPr="00FF563E">
        <w:rPr>
          <w:i/>
        </w:rPr>
        <w:t>action de l</w:t>
      </w:r>
      <w:r w:rsidR="00940BD3">
        <w:rPr>
          <w:i/>
        </w:rPr>
        <w:t>’</w:t>
      </w:r>
      <w:proofErr w:type="spellStart"/>
      <w:r w:rsidR="006C7EFA" w:rsidRPr="00FF563E">
        <w:rPr>
          <w:i/>
        </w:rPr>
        <w:t>OMPI</w:t>
      </w:r>
      <w:proofErr w:type="spellEnd"/>
      <w:r w:rsidR="006C7EFA" w:rsidRPr="00FF563E">
        <w:rPr>
          <w:i/>
        </w:rPr>
        <w:t xml:space="preserve"> pour le développement des groupes A et C, en particulier pour réduire la fracture numérique (recommandation n°</w:t>
      </w:r>
      <w:r w:rsidR="00B57155" w:rsidRPr="00FF563E">
        <w:rPr>
          <w:i/>
        </w:rPr>
        <w:t> </w:t>
      </w:r>
      <w:r w:rsidR="006C7EFA" w:rsidRPr="00FF563E">
        <w:rPr>
          <w:i/>
        </w:rPr>
        <w:t xml:space="preserve">24), développer et améliorer les capacités institutionnelles nationales en propriété intellectuelle par le développement des </w:t>
      </w:r>
      <w:r w:rsidR="006C7EFA" w:rsidRPr="00FF563E">
        <w:rPr>
          <w:i/>
        </w:rPr>
        <w:lastRenderedPageBreak/>
        <w:t>infrastructures (recommandation n°</w:t>
      </w:r>
      <w:r w:rsidR="00B57155" w:rsidRPr="00FF563E">
        <w:rPr>
          <w:i/>
        </w:rPr>
        <w:t> </w:t>
      </w:r>
      <w:r w:rsidR="006C7EFA" w:rsidRPr="00FF563E">
        <w:rPr>
          <w:i/>
        </w:rPr>
        <w:t>10), et promouvoir les aspects</w:t>
      </w:r>
      <w:r w:rsidR="00940BD3" w:rsidRPr="00FF563E">
        <w:rPr>
          <w:i/>
        </w:rPr>
        <w:t xml:space="preserve"> des</w:t>
      </w:r>
      <w:r w:rsidR="00940BD3">
        <w:rPr>
          <w:i/>
        </w:rPr>
        <w:t> </w:t>
      </w:r>
      <w:r w:rsidR="00940BD3" w:rsidRPr="00FF563E">
        <w:rPr>
          <w:i/>
        </w:rPr>
        <w:t>TIC</w:t>
      </w:r>
      <w:r w:rsidR="006C7EFA" w:rsidRPr="00FF563E">
        <w:rPr>
          <w:i/>
        </w:rPr>
        <w:t xml:space="preserve"> liés à la propriété intellectuelle en faveur de la croissance et du développement (recommandation n°</w:t>
      </w:r>
      <w:r w:rsidR="00B57155" w:rsidRPr="00FF563E">
        <w:rPr>
          <w:i/>
        </w:rPr>
        <w:t> </w:t>
      </w:r>
      <w:r w:rsidR="006C7EFA" w:rsidRPr="00FF563E">
        <w:rPr>
          <w:i/>
        </w:rPr>
        <w:t>27).</w:t>
      </w:r>
    </w:p>
    <w:p w:rsidR="009B6058" w:rsidRPr="00FF563E" w:rsidRDefault="00FF563E" w:rsidP="00FF563E">
      <w:pPr>
        <w:pStyle w:val="ONUMFS"/>
        <w:numPr>
          <w:ilvl w:val="0"/>
          <w:numId w:val="0"/>
        </w:numPr>
        <w:ind w:left="567"/>
        <w:rPr>
          <w:i/>
        </w:rPr>
      </w:pPr>
      <w:r>
        <w:rPr>
          <w:i/>
        </w:rPr>
        <w:t>“10.3</w:t>
      </w:r>
      <w:r>
        <w:rPr>
          <w:i/>
        </w:rPr>
        <w:tab/>
      </w:r>
      <w:r w:rsidR="006C7EFA" w:rsidRPr="00FF563E">
        <w:rPr>
          <w:i/>
        </w:rPr>
        <w:t>À sa vingt</w:t>
      </w:r>
      <w:r w:rsidR="00940BD3">
        <w:rPr>
          <w:i/>
        </w:rPr>
        <w:t>-</w:t>
      </w:r>
      <w:r w:rsidR="006C7EFA" w:rsidRPr="00FF563E">
        <w:rPr>
          <w:i/>
        </w:rPr>
        <w:t>cinqu</w:t>
      </w:r>
      <w:r w:rsidR="00940BD3">
        <w:rPr>
          <w:i/>
        </w:rPr>
        <w:t>ième session</w:t>
      </w:r>
      <w:r w:rsidR="006C7EFA" w:rsidRPr="00FF563E">
        <w:rPr>
          <w:i/>
        </w:rPr>
        <w:t>, le comité examinera les conclusions du bilan et la liste d</w:t>
      </w:r>
      <w:r w:rsidR="00940BD3">
        <w:rPr>
          <w:i/>
        </w:rPr>
        <w:t>’</w:t>
      </w:r>
      <w:r w:rsidR="006C7EFA" w:rsidRPr="00FF563E">
        <w:rPr>
          <w:i/>
        </w:rPr>
        <w:t>activités proposées afin de définir d</w:t>
      </w:r>
      <w:r w:rsidR="00940BD3">
        <w:rPr>
          <w:i/>
        </w:rPr>
        <w:t>’</w:t>
      </w:r>
      <w:r w:rsidR="006C7EFA" w:rsidRPr="00FF563E">
        <w:rPr>
          <w:i/>
        </w:rPr>
        <w:t>éventuels futurs projets</w:t>
      </w:r>
      <w:r w:rsidR="00940BD3" w:rsidRPr="00FF563E">
        <w:rPr>
          <w:i/>
        </w:rPr>
        <w:t xml:space="preserve"> du</w:t>
      </w:r>
      <w:r w:rsidR="00940BD3">
        <w:rPr>
          <w:i/>
        </w:rPr>
        <w:t> </w:t>
      </w:r>
      <w:proofErr w:type="spellStart"/>
      <w:r w:rsidR="00940BD3" w:rsidRPr="00FF563E">
        <w:rPr>
          <w:i/>
        </w:rPr>
        <w:t>CDI</w:t>
      </w:r>
      <w:r w:rsidR="006C7EFA" w:rsidRPr="00FF563E">
        <w:rPr>
          <w:i/>
        </w:rPr>
        <w:t>P</w:t>
      </w:r>
      <w:proofErr w:type="spellEnd"/>
      <w:r w:rsidR="006C7EFA" w:rsidRPr="00FF563E">
        <w:rPr>
          <w:i/>
        </w:rPr>
        <w:t xml:space="preserve"> axés sur les besoi</w:t>
      </w:r>
      <w:r w:rsidR="00FB6977" w:rsidRPr="00FF563E">
        <w:rPr>
          <w:i/>
        </w:rPr>
        <w:t>ns</w:t>
      </w:r>
      <w:r w:rsidR="00FB6977">
        <w:rPr>
          <w:i/>
        </w:rPr>
        <w:t xml:space="preserve">.  </w:t>
      </w:r>
      <w:r w:rsidR="00FB6977" w:rsidRPr="00FF563E">
        <w:rPr>
          <w:i/>
        </w:rPr>
        <w:t>Le</w:t>
      </w:r>
      <w:r w:rsidR="006C7EFA" w:rsidRPr="00FF563E">
        <w:rPr>
          <w:i/>
        </w:rPr>
        <w:t>s États membres désireux de participer à ces projets et activités peuvent en informer le secrétariat</w:t>
      </w:r>
      <w:r w:rsidR="00940BD3" w:rsidRPr="00FF563E">
        <w:rPr>
          <w:i/>
        </w:rPr>
        <w:t xml:space="preserve"> du</w:t>
      </w:r>
      <w:r w:rsidR="00940BD3">
        <w:rPr>
          <w:i/>
        </w:rPr>
        <w:t> </w:t>
      </w:r>
      <w:proofErr w:type="spellStart"/>
      <w:r w:rsidR="00940BD3" w:rsidRPr="00FF563E">
        <w:rPr>
          <w:i/>
        </w:rPr>
        <w:t>CDI</w:t>
      </w:r>
      <w:r w:rsidR="006C7EFA" w:rsidRPr="00FF563E">
        <w:rPr>
          <w:i/>
        </w:rPr>
        <w:t>P</w:t>
      </w:r>
      <w:proofErr w:type="spellEnd"/>
      <w:r w:rsidR="006C7EFA" w:rsidRPr="00FF563E">
        <w:rPr>
          <w:i/>
        </w:rPr>
        <w:t xml:space="preserve"> de l</w:t>
      </w:r>
      <w:r w:rsidR="00940BD3">
        <w:rPr>
          <w:i/>
        </w:rPr>
        <w:t>’</w:t>
      </w:r>
      <w:proofErr w:type="spellStart"/>
      <w:r w:rsidR="006C7EFA" w:rsidRPr="00FF563E">
        <w:rPr>
          <w:i/>
        </w:rPr>
        <w:t>OMPI</w:t>
      </w:r>
      <w:proofErr w:type="spellEnd"/>
      <w:r w:rsidR="006C7EFA" w:rsidRPr="00FF563E">
        <w:rPr>
          <w:i/>
        </w:rPr>
        <w:t xml:space="preserve"> ou présenter leurs éventuelles propositions au comi</w:t>
      </w:r>
      <w:r w:rsidR="00FB6977" w:rsidRPr="00FF563E">
        <w:rPr>
          <w:i/>
        </w:rPr>
        <w:t>té</w:t>
      </w:r>
      <w:r w:rsidR="00FB6977">
        <w:rPr>
          <w:i/>
        </w:rPr>
        <w:t xml:space="preserve">.  </w:t>
      </w:r>
      <w:r w:rsidR="00FB6977" w:rsidRPr="00FF563E">
        <w:rPr>
          <w:i/>
        </w:rPr>
        <w:t>Si</w:t>
      </w:r>
      <w:r w:rsidR="006C7EFA" w:rsidRPr="00FF563E">
        <w:rPr>
          <w:i/>
        </w:rPr>
        <w:t xml:space="preserve"> des ressources financières ou </w:t>
      </w:r>
      <w:proofErr w:type="gramStart"/>
      <w:r w:rsidR="006C7EFA" w:rsidRPr="00FF563E">
        <w:rPr>
          <w:i/>
        </w:rPr>
        <w:t>un délai supplémentaires</w:t>
      </w:r>
      <w:proofErr w:type="gramEnd"/>
      <w:r w:rsidR="006C7EFA" w:rsidRPr="00FF563E">
        <w:rPr>
          <w:i/>
        </w:rPr>
        <w:t xml:space="preserve"> sont nécessaires pour mener à bien les activités visées aux </w:t>
      </w:r>
      <w:r w:rsidR="00940BD3" w:rsidRPr="00FF563E">
        <w:rPr>
          <w:i/>
        </w:rPr>
        <w:t>alinéas</w:t>
      </w:r>
      <w:r w:rsidR="00940BD3">
        <w:rPr>
          <w:i/>
        </w:rPr>
        <w:t> </w:t>
      </w:r>
      <w:r w:rsidR="00940BD3" w:rsidRPr="00FF563E">
        <w:rPr>
          <w:i/>
        </w:rPr>
        <w:t>a)</w:t>
      </w:r>
      <w:r w:rsidR="006C7EFA" w:rsidRPr="00FF563E">
        <w:rPr>
          <w:i/>
        </w:rPr>
        <w:t xml:space="preserve"> et</w:t>
      </w:r>
      <w:r w:rsidR="00FB6977">
        <w:rPr>
          <w:i/>
        </w:rPr>
        <w:t> </w:t>
      </w:r>
      <w:r w:rsidR="006C7EFA" w:rsidRPr="00FF563E">
        <w:rPr>
          <w:i/>
        </w:rPr>
        <w:t>b) du paragraphe</w:t>
      </w:r>
      <w:r w:rsidR="00B57155" w:rsidRPr="00FF563E">
        <w:rPr>
          <w:i/>
        </w:rPr>
        <w:t> </w:t>
      </w:r>
      <w:r w:rsidR="006C7EFA" w:rsidRPr="00FF563E">
        <w:rPr>
          <w:i/>
        </w:rPr>
        <w:t>10.2, le Secrétariat devra en informer le comité à sa vingt</w:t>
      </w:r>
      <w:r w:rsidR="00940BD3">
        <w:rPr>
          <w:i/>
        </w:rPr>
        <w:t>-</w:t>
      </w:r>
      <w:r w:rsidR="006C7EFA" w:rsidRPr="00FF563E">
        <w:rPr>
          <w:i/>
        </w:rPr>
        <w:t>quatr</w:t>
      </w:r>
      <w:r w:rsidR="00940BD3">
        <w:rPr>
          <w:i/>
        </w:rPr>
        <w:t>ième session</w:t>
      </w:r>
      <w:r w:rsidR="006C7EFA" w:rsidRPr="00FF563E">
        <w:rPr>
          <w:i/>
        </w:rPr>
        <w:t>.</w:t>
      </w:r>
      <w:r w:rsidR="00B57155" w:rsidRPr="00FF563E">
        <w:rPr>
          <w:i/>
        </w:rPr>
        <w:t>”</w:t>
      </w:r>
    </w:p>
    <w:p w:rsidR="009B6058" w:rsidRPr="007E1C53" w:rsidRDefault="006C7EFA" w:rsidP="00FF563E">
      <w:pPr>
        <w:pStyle w:val="ONUMFS"/>
      </w:pPr>
      <w:r w:rsidRPr="007E1C53">
        <w:t>Le présent document contient les conclusions du bilan et la liste d</w:t>
      </w:r>
      <w:r w:rsidR="00940BD3">
        <w:t>’</w:t>
      </w:r>
      <w:r w:rsidRPr="007E1C53">
        <w:t>activités proposées visées dans la d</w:t>
      </w:r>
      <w:r w:rsidR="002778FA" w:rsidRPr="007E1C53">
        <w:t xml:space="preserve">écision </w:t>
      </w:r>
      <w:r w:rsidR="00F201D1" w:rsidRPr="007E1C53">
        <w:t>ci</w:t>
      </w:r>
      <w:r w:rsidR="00940BD3">
        <w:t>-</w:t>
      </w:r>
      <w:r w:rsidR="00F201D1" w:rsidRPr="007E1C53">
        <w:t>dessus</w:t>
      </w:r>
      <w:r w:rsidR="002778FA" w:rsidRPr="007E1C53">
        <w:t xml:space="preserve">, pour examen </w:t>
      </w:r>
      <w:r w:rsidRPr="007E1C53">
        <w:t>p</w:t>
      </w:r>
      <w:r w:rsidR="002778FA" w:rsidRPr="007E1C53">
        <w:t>a</w:t>
      </w:r>
      <w:r w:rsidRPr="007E1C53">
        <w:t>r</w:t>
      </w:r>
      <w:r w:rsidR="00940BD3" w:rsidRPr="007E1C53">
        <w:t xml:space="preserve"> le</w:t>
      </w:r>
      <w:r w:rsidR="00940BD3">
        <w:t> </w:t>
      </w:r>
      <w:proofErr w:type="spellStart"/>
      <w:r w:rsidR="00940BD3" w:rsidRPr="007E1C53">
        <w:t>CDI</w:t>
      </w:r>
      <w:r w:rsidRPr="007E1C53">
        <w:t>P</w:t>
      </w:r>
      <w:proofErr w:type="spellEnd"/>
      <w:r w:rsidRPr="007E1C53">
        <w:t>.</w:t>
      </w:r>
    </w:p>
    <w:p w:rsidR="00940BD3" w:rsidRDefault="00280F92" w:rsidP="00665E34">
      <w:pPr>
        <w:pStyle w:val="Heading3"/>
        <w:rPr>
          <w:lang w:val="fr-CH"/>
        </w:rPr>
      </w:pPr>
      <w:r w:rsidRPr="00FF563E">
        <w:rPr>
          <w:lang w:val="fr-CH"/>
        </w:rPr>
        <w:t>Bilan dans le contexte de la numérisation des offices de propriété intellectuelle</w:t>
      </w:r>
    </w:p>
    <w:p w:rsidR="00940BD3" w:rsidRDefault="00C815AB" w:rsidP="00FF563E">
      <w:pPr>
        <w:pStyle w:val="ONUMFS"/>
      </w:pPr>
      <w:r w:rsidRPr="007E1C53">
        <w:t>Comme indiqué dans l</w:t>
      </w:r>
      <w:r w:rsidR="00940BD3">
        <w:t>’</w:t>
      </w:r>
      <w:r w:rsidRPr="007E1C53">
        <w:t xml:space="preserve">exposé présenté par le Secrétariat </w:t>
      </w:r>
      <w:r w:rsidR="00F201D1" w:rsidRPr="007E1C53">
        <w:t>de l</w:t>
      </w:r>
      <w:r w:rsidR="00940BD3">
        <w:t>’</w:t>
      </w:r>
      <w:proofErr w:type="spellStart"/>
      <w:r w:rsidR="00F201D1" w:rsidRPr="007E1C53">
        <w:t>OMPI</w:t>
      </w:r>
      <w:proofErr w:type="spellEnd"/>
      <w:r w:rsidR="00F201D1" w:rsidRPr="007E1C53">
        <w:t xml:space="preserve"> </w:t>
      </w:r>
      <w:r w:rsidRPr="007E1C53">
        <w:t>à la vingt</w:t>
      </w:r>
      <w:r w:rsidR="00940BD3">
        <w:t>-</w:t>
      </w:r>
      <w:r w:rsidRPr="007E1C53">
        <w:t>trois</w:t>
      </w:r>
      <w:r w:rsidR="00940BD3">
        <w:t>ième session</w:t>
      </w:r>
      <w:r w:rsidR="00940BD3" w:rsidRPr="007E1C53">
        <w:t xml:space="preserve"> du</w:t>
      </w:r>
      <w:r w:rsidR="00940BD3">
        <w:t> </w:t>
      </w:r>
      <w:proofErr w:type="spellStart"/>
      <w:r w:rsidR="00940BD3" w:rsidRPr="007E1C53">
        <w:t>CDI</w:t>
      </w:r>
      <w:r w:rsidRPr="007E1C53">
        <w:t>P</w:t>
      </w:r>
      <w:proofErr w:type="spellEnd"/>
      <w:r w:rsidRPr="007E1C53">
        <w:rPr>
          <w:rStyle w:val="FootnoteReference"/>
          <w:lang w:val="fr-CH"/>
        </w:rPr>
        <w:footnoteReference w:id="2"/>
      </w:r>
      <w:r w:rsidRPr="007E1C53">
        <w:t>, plusieurs programmes de l</w:t>
      </w:r>
      <w:r w:rsidR="00940BD3">
        <w:t>’</w:t>
      </w:r>
      <w:proofErr w:type="spellStart"/>
      <w:r w:rsidRPr="007E1C53">
        <w:t>OMPI</w:t>
      </w:r>
      <w:proofErr w:type="spellEnd"/>
      <w:r w:rsidRPr="007E1C53">
        <w:t xml:space="preserve"> </w:t>
      </w:r>
      <w:r w:rsidR="00F201D1" w:rsidRPr="007E1C53">
        <w:t>mettent en œuvre</w:t>
      </w:r>
      <w:r w:rsidRPr="007E1C53">
        <w:t xml:space="preserve"> une vaste gamme d</w:t>
      </w:r>
      <w:r w:rsidR="00940BD3">
        <w:t>’</w:t>
      </w:r>
      <w:r w:rsidRPr="007E1C53">
        <w:t>activités pour répondre aux besoins en matière de renforcement des institutions de propriété intellectuelle, des lois sur la propriété intellectuelle et des capacités dans l</w:t>
      </w:r>
      <w:r w:rsidR="00940BD3">
        <w:t>’</w:t>
      </w:r>
      <w:r w:rsidR="00F201D1" w:rsidRPr="007E1C53">
        <w:t>environnement numérique</w:t>
      </w:r>
      <w:r w:rsidRPr="007E1C53">
        <w:t>, ce qui requiert des solutions intersectorielles et un large éventail d</w:t>
      </w:r>
      <w:r w:rsidR="00940BD3">
        <w:t>’</w:t>
      </w:r>
      <w:r w:rsidRPr="007E1C53">
        <w:t>activités.</w:t>
      </w:r>
    </w:p>
    <w:p w:rsidR="009B6058" w:rsidRPr="007E1C53" w:rsidRDefault="00377B94" w:rsidP="00FF563E">
      <w:pPr>
        <w:pStyle w:val="ONUMFS"/>
      </w:pPr>
      <w:r w:rsidRPr="007E1C53">
        <w:t xml:space="preserve">En se fondant sur les résultats des délibérations tenues lors de cette session, le Secrétariat a </w:t>
      </w:r>
      <w:r w:rsidR="00D73EAD" w:rsidRPr="007E1C53">
        <w:t>passé en revue</w:t>
      </w:r>
      <w:r w:rsidRPr="007E1C53">
        <w:t xml:space="preserve">, </w:t>
      </w:r>
      <w:r w:rsidR="00D73EAD" w:rsidRPr="007E1C53">
        <w:t>actualisé</w:t>
      </w:r>
      <w:r w:rsidRPr="007E1C53">
        <w:t xml:space="preserve"> et </w:t>
      </w:r>
      <w:r w:rsidR="00D73EAD" w:rsidRPr="007E1C53">
        <w:t xml:space="preserve">détaillé </w:t>
      </w:r>
      <w:r w:rsidRPr="007E1C53">
        <w:t>les informations relatives aux activités pertinentes, et il a fourni des explications supplémentaires pour établir le bilan demandé qui figure ci</w:t>
      </w:r>
      <w:r w:rsidR="00940BD3">
        <w:t>-</w:t>
      </w:r>
      <w:r w:rsidRPr="007E1C53">
        <w:t>dessous.</w:t>
      </w:r>
    </w:p>
    <w:p w:rsidR="009B6058" w:rsidRPr="00FF563E" w:rsidRDefault="00377B94" w:rsidP="00FF563E">
      <w:pPr>
        <w:pStyle w:val="Heading4"/>
      </w:pPr>
      <w:r w:rsidRPr="00FF563E">
        <w:t>Infrastructure juridique</w:t>
      </w:r>
    </w:p>
    <w:p w:rsidR="009B6058" w:rsidRPr="00FF563E" w:rsidRDefault="00377B94" w:rsidP="00FF563E">
      <w:pPr>
        <w:pStyle w:val="Heading5"/>
      </w:pPr>
      <w:r w:rsidRPr="00FF563E">
        <w:t>Droit des brevets</w:t>
      </w:r>
    </w:p>
    <w:p w:rsidR="00940BD3" w:rsidRDefault="00077619" w:rsidP="00FF563E">
      <w:pPr>
        <w:pStyle w:val="ONUMFS"/>
      </w:pPr>
      <w:r w:rsidRPr="007E1C53">
        <w:t>Il existe un lien étroit entre les conditions juridiques de forme pour le traitement des demandes de titres de propriété industrielle, d</w:t>
      </w:r>
      <w:r w:rsidR="00940BD3">
        <w:t>’</w:t>
      </w:r>
      <w:r w:rsidRPr="007E1C53">
        <w:t>une part, et la conception technique des systèmes numérisés de dépôt et de traitement des demandes dans les offices de propriété intellectuelle, d</w:t>
      </w:r>
      <w:r w:rsidR="00940BD3">
        <w:t>’</w:t>
      </w:r>
      <w:r w:rsidRPr="007E1C53">
        <w:t>autre part.</w:t>
      </w:r>
    </w:p>
    <w:p w:rsidR="00940BD3" w:rsidRDefault="00D73EAD" w:rsidP="00FF563E">
      <w:pPr>
        <w:pStyle w:val="ONUMFS"/>
        <w:rPr>
          <w:szCs w:val="22"/>
        </w:rPr>
      </w:pPr>
      <w:r w:rsidRPr="007E1C53">
        <w:t>Dans le domaine du droit des brevets, l</w:t>
      </w:r>
      <w:r w:rsidR="00940BD3">
        <w:t>’</w:t>
      </w:r>
      <w:proofErr w:type="spellStart"/>
      <w:r w:rsidR="00077619" w:rsidRPr="007E1C53">
        <w:t>OMPI</w:t>
      </w:r>
      <w:proofErr w:type="spellEnd"/>
      <w:r w:rsidR="00077619" w:rsidRPr="007E1C53">
        <w:t xml:space="preserve"> administre le Traité sur le droit des brevets qui, comme le Traité sur le droit des marques et le Traité de Singapour dans le domaine des marques, régit les conditions de forme relatives aux procédures devant les offices de propriété intellectuel</w:t>
      </w:r>
      <w:r w:rsidR="00FB6977" w:rsidRPr="007E1C53">
        <w:t>le</w:t>
      </w:r>
      <w:r w:rsidR="00FB6977">
        <w:t xml:space="preserve">.  </w:t>
      </w:r>
      <w:r w:rsidR="00FB6977" w:rsidRPr="007E1C53">
        <w:t>Le</w:t>
      </w:r>
      <w:r w:rsidR="00723C2C" w:rsidRPr="007E1C53">
        <w:t>s obligations découlant de ces traités pourraient bien avoir des répercussions sur l</w:t>
      </w:r>
      <w:r w:rsidR="00940BD3">
        <w:t>’</w:t>
      </w:r>
      <w:r w:rsidR="00723C2C" w:rsidRPr="007E1C53">
        <w:t>architecture des systèmes numérisés des offices de propriété intellectuel</w:t>
      </w:r>
      <w:r w:rsidR="00FB6977" w:rsidRPr="007E1C53">
        <w:t>le</w:t>
      </w:r>
      <w:r w:rsidR="00FB6977">
        <w:t xml:space="preserve">.  </w:t>
      </w:r>
      <w:r w:rsidR="00FB6977" w:rsidRPr="007E1C53">
        <w:t>Pa</w:t>
      </w:r>
      <w:r w:rsidR="00723C2C" w:rsidRPr="007E1C53">
        <w:t xml:space="preserve">r conséquent, les pays </w:t>
      </w:r>
      <w:r w:rsidR="00F201D1" w:rsidRPr="007E1C53">
        <w:t xml:space="preserve">ayant </w:t>
      </w:r>
      <w:r w:rsidR="00723C2C" w:rsidRPr="007E1C53">
        <w:t>l</w:t>
      </w:r>
      <w:r w:rsidR="00940BD3">
        <w:t>’</w:t>
      </w:r>
      <w:r w:rsidR="00723C2C" w:rsidRPr="007E1C53">
        <w:t>intention d</w:t>
      </w:r>
      <w:r w:rsidR="00940BD3">
        <w:t>’</w:t>
      </w:r>
      <w:r w:rsidR="00723C2C" w:rsidRPr="007E1C53">
        <w:t>adhérer à ces traités</w:t>
      </w:r>
      <w:r w:rsidR="00F201D1" w:rsidRPr="007E1C53">
        <w:t xml:space="preserve"> seraient bien inspirés d</w:t>
      </w:r>
      <w:r w:rsidR="00940BD3">
        <w:t>’</w:t>
      </w:r>
      <w:r w:rsidR="00723C2C" w:rsidRPr="007E1C53">
        <w:t xml:space="preserve">examiner les questions juridiques et techniques de </w:t>
      </w:r>
      <w:r w:rsidRPr="007E1C53">
        <w:t>manière</w:t>
      </w:r>
      <w:r w:rsidR="00723C2C" w:rsidRPr="007E1C53">
        <w:t xml:space="preserve"> globale et complémentai</w:t>
      </w:r>
      <w:r w:rsidR="00FB6977" w:rsidRPr="007E1C53">
        <w:t>re</w:t>
      </w:r>
      <w:r w:rsidR="00FB6977">
        <w:t xml:space="preserve">.  </w:t>
      </w:r>
      <w:r w:rsidR="00FB6977" w:rsidRPr="007E1C53">
        <w:t>Le</w:t>
      </w:r>
      <w:r w:rsidR="00200C9E" w:rsidRPr="007E1C53">
        <w:t xml:space="preserve"> Secrétariat de l</w:t>
      </w:r>
      <w:r w:rsidR="00940BD3">
        <w:t>’</w:t>
      </w:r>
      <w:proofErr w:type="spellStart"/>
      <w:r w:rsidR="00200C9E" w:rsidRPr="007E1C53">
        <w:t>OMPI</w:t>
      </w:r>
      <w:proofErr w:type="spellEnd"/>
      <w:r w:rsidR="00200C9E" w:rsidRPr="007E1C53">
        <w:t xml:space="preserve"> fournit aux États membres intéressés des informations juridiques et pratiques ciblées, ainsi que des conseils législatifs et de politique générale</w:t>
      </w:r>
      <w:r w:rsidR="004F6586" w:rsidRPr="007E1C53">
        <w:t>,</w:t>
      </w:r>
      <w:r w:rsidR="00200C9E" w:rsidRPr="007E1C53">
        <w:t xml:space="preserve"> en tenant dûment compte des priorités et des besoins particuliers des pays </w:t>
      </w:r>
      <w:r w:rsidRPr="007E1C53">
        <w:t>concernés</w:t>
      </w:r>
      <w:r w:rsidR="00200C9E" w:rsidRPr="007E1C53">
        <w:t>, de</w:t>
      </w:r>
      <w:r w:rsidR="004F6586" w:rsidRPr="007E1C53">
        <w:t xml:space="preserve"> l</w:t>
      </w:r>
      <w:r w:rsidR="00940BD3">
        <w:t>’</w:t>
      </w:r>
      <w:r w:rsidR="004F6586" w:rsidRPr="007E1C53">
        <w:t>équilibre de</w:t>
      </w:r>
      <w:r w:rsidR="00200C9E" w:rsidRPr="007E1C53">
        <w:t xml:space="preserve">s droits et obligations inhérents au système de propriété intellectuelle et des </w:t>
      </w:r>
      <w:r w:rsidR="004F6586" w:rsidRPr="007E1C53">
        <w:t xml:space="preserve">différences de </w:t>
      </w:r>
      <w:r w:rsidR="00200C9E" w:rsidRPr="007E1C53">
        <w:t>niveaux de développement des États membr</w:t>
      </w:r>
      <w:r w:rsidR="00FB6977" w:rsidRPr="007E1C53">
        <w:t>es</w:t>
      </w:r>
      <w:r w:rsidR="00FB6977">
        <w:t xml:space="preserve">.  </w:t>
      </w:r>
      <w:r w:rsidR="00FB6977" w:rsidRPr="007E1C53">
        <w:rPr>
          <w:szCs w:val="22"/>
        </w:rPr>
        <w:t>La</w:t>
      </w:r>
      <w:r w:rsidR="00F758AD" w:rsidRPr="007E1C53">
        <w:rPr>
          <w:szCs w:val="22"/>
        </w:rPr>
        <w:t xml:space="preserve"> Division du droit des brevets a fourni des conseils législatifs à 25</w:t>
      </w:r>
      <w:r w:rsidR="00B57155" w:rsidRPr="007E1C53">
        <w:rPr>
          <w:szCs w:val="22"/>
        </w:rPr>
        <w:t> </w:t>
      </w:r>
      <w:r w:rsidR="00F758AD" w:rsidRPr="007E1C53">
        <w:rPr>
          <w:szCs w:val="22"/>
        </w:rPr>
        <w:t xml:space="preserve">pays et organismes régionaux au cours du </w:t>
      </w:r>
      <w:r w:rsidR="004F6586" w:rsidRPr="007E1C53">
        <w:rPr>
          <w:szCs w:val="22"/>
        </w:rPr>
        <w:t>dernier</w:t>
      </w:r>
      <w:r w:rsidR="00F758AD" w:rsidRPr="007E1C53">
        <w:rPr>
          <w:szCs w:val="22"/>
        </w:rPr>
        <w:t xml:space="preserve"> exercice biennal, selon la répartition suivante par </w:t>
      </w:r>
      <w:r w:rsidR="00F758AD" w:rsidRPr="007E1C53">
        <w:rPr>
          <w:szCs w:val="22"/>
        </w:rPr>
        <w:lastRenderedPageBreak/>
        <w:t>région</w:t>
      </w:r>
      <w:r w:rsidR="00940BD3">
        <w:rPr>
          <w:szCs w:val="22"/>
        </w:rPr>
        <w:t> :</w:t>
      </w:r>
      <w:r w:rsidR="00F758AD" w:rsidRPr="007E1C53">
        <w:rPr>
          <w:szCs w:val="22"/>
        </w:rPr>
        <w:t xml:space="preserve"> Afr</w:t>
      </w:r>
      <w:r w:rsidR="004F6586" w:rsidRPr="007E1C53">
        <w:rPr>
          <w:szCs w:val="22"/>
        </w:rPr>
        <w:t>i</w:t>
      </w:r>
      <w:r w:rsidR="00F758AD" w:rsidRPr="007E1C53">
        <w:rPr>
          <w:szCs w:val="22"/>
        </w:rPr>
        <w:t>que (4), pays arabes (4), Asie et Pacifique (6), Amérique latine et Caraïbes (8), pays en transition et pays développés (3).</w:t>
      </w:r>
    </w:p>
    <w:p w:rsidR="009B6058" w:rsidRPr="007E1C53" w:rsidRDefault="00F758AD" w:rsidP="00FF563E">
      <w:pPr>
        <w:pStyle w:val="ONUMFS"/>
      </w:pPr>
      <w:r w:rsidRPr="007E1C53">
        <w:t xml:space="preserve">À la fin </w:t>
      </w:r>
      <w:r w:rsidR="00940BD3" w:rsidRPr="007E1C53">
        <w:t>de</w:t>
      </w:r>
      <w:r w:rsidR="00940BD3">
        <w:t> </w:t>
      </w:r>
      <w:r w:rsidR="00940BD3" w:rsidRPr="007E1C53">
        <w:t>2019</w:t>
      </w:r>
      <w:r w:rsidRPr="007E1C53">
        <w:t xml:space="preserve">, le système de dépôt </w:t>
      </w:r>
      <w:proofErr w:type="spellStart"/>
      <w:r w:rsidRPr="007E1C53">
        <w:t>ePCT</w:t>
      </w:r>
      <w:proofErr w:type="spellEnd"/>
      <w:r w:rsidRPr="007E1C53">
        <w:t xml:space="preserve"> était proposé par 63</w:t>
      </w:r>
      <w:r w:rsidR="00B57155" w:rsidRPr="007E1C53">
        <w:t> </w:t>
      </w:r>
      <w:r w:rsidRPr="007E1C53">
        <w:t>offices récepteurs et les documents déposés postérieurement peuvent être transmis par cet intermédiaire à 74</w:t>
      </w:r>
      <w:r w:rsidR="00B57155" w:rsidRPr="007E1C53">
        <w:t> </w:t>
      </w:r>
      <w:r w:rsidRPr="007E1C53">
        <w:t>offices en leur qualité d</w:t>
      </w:r>
      <w:r w:rsidR="00940BD3">
        <w:t>’</w:t>
      </w:r>
      <w:r w:rsidRPr="007E1C53">
        <w:t>offices récepteurs ou d</w:t>
      </w:r>
      <w:r w:rsidR="00940BD3">
        <w:t>’</w:t>
      </w:r>
      <w:r w:rsidRPr="007E1C53">
        <w:t>administrations chargées de la recherche internationale ou de l</w:t>
      </w:r>
      <w:r w:rsidR="00940BD3">
        <w:t>’</w:t>
      </w:r>
      <w:r w:rsidRPr="007E1C53">
        <w:t>examen préliminaire internation</w:t>
      </w:r>
      <w:r w:rsidR="00FB6977" w:rsidRPr="007E1C53">
        <w:t>al</w:t>
      </w:r>
      <w:r w:rsidR="00FB6977">
        <w:t xml:space="preserve">.  </w:t>
      </w:r>
      <w:r w:rsidR="00FB6977" w:rsidRPr="007E1C53">
        <w:t>Qu</w:t>
      </w:r>
      <w:r w:rsidR="00DA250A" w:rsidRPr="007E1C53">
        <w:t xml:space="preserve">elque </w:t>
      </w:r>
      <w:r w:rsidR="00595284" w:rsidRPr="007E1C53">
        <w:t>90</w:t>
      </w:r>
      <w:r w:rsidR="00B57155" w:rsidRPr="007E1C53">
        <w:t> </w:t>
      </w:r>
      <w:r w:rsidR="00DA250A" w:rsidRPr="007E1C53">
        <w:t xml:space="preserve">offices ont désormais accès aux services </w:t>
      </w:r>
      <w:proofErr w:type="spellStart"/>
      <w:r w:rsidR="00DA250A" w:rsidRPr="007E1C53">
        <w:t>ePCT</w:t>
      </w:r>
      <w:proofErr w:type="spellEnd"/>
      <w:r w:rsidR="00DA250A" w:rsidRPr="007E1C53">
        <w:t xml:space="preserve"> à l</w:t>
      </w:r>
      <w:r w:rsidR="00940BD3">
        <w:t>’</w:t>
      </w:r>
      <w:r w:rsidR="00DA250A" w:rsidRPr="007E1C53">
        <w:t>intention des offices agissant en qualité d</w:t>
      </w:r>
      <w:r w:rsidR="00940BD3">
        <w:t>’</w:t>
      </w:r>
      <w:r w:rsidR="00DA250A" w:rsidRPr="007E1C53">
        <w:t>offices récepteurs, d</w:t>
      </w:r>
      <w:r w:rsidR="00940BD3">
        <w:t>’</w:t>
      </w:r>
      <w:r w:rsidR="00DA250A" w:rsidRPr="007E1C53">
        <w:t>administrations chargées de la recherche internationale ou d</w:t>
      </w:r>
      <w:r w:rsidR="00940BD3">
        <w:t>’</w:t>
      </w:r>
      <w:r w:rsidR="00DA250A" w:rsidRPr="007E1C53">
        <w:t>offices désignés ou élus, dont 69 utilisant, en qualité d</w:t>
      </w:r>
      <w:r w:rsidR="00940BD3">
        <w:t>’</w:t>
      </w:r>
      <w:r w:rsidR="00DA250A" w:rsidRPr="007E1C53">
        <w:t xml:space="preserve">offices récepteurs, les services </w:t>
      </w:r>
      <w:proofErr w:type="spellStart"/>
      <w:r w:rsidR="00DA250A" w:rsidRPr="007E1C53">
        <w:t>ePCT</w:t>
      </w:r>
      <w:proofErr w:type="spellEnd"/>
      <w:r w:rsidR="00DA250A" w:rsidRPr="007E1C53">
        <w:t xml:space="preserve"> </w:t>
      </w:r>
      <w:r w:rsidR="00595284" w:rsidRPr="007E1C53">
        <w:t>fondés</w:t>
      </w:r>
      <w:r w:rsidR="00DA250A" w:rsidRPr="007E1C53">
        <w:t xml:space="preserve"> sur un navigateur comme outil principal du traitement des demandes international</w:t>
      </w:r>
      <w:r w:rsidR="00FB6977" w:rsidRPr="007E1C53">
        <w:t>es</w:t>
      </w:r>
      <w:r w:rsidR="00FB6977">
        <w:t xml:space="preserve">.  </w:t>
      </w:r>
      <w:r w:rsidR="00FB6977" w:rsidRPr="007E1C53">
        <w:t>Le</w:t>
      </w:r>
      <w:r w:rsidR="00DA250A" w:rsidRPr="007E1C53">
        <w:t xml:space="preserve"> service </w:t>
      </w:r>
      <w:proofErr w:type="spellStart"/>
      <w:r w:rsidR="00DA250A" w:rsidRPr="007E1C53">
        <w:t>eSearchCopy</w:t>
      </w:r>
      <w:proofErr w:type="spellEnd"/>
      <w:r w:rsidR="00DA250A" w:rsidRPr="007E1C53">
        <w:t xml:space="preserve"> est désormais utilisé dans 258 des 339</w:t>
      </w:r>
      <w:r w:rsidR="00B57155" w:rsidRPr="007E1C53">
        <w:t> </w:t>
      </w:r>
      <w:r w:rsidR="00DA250A" w:rsidRPr="007E1C53">
        <w:t xml:space="preserve">paires </w:t>
      </w:r>
      <w:r w:rsidR="00595284" w:rsidRPr="007E1C53">
        <w:t xml:space="preserve">possibles </w:t>
      </w:r>
      <w:r w:rsidR="00DA250A" w:rsidRPr="007E1C53">
        <w:t>d</w:t>
      </w:r>
      <w:r w:rsidR="00940BD3">
        <w:t>’</w:t>
      </w:r>
      <w:r w:rsidR="00DA250A" w:rsidRPr="007E1C53">
        <w:t>offices récepteurs et d</w:t>
      </w:r>
      <w:r w:rsidR="00940BD3">
        <w:t>’</w:t>
      </w:r>
      <w:r w:rsidR="00DA250A" w:rsidRPr="007E1C53">
        <w:t xml:space="preserve">administrations chargées de la recherche internationale lorsque ces fonctions ne </w:t>
      </w:r>
      <w:r w:rsidR="00A36E29" w:rsidRPr="007E1C53">
        <w:t>sont pas</w:t>
      </w:r>
      <w:r w:rsidR="00DA250A" w:rsidRPr="007E1C53">
        <w:t xml:space="preserve"> remplies par </w:t>
      </w:r>
      <w:r w:rsidR="00A36E29" w:rsidRPr="007E1C53">
        <w:t>le</w:t>
      </w:r>
      <w:r w:rsidR="00DA250A" w:rsidRPr="007E1C53">
        <w:t xml:space="preserve"> même offi</w:t>
      </w:r>
      <w:r w:rsidR="00FB6977" w:rsidRPr="007E1C53">
        <w:t>ce</w:t>
      </w:r>
      <w:r w:rsidR="00FB6977">
        <w:t xml:space="preserve">.  </w:t>
      </w:r>
      <w:r w:rsidR="00FB6977" w:rsidRPr="007E1C53">
        <w:t>Ce</w:t>
      </w:r>
      <w:r w:rsidR="00DA250A" w:rsidRPr="007E1C53">
        <w:t>s voies de transmission représentent presque 93% du volume total des transmissions de copies de recherche entre les différents offices.</w:t>
      </w:r>
    </w:p>
    <w:p w:rsidR="009B6058" w:rsidRPr="007E1C53" w:rsidRDefault="00DA250A" w:rsidP="00FF563E">
      <w:pPr>
        <w:pStyle w:val="Heading5"/>
      </w:pPr>
      <w:r w:rsidRPr="007E1C53">
        <w:t>Droit des marques et droit des dessins et modèles industriels</w:t>
      </w:r>
    </w:p>
    <w:p w:rsidR="00FF563E" w:rsidRDefault="00E27515" w:rsidP="00FF563E">
      <w:pPr>
        <w:pStyle w:val="ONUMFS"/>
      </w:pPr>
      <w:r w:rsidRPr="007E1C53">
        <w:t>Afin d</w:t>
      </w:r>
      <w:r w:rsidR="00940BD3">
        <w:t>’</w:t>
      </w:r>
      <w:r w:rsidRPr="007E1C53">
        <w:t>améliorer la capacité des offices membres dans le dom</w:t>
      </w:r>
      <w:r w:rsidR="002778FA" w:rsidRPr="007E1C53">
        <w:t>a</w:t>
      </w:r>
      <w:r w:rsidRPr="007E1C53">
        <w:t>ine numérique aux fins du fonctionnement du système de Madrid, le Service d</w:t>
      </w:r>
      <w:r w:rsidR="00940BD3">
        <w:t>’</w:t>
      </w:r>
      <w:r w:rsidRPr="007E1C53">
        <w:t xml:space="preserve">enregistrement de Madrid a mis en place </w:t>
      </w:r>
      <w:r w:rsidR="00940BD3" w:rsidRPr="007E1C53">
        <w:t>en</w:t>
      </w:r>
      <w:r w:rsidR="00940BD3">
        <w:t> </w:t>
      </w:r>
      <w:r w:rsidR="00940BD3" w:rsidRPr="007E1C53">
        <w:t>2019</w:t>
      </w:r>
      <w:r w:rsidRPr="007E1C53">
        <w:t xml:space="preserve"> une communication de</w:t>
      </w:r>
      <w:r w:rsidR="004E41D8" w:rsidRPr="007E1C53">
        <w:t>s</w:t>
      </w:r>
      <w:r w:rsidRPr="007E1C53">
        <w:t xml:space="preserve"> données XML pour cinq</w:t>
      </w:r>
      <w:r w:rsidR="005274F0">
        <w:t> </w:t>
      </w:r>
      <w:r w:rsidRPr="007E1C53">
        <w:t>offices (Brésil, Canada, Chine, Japon et Malaisie) et des services de dépôt électronique pour deux</w:t>
      </w:r>
      <w:r w:rsidR="005274F0">
        <w:t> </w:t>
      </w:r>
      <w:r w:rsidRPr="007E1C53">
        <w:t>offices (Estonie, Lituan</w:t>
      </w:r>
      <w:r w:rsidR="00FB6977" w:rsidRPr="007E1C53">
        <w:t>ie)</w:t>
      </w:r>
      <w:r w:rsidR="00FB6977">
        <w:t xml:space="preserve">.  </w:t>
      </w:r>
      <w:r w:rsidR="00FB6977" w:rsidRPr="007E1C53">
        <w:t>De</w:t>
      </w:r>
      <w:r w:rsidRPr="007E1C53">
        <w:t>s discussions sur la coopération dans ce domaine avec d</w:t>
      </w:r>
      <w:r w:rsidR="00940BD3">
        <w:t>’</w:t>
      </w:r>
      <w:r w:rsidRPr="007E1C53">
        <w:t>autres offices sont en cours.</w:t>
      </w:r>
    </w:p>
    <w:p w:rsidR="00FF563E" w:rsidRDefault="00940BD3" w:rsidP="00FF563E">
      <w:pPr>
        <w:pStyle w:val="ONUMFS"/>
      </w:pPr>
      <w:r w:rsidRPr="007E1C53">
        <w:t>En</w:t>
      </w:r>
      <w:r>
        <w:t> </w:t>
      </w:r>
      <w:r w:rsidRPr="007E1C53">
        <w:t>2019</w:t>
      </w:r>
      <w:r w:rsidR="004E41D8" w:rsidRPr="007E1C53">
        <w:t xml:space="preserve"> ont eu lieu dans le cadre du </w:t>
      </w:r>
      <w:r w:rsidR="00523B20" w:rsidRPr="007E1C53">
        <w:t xml:space="preserve">système de </w:t>
      </w:r>
      <w:r>
        <w:t>La Haye</w:t>
      </w:r>
      <w:r w:rsidR="00C04BEF" w:rsidRPr="007E1C53">
        <w:t xml:space="preserve"> </w:t>
      </w:r>
      <w:r w:rsidR="00523B20" w:rsidRPr="007E1C53">
        <w:t xml:space="preserve">des échanges de données </w:t>
      </w:r>
      <w:r w:rsidR="00C04BEF" w:rsidRPr="007E1C53">
        <w:t>selon</w:t>
      </w:r>
      <w:r w:rsidR="009357AD" w:rsidRPr="007E1C53">
        <w:t xml:space="preserve"> </w:t>
      </w:r>
      <w:r w:rsidR="00A36E29" w:rsidRPr="007E1C53">
        <w:t xml:space="preserve">les </w:t>
      </w:r>
      <w:r w:rsidR="00523B20" w:rsidRPr="007E1C53">
        <w:t xml:space="preserve">normes relatives aux données </w:t>
      </w:r>
      <w:r w:rsidR="00A36E29" w:rsidRPr="007E1C53">
        <w:t>de l</w:t>
      </w:r>
      <w:r>
        <w:t>’</w:t>
      </w:r>
      <w:proofErr w:type="spellStart"/>
      <w:r w:rsidR="00A36E29" w:rsidRPr="007E1C53">
        <w:t>OMPI</w:t>
      </w:r>
      <w:proofErr w:type="spellEnd"/>
      <w:r w:rsidR="00A36E29" w:rsidRPr="007E1C53">
        <w:t xml:space="preserve"> </w:t>
      </w:r>
      <w:r w:rsidR="00523B20" w:rsidRPr="007E1C53">
        <w:t>et</w:t>
      </w:r>
      <w:r w:rsidR="00A36E29" w:rsidRPr="007E1C53">
        <w:t xml:space="preserve"> </w:t>
      </w:r>
      <w:r w:rsidR="00C04BEF" w:rsidRPr="007E1C53">
        <w:t>par l</w:t>
      </w:r>
      <w:r>
        <w:t>’</w:t>
      </w:r>
      <w:r w:rsidR="00C04BEF" w:rsidRPr="007E1C53">
        <w:t>intermédiaire des</w:t>
      </w:r>
      <w:r w:rsidR="00523B20" w:rsidRPr="007E1C53">
        <w:t xml:space="preserve"> services </w:t>
      </w:r>
      <w:r w:rsidR="00FD6829" w:rsidRPr="007E1C53">
        <w:t>W</w:t>
      </w:r>
      <w:r w:rsidR="00523B20" w:rsidRPr="007E1C53">
        <w:t>eb de l</w:t>
      </w:r>
      <w:r>
        <w:t>’</w:t>
      </w:r>
      <w:r w:rsidR="00523B20" w:rsidRPr="007E1C53">
        <w:t>O</w:t>
      </w:r>
      <w:r w:rsidR="00A36E29" w:rsidRPr="007E1C53">
        <w:t>rganisation</w:t>
      </w:r>
      <w:r w:rsidR="009357AD" w:rsidRPr="007E1C53">
        <w:t xml:space="preserve">, </w:t>
      </w:r>
      <w:r w:rsidR="004E41D8" w:rsidRPr="007E1C53">
        <w:t>ainsi qu</w:t>
      </w:r>
      <w:r>
        <w:t>’</w:t>
      </w:r>
      <w:r w:rsidR="009357AD" w:rsidRPr="007E1C53">
        <w:t>un partage</w:t>
      </w:r>
      <w:r w:rsidR="00523B20" w:rsidRPr="007E1C53">
        <w:t xml:space="preserve"> de données sources normalisées avec les offices aux fins de l</w:t>
      </w:r>
      <w:r>
        <w:t>’</w:t>
      </w:r>
      <w:r w:rsidR="00523B20" w:rsidRPr="007E1C53">
        <w:t>établissement de rapports ou d</w:t>
      </w:r>
      <w:r>
        <w:t>’</w:t>
      </w:r>
      <w:r w:rsidR="00523B20" w:rsidRPr="007E1C53">
        <w:t>analyses, en particulier avec les offices des nouvelles parties contractantes (Ca</w:t>
      </w:r>
      <w:r w:rsidR="009357AD" w:rsidRPr="007E1C53">
        <w:t>nada, Israël, Russie, Viet</w:t>
      </w:r>
      <w:r w:rsidR="005274F0">
        <w:t> </w:t>
      </w:r>
      <w:r w:rsidR="009357AD" w:rsidRPr="007E1C53">
        <w:t>Nam)</w:t>
      </w:r>
      <w:r w:rsidR="00523B20" w:rsidRPr="007E1C53">
        <w:t xml:space="preserve"> et les offices des parties contractantes actuelles (plus </w:t>
      </w:r>
      <w:r w:rsidR="009357AD" w:rsidRPr="007E1C53">
        <w:t>précisément</w:t>
      </w:r>
      <w:r w:rsidR="00523B20" w:rsidRPr="007E1C53">
        <w:t xml:space="preserve"> le Japon et la République de Corée).</w:t>
      </w:r>
    </w:p>
    <w:p w:rsidR="009B6058" w:rsidRPr="007E1C53" w:rsidRDefault="00523B20" w:rsidP="00FF563E">
      <w:pPr>
        <w:pStyle w:val="ONUMFS"/>
      </w:pPr>
      <w:r w:rsidRPr="007E1C53">
        <w:t>Au cours de l</w:t>
      </w:r>
      <w:r w:rsidR="00940BD3">
        <w:t>’</w:t>
      </w:r>
      <w:r w:rsidRPr="007E1C53">
        <w:t>exercice biennal</w:t>
      </w:r>
      <w:r w:rsidR="00B57155" w:rsidRPr="007E1C53">
        <w:t> </w:t>
      </w:r>
      <w:r w:rsidRPr="007E1C53">
        <w:t>2018</w:t>
      </w:r>
      <w:r w:rsidR="00940BD3">
        <w:t>-</w:t>
      </w:r>
      <w:r w:rsidRPr="007E1C53">
        <w:t xml:space="preserve">2019, le Secrétariat a également fourni </w:t>
      </w:r>
      <w:r w:rsidR="009357AD" w:rsidRPr="007E1C53">
        <w:t xml:space="preserve">à 26 occasions </w:t>
      </w:r>
      <w:r w:rsidRPr="007E1C53">
        <w:t xml:space="preserve">des conseils </w:t>
      </w:r>
      <w:r w:rsidR="004E41D8" w:rsidRPr="007E1C53">
        <w:t xml:space="preserve">législatifs </w:t>
      </w:r>
      <w:r w:rsidRPr="007E1C53">
        <w:t xml:space="preserve">et de politique générale </w:t>
      </w:r>
      <w:r w:rsidR="004E41D8" w:rsidRPr="007E1C53">
        <w:t xml:space="preserve">ciblés </w:t>
      </w:r>
      <w:r w:rsidRPr="007E1C53">
        <w:t xml:space="preserve">dans le domaine du droit des marques et des dessins et modèles, compte tenu des besoins des pays </w:t>
      </w:r>
      <w:r w:rsidR="004E41D8" w:rsidRPr="007E1C53">
        <w:t>concernés</w:t>
      </w:r>
      <w:r w:rsidRPr="007E1C53">
        <w:t>.</w:t>
      </w:r>
    </w:p>
    <w:p w:rsidR="00940BD3" w:rsidRDefault="00523B20" w:rsidP="00FF563E">
      <w:pPr>
        <w:pStyle w:val="Heading5"/>
      </w:pPr>
      <w:r w:rsidRPr="007E1C53">
        <w:t>Législation sur le droit d</w:t>
      </w:r>
      <w:r w:rsidR="00940BD3">
        <w:t>’</w:t>
      </w:r>
      <w:r w:rsidRPr="007E1C53">
        <w:t>auteur et les droits connexes</w:t>
      </w:r>
    </w:p>
    <w:p w:rsidR="00940BD3" w:rsidRDefault="00F94E36" w:rsidP="00FF563E">
      <w:pPr>
        <w:pStyle w:val="ONUMFS"/>
      </w:pPr>
      <w:r w:rsidRPr="007E1C53">
        <w:t xml:space="preserve">Compte tenu du principe de la protection sans formalité établi par la Convention de Berne, certains États membres </w:t>
      </w:r>
      <w:r w:rsidR="00C04BEF" w:rsidRPr="007E1C53">
        <w:t>se fondent</w:t>
      </w:r>
      <w:r w:rsidRPr="007E1C53">
        <w:t xml:space="preserve"> sur l</w:t>
      </w:r>
      <w:r w:rsidR="00940BD3">
        <w:t>’</w:t>
      </w:r>
      <w:r w:rsidRPr="007E1C53">
        <w:t>infrastructure du droit d</w:t>
      </w:r>
      <w:r w:rsidR="00940BD3">
        <w:t>’</w:t>
      </w:r>
      <w:r w:rsidRPr="007E1C53">
        <w:t>auteur pour faciliter l</w:t>
      </w:r>
      <w:r w:rsidR="00940BD3">
        <w:t>’</w:t>
      </w:r>
      <w:r w:rsidRPr="007E1C53">
        <w:t>accès à l</w:t>
      </w:r>
      <w:r w:rsidR="00940BD3">
        <w:t>’</w:t>
      </w:r>
      <w:r w:rsidRPr="007E1C53">
        <w:t xml:space="preserve">information sur les œuvres protégées </w:t>
      </w:r>
      <w:r w:rsidR="00C04BEF" w:rsidRPr="007E1C53">
        <w:t>par le</w:t>
      </w:r>
      <w:r w:rsidRPr="007E1C53">
        <w:t xml:space="preserve"> droit d</w:t>
      </w:r>
      <w:r w:rsidR="00940BD3">
        <w:t>’</w:t>
      </w:r>
      <w:r w:rsidRPr="007E1C53">
        <w:t>auteur.</w:t>
      </w:r>
      <w:r w:rsidR="000E679A" w:rsidRPr="007E1C53">
        <w:t xml:space="preserve"> </w:t>
      </w:r>
      <w:r w:rsidR="00600CA9" w:rsidRPr="007E1C53">
        <w:t xml:space="preserve"> </w:t>
      </w:r>
      <w:r w:rsidR="00C93F6D" w:rsidRPr="007E1C53">
        <w:t>L</w:t>
      </w:r>
      <w:r w:rsidR="00940BD3">
        <w:t>’</w:t>
      </w:r>
      <w:proofErr w:type="spellStart"/>
      <w:r w:rsidR="00C93F6D" w:rsidRPr="007E1C53">
        <w:t>OMPI</w:t>
      </w:r>
      <w:proofErr w:type="spellEnd"/>
      <w:r w:rsidR="00C93F6D" w:rsidRPr="007E1C53">
        <w:t xml:space="preserve"> fournit une assistance technique dans ce domaine, </w:t>
      </w:r>
      <w:r w:rsidR="000E679A" w:rsidRPr="007E1C53">
        <w:t>par exemple</w:t>
      </w:r>
      <w:r w:rsidR="00C93F6D" w:rsidRPr="007E1C53">
        <w:t xml:space="preserve"> en </w:t>
      </w:r>
      <w:r w:rsidR="00C04BEF" w:rsidRPr="007E1C53">
        <w:t xml:space="preserve">transmettant </w:t>
      </w:r>
      <w:r w:rsidR="00C93F6D" w:rsidRPr="007E1C53">
        <w:t>des sources d</w:t>
      </w:r>
      <w:r w:rsidR="00940BD3">
        <w:t>’</w:t>
      </w:r>
      <w:r w:rsidR="00C93F6D" w:rsidRPr="007E1C53">
        <w:t>information sur les systèmes existants d</w:t>
      </w:r>
      <w:r w:rsidR="00940BD3">
        <w:t>’</w:t>
      </w:r>
      <w:r w:rsidR="00C93F6D" w:rsidRPr="007E1C53">
        <w:t>enregistrement volontaire du droit d</w:t>
      </w:r>
      <w:r w:rsidR="00940BD3">
        <w:t>’</w:t>
      </w:r>
      <w:r w:rsidR="00C93F6D" w:rsidRPr="007E1C53">
        <w:t>auteur et en organisant des activités de renforcement des capacit</w:t>
      </w:r>
      <w:r w:rsidR="00FB6977" w:rsidRPr="007E1C53">
        <w:t>és</w:t>
      </w:r>
      <w:r w:rsidR="00FB6977">
        <w:t xml:space="preserve">.  </w:t>
      </w:r>
      <w:r w:rsidR="00FB6977" w:rsidRPr="007E1C53">
        <w:t>Du</w:t>
      </w:r>
      <w:r w:rsidR="00C93F6D" w:rsidRPr="007E1C53">
        <w:t>rant l</w:t>
      </w:r>
      <w:r w:rsidR="00940BD3">
        <w:t>’</w:t>
      </w:r>
      <w:r w:rsidR="00C93F6D" w:rsidRPr="007E1C53">
        <w:t>exercice biennal</w:t>
      </w:r>
      <w:r w:rsidR="00B57155" w:rsidRPr="007E1C53">
        <w:t> </w:t>
      </w:r>
      <w:r w:rsidR="00C04BEF" w:rsidRPr="00261E08">
        <w:t>2018</w:t>
      </w:r>
      <w:r w:rsidR="00940BD3" w:rsidRPr="00261E08">
        <w:t>-</w:t>
      </w:r>
      <w:r w:rsidR="00261E08">
        <w:t>2019</w:t>
      </w:r>
      <w:r w:rsidR="00C93F6D" w:rsidRPr="00261E08">
        <w:t xml:space="preserve">, </w:t>
      </w:r>
      <w:r w:rsidR="008E5492" w:rsidRPr="00261E08">
        <w:t>des</w:t>
      </w:r>
      <w:r w:rsidR="008E5492" w:rsidRPr="007E1C53">
        <w:t xml:space="preserve"> activités de renforcement des capacités portant notamment sur la question des systèmes d</w:t>
      </w:r>
      <w:r w:rsidR="00940BD3">
        <w:t>’</w:t>
      </w:r>
      <w:r w:rsidR="008E5492" w:rsidRPr="007E1C53">
        <w:t>enregistrement volontaire ont été organisées à l</w:t>
      </w:r>
      <w:r w:rsidR="00940BD3">
        <w:t>’</w:t>
      </w:r>
      <w:r w:rsidR="008E5492" w:rsidRPr="007E1C53">
        <w:t xml:space="preserve">intention de </w:t>
      </w:r>
      <w:r w:rsidR="00C93F6D" w:rsidRPr="007E1C53">
        <w:t>15</w:t>
      </w:r>
      <w:r w:rsidR="00B57155" w:rsidRPr="007E1C53">
        <w:t> </w:t>
      </w:r>
      <w:r w:rsidR="00C93F6D" w:rsidRPr="007E1C53">
        <w:t>États membres</w:t>
      </w:r>
      <w:r w:rsidR="00CD2041" w:rsidRPr="007E1C53">
        <w:t xml:space="preserve"> au total, </w:t>
      </w:r>
      <w:r w:rsidR="002778FA" w:rsidRPr="007E1C53">
        <w:t>pays en dév</w:t>
      </w:r>
      <w:r w:rsidR="00C93F6D" w:rsidRPr="007E1C53">
        <w:t xml:space="preserve">eloppement ou </w:t>
      </w:r>
      <w:r w:rsidR="00CD2041" w:rsidRPr="007E1C53">
        <w:t>PMA</w:t>
      </w:r>
      <w:r w:rsidR="00C93F6D" w:rsidRPr="007E1C53">
        <w:t>.</w:t>
      </w:r>
    </w:p>
    <w:p w:rsidR="00940BD3" w:rsidRDefault="00C93F6D" w:rsidP="00FF563E">
      <w:pPr>
        <w:pStyle w:val="Heading5"/>
      </w:pPr>
      <w:r w:rsidRPr="007E1C53">
        <w:t>Institut judiciaire de l</w:t>
      </w:r>
      <w:r w:rsidR="00940BD3">
        <w:t>’</w:t>
      </w:r>
      <w:proofErr w:type="spellStart"/>
      <w:r w:rsidRPr="007E1C53">
        <w:t>OMPI</w:t>
      </w:r>
      <w:proofErr w:type="spellEnd"/>
    </w:p>
    <w:p w:rsidR="00FF563E" w:rsidRDefault="003373D7" w:rsidP="00FF563E">
      <w:pPr>
        <w:pStyle w:val="ONUMFS"/>
      </w:pPr>
      <w:r w:rsidRPr="007E1C53">
        <w:t xml:space="preserve">En plus de fournir des conseils juridiques, le Secrétariat a amélioré les ressources juridiques relatives aux lois sur la propriété intellectuelle en </w:t>
      </w:r>
      <w:r w:rsidR="00560240" w:rsidRPr="007E1C53">
        <w:t>prévoyant l</w:t>
      </w:r>
      <w:r w:rsidR="00940BD3">
        <w:t>’</w:t>
      </w:r>
      <w:r w:rsidRPr="007E1C53">
        <w:t xml:space="preserve">accès gratuit </w:t>
      </w:r>
      <w:r w:rsidR="00560240" w:rsidRPr="007E1C53">
        <w:t xml:space="preserve">du public </w:t>
      </w:r>
      <w:r w:rsidR="00045E82" w:rsidRPr="007E1C53">
        <w:t xml:space="preserve">aux versions intégrales des </w:t>
      </w:r>
      <w:r w:rsidR="004E427A" w:rsidRPr="007E1C53">
        <w:t xml:space="preserve">lois </w:t>
      </w:r>
      <w:r w:rsidRPr="007E1C53">
        <w:t xml:space="preserve">sur la propriété intellectuelle en plusieurs langues dans la base de données WIPO </w:t>
      </w:r>
      <w:proofErr w:type="spellStart"/>
      <w:r w:rsidRPr="007E1C53">
        <w:t>Lex</w:t>
      </w:r>
      <w:proofErr w:type="spellEnd"/>
      <w:r w:rsidRPr="007E1C53">
        <w:t>, permettant aux législateurs des pays en développement et</w:t>
      </w:r>
      <w:r w:rsidR="00940BD3" w:rsidRPr="007E1C53">
        <w:t xml:space="preserve"> des</w:t>
      </w:r>
      <w:r w:rsidR="00940BD3">
        <w:t> </w:t>
      </w:r>
      <w:r w:rsidR="00940BD3" w:rsidRPr="007E1C53">
        <w:t>PMA</w:t>
      </w:r>
      <w:r w:rsidRPr="007E1C53">
        <w:t xml:space="preserve"> de suivre et d</w:t>
      </w:r>
      <w:r w:rsidR="00940BD3">
        <w:t>’</w:t>
      </w:r>
      <w:r w:rsidRPr="007E1C53">
        <w:t>étudier de près l</w:t>
      </w:r>
      <w:r w:rsidR="00940BD3">
        <w:t>’</w:t>
      </w:r>
      <w:r w:rsidRPr="007E1C53">
        <w:t xml:space="preserve">évolution des lois sur la propriété intellectuelle dans le monde, </w:t>
      </w:r>
      <w:r w:rsidR="00940BD3">
        <w:t>y compris</w:t>
      </w:r>
      <w:r w:rsidRPr="007E1C53">
        <w:t xml:space="preserve"> les dernières </w:t>
      </w:r>
      <w:r w:rsidR="000E679A" w:rsidRPr="007E1C53">
        <w:t>adaptations législatives</w:t>
      </w:r>
      <w:r w:rsidRPr="007E1C53">
        <w:t xml:space="preserve"> pour répondre aux besoins de protection </w:t>
      </w:r>
      <w:r w:rsidR="004E427A" w:rsidRPr="007E1C53">
        <w:t xml:space="preserve">des </w:t>
      </w:r>
      <w:r w:rsidR="004E427A" w:rsidRPr="007E1C53">
        <w:lastRenderedPageBreak/>
        <w:t>actifs de</w:t>
      </w:r>
      <w:r w:rsidRPr="007E1C53">
        <w:t xml:space="preserve"> propriété intellectuelle dans l</w:t>
      </w:r>
      <w:r w:rsidR="00940BD3">
        <w:t>’</w:t>
      </w:r>
      <w:r w:rsidRPr="007E1C53">
        <w:t>environnement numériq</w:t>
      </w:r>
      <w:r w:rsidR="00FB6977" w:rsidRPr="007E1C53">
        <w:t>ue</w:t>
      </w:r>
      <w:r w:rsidR="00FB6977">
        <w:t xml:space="preserve">.  </w:t>
      </w:r>
      <w:r w:rsidR="00FB6977" w:rsidRPr="007E1C53">
        <w:t>Au</w:t>
      </w:r>
      <w:r w:rsidR="006405DB" w:rsidRPr="007E1C53">
        <w:t xml:space="preserve"> cours d</w:t>
      </w:r>
      <w:r w:rsidR="004E427A" w:rsidRPr="007E1C53">
        <w:t>e l</w:t>
      </w:r>
      <w:r w:rsidR="00940BD3">
        <w:t>’</w:t>
      </w:r>
      <w:r w:rsidR="006405DB" w:rsidRPr="007E1C53">
        <w:t>exercice biennal</w:t>
      </w:r>
      <w:r w:rsidR="004E427A" w:rsidRPr="007E1C53">
        <w:t xml:space="preserve"> précédent</w:t>
      </w:r>
      <w:r w:rsidR="006405DB" w:rsidRPr="007E1C53">
        <w:t xml:space="preserve">, </w:t>
      </w:r>
      <w:r w:rsidR="004E427A" w:rsidRPr="007E1C53">
        <w:t xml:space="preserve">une trentaine de lois sur la propriété intellectuelle révisées </w:t>
      </w:r>
      <w:r w:rsidR="00045E82" w:rsidRPr="007E1C53">
        <w:t>en profondeur</w:t>
      </w:r>
      <w:r w:rsidR="00560240" w:rsidRPr="007E1C53">
        <w:t>, qui émanaient</w:t>
      </w:r>
      <w:r w:rsidR="00045E82" w:rsidRPr="007E1C53">
        <w:t xml:space="preserve"> </w:t>
      </w:r>
      <w:r w:rsidR="004E427A" w:rsidRPr="007E1C53">
        <w:t>de 22 pays dont 11</w:t>
      </w:r>
      <w:r w:rsidR="003F45E0" w:rsidRPr="007E1C53">
        <w:t> </w:t>
      </w:r>
      <w:r w:rsidR="004E427A" w:rsidRPr="007E1C53">
        <w:t xml:space="preserve">pays en développement ou PMA, ont été ajoutées dans </w:t>
      </w:r>
      <w:r w:rsidR="006405DB" w:rsidRPr="007E1C53">
        <w:t xml:space="preserve">WIPO </w:t>
      </w:r>
      <w:proofErr w:type="spellStart"/>
      <w:r w:rsidR="006405DB" w:rsidRPr="007E1C53">
        <w:t>Lex</w:t>
      </w:r>
      <w:proofErr w:type="spellEnd"/>
      <w:r w:rsidR="006405DB" w:rsidRPr="007E1C53">
        <w:t>.</w:t>
      </w:r>
    </w:p>
    <w:p w:rsidR="00940BD3" w:rsidRDefault="006405DB" w:rsidP="00FF563E">
      <w:pPr>
        <w:pStyle w:val="ONUMFS"/>
      </w:pPr>
      <w:r w:rsidRPr="007E1C53">
        <w:t>L</w:t>
      </w:r>
      <w:r w:rsidR="00940BD3">
        <w:t>’</w:t>
      </w:r>
      <w:proofErr w:type="spellStart"/>
      <w:r w:rsidRPr="007E1C53">
        <w:t>OMPI</w:t>
      </w:r>
      <w:proofErr w:type="spellEnd"/>
      <w:r w:rsidRPr="007E1C53">
        <w:t xml:space="preserve"> développe WIPO </w:t>
      </w:r>
      <w:proofErr w:type="spellStart"/>
      <w:r w:rsidRPr="007E1C53">
        <w:t>Lex</w:t>
      </w:r>
      <w:proofErr w:type="spellEnd"/>
      <w:r w:rsidRPr="007E1C53">
        <w:t xml:space="preserve"> pour inclure des jugements en matière de propriété intellectuelle dans la base de données mondiale</w:t>
      </w:r>
      <w:r w:rsidR="00045E82" w:rsidRPr="007E1C53">
        <w:t xml:space="preserve"> qui donne</w:t>
      </w:r>
      <w:r w:rsidRPr="007E1C53">
        <w:t xml:space="preserve"> accès </w:t>
      </w:r>
      <w:r w:rsidR="00045E82" w:rsidRPr="007E1C53">
        <w:t>gratuitement</w:t>
      </w:r>
      <w:r w:rsidRPr="007E1C53">
        <w:t xml:space="preserve"> à des ressources juridiques </w:t>
      </w:r>
      <w:r w:rsidR="00045E82" w:rsidRPr="007E1C53">
        <w:t>sur la</w:t>
      </w:r>
      <w:r w:rsidRPr="007E1C53">
        <w:t xml:space="preserve"> propriété intellectuelle dans le monde enti</w:t>
      </w:r>
      <w:r w:rsidR="00FB6977" w:rsidRPr="007E1C53">
        <w:t>er</w:t>
      </w:r>
      <w:r w:rsidR="00FB6977">
        <w:t xml:space="preserve">.  </w:t>
      </w:r>
      <w:r w:rsidR="00FB6977" w:rsidRPr="007E1C53">
        <w:t>L</w:t>
      </w:r>
      <w:r w:rsidR="00FB6977">
        <w:t>’</w:t>
      </w:r>
      <w:r w:rsidR="00FB6977" w:rsidRPr="007E1C53">
        <w:t>o</w:t>
      </w:r>
      <w:r w:rsidRPr="007E1C53">
        <w:t xml:space="preserve">bjectif de la base de données WIPO </w:t>
      </w:r>
      <w:proofErr w:type="spellStart"/>
      <w:r w:rsidRPr="007E1C53">
        <w:t>Lex</w:t>
      </w:r>
      <w:proofErr w:type="spellEnd"/>
      <w:r w:rsidR="00940BD3">
        <w:t xml:space="preserve"> – </w:t>
      </w:r>
      <w:r w:rsidRPr="007E1C53">
        <w:t>Jugements est de mettre à disposition des informations et des données sur les systèmes judiciaires et les décisions en matière de propriété intellectuelle, en diffusant les décisions de justice importantes en matière de propriété intellectuelle, qui établissent des précédents ou des interprétations présentant un intér</w:t>
      </w:r>
      <w:r w:rsidR="00FB6977" w:rsidRPr="007E1C53">
        <w:t>êt</w:t>
      </w:r>
      <w:r w:rsidR="00FB6977">
        <w:t xml:space="preserve">.  </w:t>
      </w:r>
      <w:r w:rsidR="00FB6977" w:rsidRPr="007E1C53">
        <w:t>In</w:t>
      </w:r>
      <w:r w:rsidRPr="007E1C53">
        <w:t>tégrée à l</w:t>
      </w:r>
      <w:r w:rsidR="00940BD3">
        <w:t>’</w:t>
      </w:r>
      <w:r w:rsidRPr="007E1C53">
        <w:t xml:space="preserve">interface WIPO </w:t>
      </w:r>
      <w:proofErr w:type="spellStart"/>
      <w:r w:rsidRPr="007E1C53">
        <w:t>Lex</w:t>
      </w:r>
      <w:proofErr w:type="spellEnd"/>
      <w:r w:rsidRPr="007E1C53">
        <w:t xml:space="preserve">, qui existe en français, anglais, arabe, chinois, espagnol et russe, </w:t>
      </w:r>
      <w:r w:rsidR="00045E82" w:rsidRPr="007E1C53">
        <w:t xml:space="preserve">la base de données </w:t>
      </w:r>
      <w:r w:rsidRPr="007E1C53">
        <w:t xml:space="preserve">WIPO </w:t>
      </w:r>
      <w:proofErr w:type="spellStart"/>
      <w:r w:rsidRPr="007E1C53">
        <w:t>Lex</w:t>
      </w:r>
      <w:proofErr w:type="spellEnd"/>
      <w:r w:rsidRPr="007E1C53">
        <w:t xml:space="preserve"> – Jugements comprendra des données bibliographiques consultables pour tous les jugements </w:t>
      </w:r>
      <w:r w:rsidR="00045E82" w:rsidRPr="007E1C53">
        <w:t>référencés</w:t>
      </w:r>
      <w:r w:rsidRPr="007E1C53">
        <w:t xml:space="preserve"> et un renvoi aux traités internationaux et </w:t>
      </w:r>
      <w:r w:rsidR="00045E82" w:rsidRPr="007E1C53">
        <w:t>aux lois</w:t>
      </w:r>
      <w:r w:rsidRPr="007E1C53">
        <w:t xml:space="preserve"> nationales </w:t>
      </w:r>
      <w:r w:rsidR="00045E82" w:rsidRPr="007E1C53">
        <w:t>figurant</w:t>
      </w:r>
      <w:r w:rsidRPr="007E1C53">
        <w:t xml:space="preserve"> dans WIPO </w:t>
      </w:r>
      <w:proofErr w:type="spellStart"/>
      <w:r w:rsidRPr="007E1C53">
        <w:t>L</w:t>
      </w:r>
      <w:r w:rsidR="00FB6977" w:rsidRPr="007E1C53">
        <w:t>ex</w:t>
      </w:r>
      <w:proofErr w:type="spellEnd"/>
      <w:r w:rsidR="00FB6977">
        <w:t xml:space="preserve">.  </w:t>
      </w:r>
      <w:r w:rsidR="00FB6977" w:rsidRPr="007E1C53">
        <w:t>El</w:t>
      </w:r>
      <w:r w:rsidR="00045E82" w:rsidRPr="007E1C53">
        <w:t>le</w:t>
      </w:r>
      <w:r w:rsidRPr="007E1C53">
        <w:t xml:space="preserve"> a été testée avec succès </w:t>
      </w:r>
      <w:r w:rsidR="00940BD3" w:rsidRPr="007E1C53">
        <w:t>en</w:t>
      </w:r>
      <w:r w:rsidR="00940BD3">
        <w:t> </w:t>
      </w:r>
      <w:r w:rsidR="00940BD3" w:rsidRPr="007E1C53">
        <w:t>2019</w:t>
      </w:r>
      <w:r w:rsidR="00F949B9" w:rsidRPr="007E1C53">
        <w:t xml:space="preserve"> </w:t>
      </w:r>
      <w:r w:rsidRPr="007E1C53">
        <w:t>auprès d</w:t>
      </w:r>
      <w:r w:rsidR="00940BD3">
        <w:t>’</w:t>
      </w:r>
      <w:r w:rsidRPr="007E1C53">
        <w:t>un certain nombre d</w:t>
      </w:r>
      <w:r w:rsidR="00940BD3">
        <w:t>’</w:t>
      </w:r>
      <w:r w:rsidRPr="007E1C53">
        <w:t>États membres (Brésil, Chili, Colombie, Costa</w:t>
      </w:r>
      <w:r w:rsidR="005274F0">
        <w:t> </w:t>
      </w:r>
      <w:r w:rsidRPr="007E1C53">
        <w:t>Rica, Espagne, Mexique, Pérou) et présentée à la vingt</w:t>
      </w:r>
      <w:r w:rsidR="00940BD3">
        <w:t>-</w:t>
      </w:r>
      <w:r w:rsidRPr="007E1C53">
        <w:t>quatr</w:t>
      </w:r>
      <w:r w:rsidR="00940BD3">
        <w:t>ième session</w:t>
      </w:r>
      <w:r w:rsidR="00940BD3" w:rsidRPr="007E1C53">
        <w:t xml:space="preserve"> du</w:t>
      </w:r>
      <w:r w:rsidR="00940BD3">
        <w:t> </w:t>
      </w:r>
      <w:proofErr w:type="spellStart"/>
      <w:r w:rsidR="00940BD3" w:rsidRPr="007E1C53">
        <w:t>CDI</w:t>
      </w:r>
      <w:r w:rsidRPr="007E1C53">
        <w:t>P</w:t>
      </w:r>
      <w:proofErr w:type="spellEnd"/>
      <w:r w:rsidRPr="007E1C53">
        <w:t>, ainsi qu</w:t>
      </w:r>
      <w:r w:rsidR="00940BD3">
        <w:t>’</w:t>
      </w:r>
      <w:r w:rsidRPr="007E1C53">
        <w:t>au Forum</w:t>
      </w:r>
      <w:r w:rsidR="00B57155" w:rsidRPr="007E1C53">
        <w:t> </w:t>
      </w:r>
      <w:r w:rsidRPr="007E1C53">
        <w:t>2019 de l</w:t>
      </w:r>
      <w:r w:rsidR="00940BD3">
        <w:t>’</w:t>
      </w:r>
      <w:proofErr w:type="spellStart"/>
      <w:r w:rsidRPr="007E1C53">
        <w:t>OMPI</w:t>
      </w:r>
      <w:proofErr w:type="spellEnd"/>
      <w:r w:rsidRPr="007E1C53">
        <w:t xml:space="preserve"> à l</w:t>
      </w:r>
      <w:r w:rsidR="00940BD3">
        <w:t>’</w:t>
      </w:r>
      <w:r w:rsidRPr="007E1C53">
        <w:t>intention des juges spécialisés en propriété intellectuel</w:t>
      </w:r>
      <w:r w:rsidR="00FB6977" w:rsidRPr="007E1C53">
        <w:t>le</w:t>
      </w:r>
      <w:r w:rsidR="00FB6977">
        <w:t xml:space="preserve">.  </w:t>
      </w:r>
      <w:r w:rsidR="00FB6977" w:rsidRPr="007E1C53">
        <w:t>La</w:t>
      </w:r>
      <w:r w:rsidR="00045E82" w:rsidRPr="007E1C53">
        <w:t xml:space="preserve"> base de données </w:t>
      </w:r>
      <w:r w:rsidRPr="007E1C53">
        <w:t xml:space="preserve">WIPO </w:t>
      </w:r>
      <w:proofErr w:type="spellStart"/>
      <w:r w:rsidRPr="007E1C53">
        <w:t>Lex</w:t>
      </w:r>
      <w:proofErr w:type="spellEnd"/>
      <w:r w:rsidRPr="007E1C53">
        <w:t xml:space="preserve"> – Jugements devrait être proposé</w:t>
      </w:r>
      <w:r w:rsidR="00045E82" w:rsidRPr="007E1C53">
        <w:t>e</w:t>
      </w:r>
      <w:r w:rsidRPr="007E1C53">
        <w:t xml:space="preserve"> au public d</w:t>
      </w:r>
      <w:r w:rsidR="00940BD3">
        <w:t>’</w:t>
      </w:r>
      <w:r w:rsidRPr="007E1C53">
        <w:t>ici à la fin de l</w:t>
      </w:r>
      <w:r w:rsidR="00940BD3">
        <w:t>’</w:t>
      </w:r>
      <w:r w:rsidRPr="007E1C53">
        <w:t>année</w:t>
      </w:r>
      <w:r w:rsidR="00B57155" w:rsidRPr="007E1C53">
        <w:t> </w:t>
      </w:r>
      <w:r w:rsidRPr="007E1C53">
        <w:t>2020.</w:t>
      </w:r>
    </w:p>
    <w:p w:rsidR="009B6058" w:rsidRPr="00FF563E" w:rsidRDefault="006405DB" w:rsidP="00FF563E">
      <w:pPr>
        <w:pStyle w:val="Heading4"/>
      </w:pPr>
      <w:r w:rsidRPr="00FF563E">
        <w:t>Infrastructure technique</w:t>
      </w:r>
    </w:p>
    <w:p w:rsidR="00940BD3" w:rsidRDefault="006405DB" w:rsidP="00FF563E">
      <w:pPr>
        <w:pStyle w:val="Heading5"/>
      </w:pPr>
      <w:r w:rsidRPr="007E1C53">
        <w:t>Administration des offices de propriété intellectuelle</w:t>
      </w:r>
    </w:p>
    <w:p w:rsidR="00FF563E" w:rsidRDefault="00BA2E3E" w:rsidP="00FF563E">
      <w:pPr>
        <w:pStyle w:val="ONUMFS"/>
      </w:pPr>
      <w:r w:rsidRPr="007E1C53">
        <w:t>La plupart des pays disposent désormais de technologies de communication modernes, comme l</w:t>
      </w:r>
      <w:r w:rsidR="00940BD3">
        <w:t>’</w:t>
      </w:r>
      <w:r w:rsidRPr="007E1C53">
        <w:t>Internet et la téléphonie mobi</w:t>
      </w:r>
      <w:r w:rsidR="00FB6977" w:rsidRPr="007E1C53">
        <w:t>le</w:t>
      </w:r>
      <w:r w:rsidR="00FB6977">
        <w:t xml:space="preserve">.  </w:t>
      </w:r>
      <w:r w:rsidR="00FB6977" w:rsidRPr="007E1C53">
        <w:t>Ce</w:t>
      </w:r>
      <w:r w:rsidRPr="007E1C53">
        <w:t>pendant, les offices de propriété intellectuelle des pays en développement et</w:t>
      </w:r>
      <w:r w:rsidR="00940BD3" w:rsidRPr="007E1C53">
        <w:t xml:space="preserve"> des</w:t>
      </w:r>
      <w:r w:rsidR="00940BD3">
        <w:t> </w:t>
      </w:r>
      <w:r w:rsidR="00940BD3" w:rsidRPr="007E1C53">
        <w:t>PMA</w:t>
      </w:r>
      <w:r w:rsidRPr="007E1C53">
        <w:t xml:space="preserve"> n</w:t>
      </w:r>
      <w:r w:rsidR="00940BD3">
        <w:t>’</w:t>
      </w:r>
      <w:r w:rsidRPr="007E1C53">
        <w:t>ont pas encore tous la possibilité d</w:t>
      </w:r>
      <w:r w:rsidR="00940BD3">
        <w:t>’</w:t>
      </w:r>
      <w:r w:rsidRPr="007E1C53">
        <w:t xml:space="preserve">utiliser des systèmes et des outils informatiques plus </w:t>
      </w:r>
      <w:r w:rsidR="00045E82" w:rsidRPr="007E1C53">
        <w:t>perfectionn</w:t>
      </w:r>
      <w:r w:rsidR="00FB6977" w:rsidRPr="007E1C53">
        <w:t>és</w:t>
      </w:r>
      <w:r w:rsidR="00FB6977">
        <w:t xml:space="preserve">.  </w:t>
      </w:r>
      <w:r w:rsidR="00FB6977" w:rsidRPr="007E1C53">
        <w:t>Le</w:t>
      </w:r>
      <w:r w:rsidR="007A335A" w:rsidRPr="007E1C53">
        <w:t xml:space="preserve"> manque de données numériques de qualité sur les droits nationaux de propriété intellectuelle </w:t>
      </w:r>
      <w:r w:rsidR="00F949B9" w:rsidRPr="007E1C53">
        <w:t>demeure</w:t>
      </w:r>
      <w:r w:rsidR="007A335A" w:rsidRPr="007E1C53">
        <w:t xml:space="preserve"> le premier obstacle à surmonter, car la disponibilité de données de propriété intellectuelle étrangères sous forme numérique ne permet pas aux acteurs locaux de l</w:t>
      </w:r>
      <w:r w:rsidR="00940BD3">
        <w:t>’</w:t>
      </w:r>
      <w:r w:rsidR="007A335A" w:rsidRPr="007E1C53">
        <w:t>innovation et de l</w:t>
      </w:r>
      <w:r w:rsidR="00940BD3">
        <w:t>’</w:t>
      </w:r>
      <w:r w:rsidR="007A335A" w:rsidRPr="007E1C53">
        <w:t>industrie créative de tirer pleinement parti de leurs avantages et de leurs intérêts.</w:t>
      </w:r>
    </w:p>
    <w:p w:rsidR="009B6058" w:rsidRPr="007E1C53" w:rsidRDefault="00FC694F" w:rsidP="00FF563E">
      <w:pPr>
        <w:pStyle w:val="ONUMFS"/>
      </w:pPr>
      <w:r w:rsidRPr="007E1C53">
        <w:t xml:space="preserve">Les offices de propriété intellectuelle </w:t>
      </w:r>
      <w:r w:rsidR="009F4948" w:rsidRPr="007E1C53">
        <w:t xml:space="preserve">ont en commun une série </w:t>
      </w:r>
      <w:r w:rsidRPr="007E1C53">
        <w:t xml:space="preserve">de processus opérationnels </w:t>
      </w:r>
      <w:r w:rsidR="009F4948" w:rsidRPr="007E1C53">
        <w:t>dont ils</w:t>
      </w:r>
      <w:r w:rsidRPr="007E1C53">
        <w:t xml:space="preserve"> automatisent les </w:t>
      </w:r>
      <w:r w:rsidR="00241FD8" w:rsidRPr="007E1C53">
        <w:t>flux de travail</w:t>
      </w:r>
      <w:r w:rsidR="00F949B9" w:rsidRPr="007E1C53">
        <w:t xml:space="preserve"> </w:t>
      </w:r>
      <w:r w:rsidRPr="007E1C53">
        <w:t xml:space="preserve">en </w:t>
      </w:r>
      <w:r w:rsidR="009F4948" w:rsidRPr="007E1C53">
        <w:t>établissant</w:t>
      </w:r>
      <w:r w:rsidRPr="007E1C53">
        <w:t xml:space="preserve"> une gestion numérique des documents comprenant des étapes numériques pour la réception des demandes de titres de propriété intellectuelle </w:t>
      </w:r>
      <w:r w:rsidR="009F4948" w:rsidRPr="007E1C53">
        <w:t xml:space="preserve">déposées </w:t>
      </w:r>
      <w:r w:rsidRPr="007E1C53">
        <w:t xml:space="preserve">sous forme numérique, la gestion des </w:t>
      </w:r>
      <w:r w:rsidR="00241FD8" w:rsidRPr="007E1C53">
        <w:t>flux de travail</w:t>
      </w:r>
      <w:r w:rsidRPr="007E1C53">
        <w:t xml:space="preserve"> et des dossiers dans un environnement numérique, comme la recherche et l</w:t>
      </w:r>
      <w:r w:rsidR="00940BD3">
        <w:t>’</w:t>
      </w:r>
      <w:r w:rsidRPr="007E1C53">
        <w:t>examen, et la publication et la diffusion de données numériques de propriété intellectuelle pour un accès publ</w:t>
      </w:r>
      <w:r w:rsidR="00FB6977" w:rsidRPr="007E1C53">
        <w:t>ic</w:t>
      </w:r>
      <w:r w:rsidR="00FB6977">
        <w:t xml:space="preserve">.  </w:t>
      </w:r>
      <w:r w:rsidR="00FB6977" w:rsidRPr="007E1C53">
        <w:t>To</w:t>
      </w:r>
      <w:r w:rsidR="0019144D" w:rsidRPr="007E1C53">
        <w:t>utes ces étapes nécessitent l</w:t>
      </w:r>
      <w:r w:rsidR="00940BD3">
        <w:t>’</w:t>
      </w:r>
      <w:r w:rsidR="0019144D" w:rsidRPr="007E1C53">
        <w:t xml:space="preserve">appui des systèmes </w:t>
      </w:r>
      <w:r w:rsidR="00F949B9" w:rsidRPr="007E1C53">
        <w:t>informatiques</w:t>
      </w:r>
      <w:r w:rsidR="0019144D" w:rsidRPr="007E1C53">
        <w:t xml:space="preserve"> qui traitent les données numériques de propriété intellectuelle selon un format et une structure </w:t>
      </w:r>
      <w:proofErr w:type="gramStart"/>
      <w:r w:rsidR="0019144D" w:rsidRPr="007E1C53">
        <w:t>normalisés;  les</w:t>
      </w:r>
      <w:proofErr w:type="gramEnd"/>
      <w:r w:rsidR="0019144D" w:rsidRPr="007E1C53">
        <w:t xml:space="preserve"> États membres ont fait des efforts pour établir et </w:t>
      </w:r>
      <w:r w:rsidR="00F949B9" w:rsidRPr="007E1C53">
        <w:t>actualiser</w:t>
      </w:r>
      <w:r w:rsidR="0019144D" w:rsidRPr="007E1C53">
        <w:t xml:space="preserve"> des normes techniques de numérisation </w:t>
      </w:r>
      <w:r w:rsidR="009F4948" w:rsidRPr="007E1C53">
        <w:t>en tant que</w:t>
      </w:r>
      <w:r w:rsidR="0019144D" w:rsidRPr="007E1C53">
        <w:t xml:space="preserve"> normes de l</w:t>
      </w:r>
      <w:r w:rsidR="00940BD3">
        <w:t>’</w:t>
      </w:r>
      <w:proofErr w:type="spellStart"/>
      <w:r w:rsidR="0019144D" w:rsidRPr="007E1C53">
        <w:t>O</w:t>
      </w:r>
      <w:r w:rsidR="00FB6977" w:rsidRPr="007E1C53">
        <w:t>MPI</w:t>
      </w:r>
      <w:proofErr w:type="spellEnd"/>
      <w:r w:rsidR="00FB6977">
        <w:t xml:space="preserve">.  </w:t>
      </w:r>
      <w:r w:rsidR="00FB6977" w:rsidRPr="007E1C53">
        <w:t>Un</w:t>
      </w:r>
      <w:r w:rsidR="009F4948" w:rsidRPr="007E1C53">
        <w:t xml:space="preserve">e </w:t>
      </w:r>
      <w:r w:rsidR="0019144D" w:rsidRPr="007E1C53">
        <w:t>assistance dans ce domaine a été fournie par le Comité des normes de l</w:t>
      </w:r>
      <w:r w:rsidR="00940BD3">
        <w:t>’</w:t>
      </w:r>
      <w:proofErr w:type="spellStart"/>
      <w:r w:rsidR="0019144D" w:rsidRPr="007E1C53">
        <w:t>OMPI</w:t>
      </w:r>
      <w:proofErr w:type="spellEnd"/>
      <w:r w:rsidR="0019144D" w:rsidRPr="007E1C53">
        <w:t>.</w:t>
      </w:r>
    </w:p>
    <w:p w:rsidR="009B6058" w:rsidRPr="007E1C53" w:rsidRDefault="00146D27" w:rsidP="00665E34">
      <w:pPr>
        <w:pStyle w:val="Heading5"/>
      </w:pPr>
      <w:r w:rsidRPr="007E1C53">
        <w:t xml:space="preserve">Numérisation des données de propriété intellectuelle et création de données </w:t>
      </w:r>
      <w:r w:rsidR="009F4948" w:rsidRPr="007E1C53">
        <w:t xml:space="preserve">techniquement </w:t>
      </w:r>
      <w:r w:rsidRPr="007E1C53">
        <w:t xml:space="preserve">normalisées </w:t>
      </w:r>
      <w:r w:rsidR="009F4948" w:rsidRPr="007E1C53">
        <w:t>relatives aux</w:t>
      </w:r>
      <w:r w:rsidRPr="007E1C53">
        <w:t xml:space="preserve"> dossiers de propriété intellectuelle</w:t>
      </w:r>
    </w:p>
    <w:p w:rsidR="00665E34" w:rsidRDefault="00160D0F" w:rsidP="00665E34">
      <w:pPr>
        <w:pStyle w:val="ONUMFS"/>
      </w:pPr>
      <w:r w:rsidRPr="007E1C53">
        <w:t>Les normes de l</w:t>
      </w:r>
      <w:r w:rsidR="00940BD3">
        <w:t>’</w:t>
      </w:r>
      <w:proofErr w:type="spellStart"/>
      <w:r w:rsidRPr="007E1C53">
        <w:t>OMPI</w:t>
      </w:r>
      <w:proofErr w:type="spellEnd"/>
      <w:r w:rsidRPr="007E1C53">
        <w:t xml:space="preserve"> constituent un cadre commun pour les données, les informations et la documentation en matière de propriété intellectuelle permettant aux offices de propriété intellectuelle et aux autres parties prenantes du monde entier de travailler de manière plus efficace, coordonnée et rapi</w:t>
      </w:r>
      <w:r w:rsidR="00FB6977" w:rsidRPr="007E1C53">
        <w:t>de</w:t>
      </w:r>
      <w:r w:rsidR="00FB6977">
        <w:t xml:space="preserve">.  </w:t>
      </w:r>
      <w:r w:rsidR="00FB6977" w:rsidRPr="007E1C53">
        <w:t>Ce</w:t>
      </w:r>
      <w:r w:rsidRPr="007E1C53">
        <w:t xml:space="preserve"> cadre </w:t>
      </w:r>
      <w:r w:rsidR="00F949B9" w:rsidRPr="007E1C53">
        <w:t>favorise</w:t>
      </w:r>
      <w:r w:rsidRPr="007E1C53">
        <w:t xml:space="preserve"> </w:t>
      </w:r>
      <w:r w:rsidR="009F4948" w:rsidRPr="007E1C53">
        <w:t>une meilleure</w:t>
      </w:r>
      <w:r w:rsidRPr="007E1C53">
        <w:t xml:space="preserve"> diffusion de l</w:t>
      </w:r>
      <w:r w:rsidR="00940BD3">
        <w:t>’</w:t>
      </w:r>
      <w:r w:rsidRPr="007E1C53">
        <w:t>information en matière de propriété intellectuel</w:t>
      </w:r>
      <w:r w:rsidR="00FB6977" w:rsidRPr="007E1C53">
        <w:t>le</w:t>
      </w:r>
      <w:r w:rsidR="00FB6977">
        <w:t xml:space="preserve">.  </w:t>
      </w:r>
      <w:r w:rsidR="00FB6977" w:rsidRPr="007E1C53">
        <w:t>En</w:t>
      </w:r>
      <w:r w:rsidRPr="007E1C53">
        <w:t xml:space="preserve"> d</w:t>
      </w:r>
      <w:r w:rsidR="00940BD3">
        <w:t>’</w:t>
      </w:r>
      <w:r w:rsidRPr="007E1C53">
        <w:t>autres termes, les normes de l</w:t>
      </w:r>
      <w:r w:rsidR="00940BD3">
        <w:t>’</w:t>
      </w:r>
      <w:proofErr w:type="spellStart"/>
      <w:r w:rsidRPr="007E1C53">
        <w:t>OMPI</w:t>
      </w:r>
      <w:proofErr w:type="spellEnd"/>
      <w:r w:rsidRPr="007E1C53">
        <w:t xml:space="preserve"> aident les </w:t>
      </w:r>
      <w:r w:rsidRPr="007E1C53">
        <w:lastRenderedPageBreak/>
        <w:t xml:space="preserve">utilisateurs des systèmes de propriété intellectuelle à </w:t>
      </w:r>
      <w:r w:rsidR="00F949B9" w:rsidRPr="007E1C53">
        <w:t>accéder plus facilement</w:t>
      </w:r>
      <w:r w:rsidRPr="007E1C53">
        <w:t xml:space="preserve"> aux données et informations de propriété intellectuelle dans l</w:t>
      </w:r>
      <w:r w:rsidR="00940BD3">
        <w:t>’</w:t>
      </w:r>
      <w:r w:rsidRPr="007E1C53">
        <w:t>environnement numérique et à les utiliser plus efficacement.</w:t>
      </w:r>
    </w:p>
    <w:p w:rsidR="00940BD3" w:rsidRDefault="00D41DEA" w:rsidP="00665E34">
      <w:pPr>
        <w:pStyle w:val="ONUMFS"/>
      </w:pPr>
      <w:r w:rsidRPr="007E1C53">
        <w:t>Toutes les normes de l</w:t>
      </w:r>
      <w:r w:rsidR="00940BD3">
        <w:t>’</w:t>
      </w:r>
      <w:proofErr w:type="spellStart"/>
      <w:r w:rsidRPr="007E1C53">
        <w:t>OMPI</w:t>
      </w:r>
      <w:proofErr w:type="spellEnd"/>
      <w:r w:rsidRPr="007E1C53">
        <w:t xml:space="preserve"> sont élaborées à la suite de </w:t>
      </w:r>
      <w:r w:rsidR="0065289F" w:rsidRPr="007E1C53">
        <w:t>discussions</w:t>
      </w:r>
      <w:r w:rsidR="00497903" w:rsidRPr="007E1C53">
        <w:t xml:space="preserve"> entre</w:t>
      </w:r>
      <w:r w:rsidRPr="007E1C53">
        <w:t xml:space="preserve"> des experts des offices de propriété intellectuelle et du secteur de la propriété intellectuelle sur la base des pratiques recommandées dans la communauté de la propriété intellectuel</w:t>
      </w:r>
      <w:r w:rsidR="00FB6977" w:rsidRPr="007E1C53">
        <w:t>le</w:t>
      </w:r>
      <w:r w:rsidR="00FB6977">
        <w:t xml:space="preserve">.  </w:t>
      </w:r>
      <w:r w:rsidR="00FB6977" w:rsidRPr="007E1C53">
        <w:t>Un</w:t>
      </w:r>
      <w:r w:rsidR="00497903" w:rsidRPr="007E1C53">
        <w:t>e quinzaine d</w:t>
      </w:r>
      <w:r w:rsidR="00940BD3">
        <w:t>’</w:t>
      </w:r>
      <w:r w:rsidRPr="007E1C53">
        <w:t>équipes d</w:t>
      </w:r>
      <w:r w:rsidR="00940BD3">
        <w:t>’</w:t>
      </w:r>
      <w:r w:rsidRPr="007E1C53">
        <w:t xml:space="preserve">experts </w:t>
      </w:r>
      <w:r w:rsidR="00497903" w:rsidRPr="007E1C53">
        <w:t>rattachées</w:t>
      </w:r>
      <w:r w:rsidRPr="007E1C53">
        <w:t xml:space="preserve"> </w:t>
      </w:r>
      <w:r w:rsidR="00497903" w:rsidRPr="007E1C53">
        <w:t>a</w:t>
      </w:r>
      <w:r w:rsidRPr="007E1C53">
        <w:t>u Comité des normes de l</w:t>
      </w:r>
      <w:r w:rsidR="00940BD3">
        <w:t>’</w:t>
      </w:r>
      <w:proofErr w:type="spellStart"/>
      <w:r w:rsidRPr="007E1C53">
        <w:t>OMPI</w:t>
      </w:r>
      <w:proofErr w:type="spellEnd"/>
      <w:r w:rsidRPr="007E1C53">
        <w:t xml:space="preserve"> (</w:t>
      </w:r>
      <w:proofErr w:type="spellStart"/>
      <w:r w:rsidRPr="007E1C53">
        <w:t>CWS</w:t>
      </w:r>
      <w:proofErr w:type="spellEnd"/>
      <w:r w:rsidRPr="007E1C53">
        <w:t xml:space="preserve">) jouent un rôle </w:t>
      </w:r>
      <w:proofErr w:type="gramStart"/>
      <w:r w:rsidRPr="007E1C53">
        <w:t>actif</w:t>
      </w:r>
      <w:r w:rsidR="003E72C5" w:rsidRPr="007E1C53">
        <w:t xml:space="preserve">; </w:t>
      </w:r>
      <w:r w:rsidRPr="007E1C53">
        <w:t xml:space="preserve"> la</w:t>
      </w:r>
      <w:proofErr w:type="gramEnd"/>
      <w:r w:rsidRPr="007E1C53">
        <w:t xml:space="preserve"> participation</w:t>
      </w:r>
      <w:r w:rsidR="00940BD3" w:rsidRPr="007E1C53">
        <w:t xml:space="preserve"> au</w:t>
      </w:r>
      <w:r w:rsidR="00940BD3">
        <w:t> </w:t>
      </w:r>
      <w:proofErr w:type="spellStart"/>
      <w:r w:rsidR="00940BD3" w:rsidRPr="007E1C53">
        <w:t>CWS</w:t>
      </w:r>
      <w:proofErr w:type="spellEnd"/>
      <w:r w:rsidRPr="007E1C53">
        <w:t xml:space="preserve"> et aux équipes d</w:t>
      </w:r>
      <w:r w:rsidR="00940BD3">
        <w:t>’</w:t>
      </w:r>
      <w:r w:rsidRPr="007E1C53">
        <w:t>experts permet d</w:t>
      </w:r>
      <w:r w:rsidR="00940BD3">
        <w:t>’</w:t>
      </w:r>
      <w:r w:rsidRPr="007E1C53">
        <w:t>approfondir les connaissances sur les normes de l</w:t>
      </w:r>
      <w:r w:rsidR="00940BD3">
        <w:t>’</w:t>
      </w:r>
      <w:proofErr w:type="spellStart"/>
      <w:r w:rsidRPr="007E1C53">
        <w:t>OMPI</w:t>
      </w:r>
      <w:proofErr w:type="spellEnd"/>
      <w:r w:rsidRPr="007E1C53">
        <w:t xml:space="preserve">, </w:t>
      </w:r>
      <w:r w:rsidR="003E72C5" w:rsidRPr="007E1C53">
        <w:t>de savoir</w:t>
      </w:r>
      <w:r w:rsidRPr="007E1C53">
        <w:t xml:space="preserve"> comment elles sont utilisées par les différents offices de propriété intellectuelle et de rendre compte d</w:t>
      </w:r>
      <w:r w:rsidR="003E72C5" w:rsidRPr="007E1C53">
        <w:t>e l</w:t>
      </w:r>
      <w:r w:rsidR="00940BD3">
        <w:t>’</w:t>
      </w:r>
      <w:r w:rsidR="003E72C5" w:rsidRPr="007E1C53">
        <w:t xml:space="preserve">application des </w:t>
      </w:r>
      <w:r w:rsidRPr="007E1C53">
        <w:t>normes par les offic</w:t>
      </w:r>
      <w:r w:rsidR="00FB6977" w:rsidRPr="007E1C53">
        <w:t>es</w:t>
      </w:r>
      <w:r w:rsidR="00FB6977">
        <w:t xml:space="preserve">.  </w:t>
      </w:r>
      <w:r w:rsidR="00FB6977" w:rsidRPr="007E1C53">
        <w:t>La</w:t>
      </w:r>
      <w:r w:rsidR="00FD4671" w:rsidRPr="007E1C53">
        <w:t xml:space="preserve"> participation </w:t>
      </w:r>
      <w:r w:rsidR="0065289F" w:rsidRPr="007E1C53">
        <w:t>aux réunions</w:t>
      </w:r>
      <w:r w:rsidR="00940BD3" w:rsidRPr="007E1C53">
        <w:t xml:space="preserve"> du</w:t>
      </w:r>
      <w:r w:rsidR="00940BD3">
        <w:t> </w:t>
      </w:r>
      <w:proofErr w:type="spellStart"/>
      <w:r w:rsidR="00940BD3" w:rsidRPr="007E1C53">
        <w:t>CWS</w:t>
      </w:r>
      <w:proofErr w:type="spellEnd"/>
      <w:r w:rsidR="0065289F" w:rsidRPr="007E1C53">
        <w:t xml:space="preserve"> </w:t>
      </w:r>
      <w:r w:rsidR="00FD4671" w:rsidRPr="007E1C53">
        <w:t>de plusieurs délégués issus des pays en développement et</w:t>
      </w:r>
      <w:r w:rsidR="00940BD3" w:rsidRPr="007E1C53">
        <w:t xml:space="preserve"> des</w:t>
      </w:r>
      <w:r w:rsidR="00940BD3">
        <w:t> </w:t>
      </w:r>
      <w:r w:rsidR="00940BD3" w:rsidRPr="007E1C53">
        <w:t>PMA</w:t>
      </w:r>
      <w:r w:rsidR="00FD4671" w:rsidRPr="007E1C53">
        <w:t xml:space="preserve"> </w:t>
      </w:r>
      <w:r w:rsidR="003E72C5" w:rsidRPr="007E1C53">
        <w:t>a continué d</w:t>
      </w:r>
      <w:r w:rsidR="00940BD3">
        <w:t>’</w:t>
      </w:r>
      <w:r w:rsidR="003E72C5" w:rsidRPr="007E1C53">
        <w:t xml:space="preserve">être financée </w:t>
      </w:r>
      <w:r w:rsidR="0065289F" w:rsidRPr="007E1C53">
        <w:t xml:space="preserve">durant les </w:t>
      </w:r>
      <w:r w:rsidR="00FD4671" w:rsidRPr="007E1C53">
        <w:t>deux</w:t>
      </w:r>
      <w:r w:rsidR="005274F0">
        <w:t> </w:t>
      </w:r>
      <w:r w:rsidR="00FD4671" w:rsidRPr="007E1C53">
        <w:t xml:space="preserve">exercices biennaux afin de réduire le fossé </w:t>
      </w:r>
      <w:r w:rsidR="0065289F" w:rsidRPr="007E1C53">
        <w:t>entre les pays en matière de</w:t>
      </w:r>
      <w:r w:rsidR="00FD4671" w:rsidRPr="007E1C53">
        <w:t xml:space="preserve"> connaissances </w:t>
      </w:r>
      <w:r w:rsidR="0065289F" w:rsidRPr="007E1C53">
        <w:t>sur les</w:t>
      </w:r>
      <w:r w:rsidR="00FD4671" w:rsidRPr="007E1C53">
        <w:t xml:space="preserve"> normes techniques dans l</w:t>
      </w:r>
      <w:r w:rsidR="00940BD3">
        <w:t>’</w:t>
      </w:r>
      <w:r w:rsidR="00FD4671" w:rsidRPr="007E1C53">
        <w:t>environnement numériq</w:t>
      </w:r>
      <w:r w:rsidR="00FB6977" w:rsidRPr="007E1C53">
        <w:t>ue</w:t>
      </w:r>
      <w:r w:rsidR="00FB6977">
        <w:t xml:space="preserve">.  </w:t>
      </w:r>
      <w:r w:rsidR="00FB6977" w:rsidRPr="007E1C53">
        <w:t>Te</w:t>
      </w:r>
      <w:r w:rsidR="00FD4671" w:rsidRPr="007E1C53">
        <w:t>nant compte de l</w:t>
      </w:r>
      <w:r w:rsidR="00940BD3">
        <w:t>’</w:t>
      </w:r>
      <w:r w:rsidR="00FD4671" w:rsidRPr="007E1C53">
        <w:t xml:space="preserve">évaluation actuelle des </w:t>
      </w:r>
      <w:r w:rsidR="003E72C5" w:rsidRPr="007E1C53">
        <w:t xml:space="preserve">nouvelles </w:t>
      </w:r>
      <w:r w:rsidR="00FD4671" w:rsidRPr="007E1C53">
        <w:t>technologies,</w:t>
      </w:r>
      <w:r w:rsidR="00940BD3" w:rsidRPr="007E1C53">
        <w:t xml:space="preserve"> le</w:t>
      </w:r>
      <w:r w:rsidR="00940BD3">
        <w:t> </w:t>
      </w:r>
      <w:proofErr w:type="spellStart"/>
      <w:r w:rsidR="00940BD3" w:rsidRPr="007E1C53">
        <w:t>CWS</w:t>
      </w:r>
      <w:proofErr w:type="spellEnd"/>
      <w:r w:rsidR="00FD4671" w:rsidRPr="007E1C53">
        <w:t xml:space="preserve"> a récemment créé l</w:t>
      </w:r>
      <w:r w:rsidR="00940BD3">
        <w:t>’</w:t>
      </w:r>
      <w:r w:rsidR="00FD4671" w:rsidRPr="007E1C53">
        <w:t>Équipe d</w:t>
      </w:r>
      <w:r w:rsidR="00940BD3">
        <w:t>’</w:t>
      </w:r>
      <w:r w:rsidR="00FD4671" w:rsidRPr="007E1C53">
        <w:t>experts chargée de la chaîne de blocs et l</w:t>
      </w:r>
      <w:r w:rsidR="00940BD3">
        <w:t>’</w:t>
      </w:r>
      <w:r w:rsidR="00FD4671" w:rsidRPr="007E1C53">
        <w:t>Équipe d</w:t>
      </w:r>
      <w:r w:rsidR="00940BD3">
        <w:t>’</w:t>
      </w:r>
      <w:r w:rsidR="00FD4671" w:rsidRPr="007E1C53">
        <w:t>experts chargée de la transformation numériq</w:t>
      </w:r>
      <w:r w:rsidR="00FB6977" w:rsidRPr="007E1C53">
        <w:t>ue</w:t>
      </w:r>
      <w:r w:rsidR="00FB6977">
        <w:t xml:space="preserve">.  </w:t>
      </w:r>
      <w:r w:rsidR="00FB6977" w:rsidRPr="007E1C53">
        <w:t>L</w:t>
      </w:r>
      <w:r w:rsidR="00FB6977">
        <w:t>’</w:t>
      </w:r>
      <w:r w:rsidR="00FB6977" w:rsidRPr="007E1C53">
        <w:t>e</w:t>
      </w:r>
      <w:r w:rsidR="00FD4671" w:rsidRPr="007E1C53">
        <w:t>nsemble des États membres peut participer à toutes ces équipes d</w:t>
      </w:r>
      <w:r w:rsidR="00940BD3">
        <w:t>’</w:t>
      </w:r>
      <w:r w:rsidR="00FD4671" w:rsidRPr="007E1C53">
        <w:t>experts.</w:t>
      </w:r>
    </w:p>
    <w:p w:rsidR="00665E34" w:rsidRDefault="00701EF7" w:rsidP="00665E34">
      <w:pPr>
        <w:pStyle w:val="ONUMFS"/>
      </w:pPr>
      <w:r w:rsidRPr="007E1C53">
        <w:t>Les normes de l</w:t>
      </w:r>
      <w:r w:rsidR="00940BD3">
        <w:t>’</w:t>
      </w:r>
      <w:proofErr w:type="spellStart"/>
      <w:r w:rsidRPr="007E1C53">
        <w:t>OMPI</w:t>
      </w:r>
      <w:proofErr w:type="spellEnd"/>
      <w:r w:rsidRPr="007E1C53">
        <w:t xml:space="preserve"> sont publiées </w:t>
      </w:r>
      <w:r w:rsidR="0065289F" w:rsidRPr="007E1C53">
        <w:t>dans le Manuel de l</w:t>
      </w:r>
      <w:r w:rsidR="00940BD3">
        <w:t>’</w:t>
      </w:r>
      <w:proofErr w:type="spellStart"/>
      <w:r w:rsidR="0065289F" w:rsidRPr="007E1C53">
        <w:t>OMPI</w:t>
      </w:r>
      <w:proofErr w:type="spellEnd"/>
      <w:r w:rsidR="0065289F" w:rsidRPr="007E1C53">
        <w:t xml:space="preserve"> figurant </w:t>
      </w:r>
      <w:r w:rsidRPr="007E1C53">
        <w:t>sur le site</w:t>
      </w:r>
      <w:r w:rsidR="005274F0">
        <w:t> </w:t>
      </w:r>
      <w:r w:rsidR="00FD6829" w:rsidRPr="007E1C53">
        <w:t>W</w:t>
      </w:r>
      <w:r w:rsidRPr="007E1C53">
        <w:t>eb de l</w:t>
      </w:r>
      <w:r w:rsidR="00940BD3">
        <w:t>’</w:t>
      </w:r>
      <w:r w:rsidRPr="007E1C53">
        <w:t>O</w:t>
      </w:r>
      <w:r w:rsidR="0065289F" w:rsidRPr="007E1C53">
        <w:t xml:space="preserve">rganisation </w:t>
      </w:r>
      <w:r w:rsidRPr="007E1C53">
        <w:t xml:space="preserve">afin que toute </w:t>
      </w:r>
      <w:r w:rsidR="00FE7CA9" w:rsidRPr="007E1C53">
        <w:t xml:space="preserve">personne </w:t>
      </w:r>
      <w:r w:rsidRPr="007E1C53">
        <w:t>intéressée puisse les utiliser librement pour améliorer ses pratiques opérationnelles et son traitement des données en suivant les pratiques recommandées définies par les normes de l</w:t>
      </w:r>
      <w:r w:rsidR="00940BD3">
        <w:t>’</w:t>
      </w:r>
      <w:proofErr w:type="spellStart"/>
      <w:r w:rsidRPr="007E1C53">
        <w:t>O</w:t>
      </w:r>
      <w:r w:rsidR="00FB6977" w:rsidRPr="007E1C53">
        <w:t>MPI</w:t>
      </w:r>
      <w:proofErr w:type="spellEnd"/>
      <w:r w:rsidR="00FB6977">
        <w:t xml:space="preserve">.  </w:t>
      </w:r>
      <w:r w:rsidR="00FB6977" w:rsidRPr="007E1C53">
        <w:t>Po</w:t>
      </w:r>
      <w:r w:rsidR="00FC0CB2" w:rsidRPr="007E1C53">
        <w:t xml:space="preserve">ur </w:t>
      </w:r>
      <w:r w:rsidR="00FE7CA9" w:rsidRPr="007E1C53">
        <w:t xml:space="preserve">réduire les disparités en matière de </w:t>
      </w:r>
      <w:r w:rsidR="00FC0CB2" w:rsidRPr="007E1C53">
        <w:t>compréhension du rôle des normes de l</w:t>
      </w:r>
      <w:r w:rsidR="00940BD3">
        <w:t>’</w:t>
      </w:r>
      <w:r w:rsidR="00FC0CB2" w:rsidRPr="007E1C53">
        <w:t>O</w:t>
      </w:r>
      <w:r w:rsidR="00411522" w:rsidRPr="007E1C53">
        <w:t>rganisation</w:t>
      </w:r>
      <w:r w:rsidR="00FC0CB2" w:rsidRPr="007E1C53">
        <w:t>, le Secrétariat de l</w:t>
      </w:r>
      <w:r w:rsidR="00940BD3">
        <w:t>’</w:t>
      </w:r>
      <w:proofErr w:type="spellStart"/>
      <w:r w:rsidR="00FC0CB2" w:rsidRPr="007E1C53">
        <w:t>OMPI</w:t>
      </w:r>
      <w:proofErr w:type="spellEnd"/>
      <w:r w:rsidR="00FC0CB2" w:rsidRPr="007E1C53">
        <w:t xml:space="preserve"> a amélioré son site</w:t>
      </w:r>
      <w:r w:rsidR="005274F0">
        <w:t> </w:t>
      </w:r>
      <w:r w:rsidR="00FC0CB2" w:rsidRPr="007E1C53">
        <w:t>Web consacré aux normes et ses ressources, notamment la brochure sur les normes de l</w:t>
      </w:r>
      <w:r w:rsidR="00940BD3">
        <w:t>’</w:t>
      </w:r>
      <w:proofErr w:type="spellStart"/>
      <w:r w:rsidR="00FC0CB2" w:rsidRPr="007E1C53">
        <w:t>OMPI</w:t>
      </w:r>
      <w:proofErr w:type="spellEnd"/>
      <w:r w:rsidR="00FC0CB2" w:rsidRPr="007E1C53">
        <w:t xml:space="preserve"> </w:t>
      </w:r>
      <w:r w:rsidR="00940BD3" w:rsidRPr="007E1C53">
        <w:t>en</w:t>
      </w:r>
      <w:r w:rsidR="00940BD3">
        <w:t> </w:t>
      </w:r>
      <w:r w:rsidR="00940BD3" w:rsidRPr="007E1C53">
        <w:t>2017</w:t>
      </w:r>
      <w:r w:rsidR="00FC0CB2" w:rsidRPr="007E1C53">
        <w:t>.</w:t>
      </w:r>
    </w:p>
    <w:p w:rsidR="009B6058" w:rsidRPr="007E1C53" w:rsidRDefault="00411522" w:rsidP="00665E34">
      <w:pPr>
        <w:pStyle w:val="ONUMFS"/>
      </w:pPr>
      <w:r w:rsidRPr="007E1C53">
        <w:t>La mise à disposition gratuite d</w:t>
      </w:r>
      <w:r w:rsidR="00940BD3">
        <w:t>’</w:t>
      </w:r>
      <w:r w:rsidRPr="007E1C53">
        <w:t>outils et de services de l</w:t>
      </w:r>
      <w:r w:rsidR="00940BD3">
        <w:t>’</w:t>
      </w:r>
      <w:proofErr w:type="spellStart"/>
      <w:r w:rsidRPr="007E1C53">
        <w:t>OMPI</w:t>
      </w:r>
      <w:proofErr w:type="spellEnd"/>
      <w:r w:rsidRPr="007E1C53">
        <w:t xml:space="preserve"> fonctionnant selon les normes pertinentes de l</w:t>
      </w:r>
      <w:r w:rsidR="00940BD3">
        <w:t>’</w:t>
      </w:r>
      <w:r w:rsidRPr="007E1C53">
        <w:t>Organisation constitue une aide pour l</w:t>
      </w:r>
      <w:r w:rsidR="00940BD3">
        <w:t>’</w:t>
      </w:r>
      <w:r w:rsidRPr="007E1C53">
        <w:t xml:space="preserve">application </w:t>
      </w:r>
      <w:r w:rsidR="00FC0CB2" w:rsidRPr="007E1C53">
        <w:t>des normes de l</w:t>
      </w:r>
      <w:r w:rsidR="00940BD3">
        <w:t>’</w:t>
      </w:r>
      <w:proofErr w:type="spellStart"/>
      <w:r w:rsidR="00FC0CB2" w:rsidRPr="007E1C53">
        <w:t>O</w:t>
      </w:r>
      <w:r w:rsidR="00FB6977" w:rsidRPr="007E1C53">
        <w:t>MPI</w:t>
      </w:r>
      <w:proofErr w:type="spellEnd"/>
      <w:r w:rsidR="00FB6977">
        <w:t xml:space="preserve">.  </w:t>
      </w:r>
      <w:r w:rsidR="00FB6977" w:rsidRPr="007E1C53">
        <w:t>Il</w:t>
      </w:r>
      <w:r w:rsidR="00781FB2" w:rsidRPr="007E1C53">
        <w:t xml:space="preserve"> s</w:t>
      </w:r>
      <w:r w:rsidR="00940BD3">
        <w:t>’</w:t>
      </w:r>
      <w:r w:rsidR="00781FB2" w:rsidRPr="007E1C53">
        <w:t xml:space="preserve">agit, par exemple, du </w:t>
      </w:r>
      <w:r w:rsidR="00FE7CA9" w:rsidRPr="007E1C53">
        <w:t xml:space="preserve">progiciel </w:t>
      </w:r>
      <w:proofErr w:type="spellStart"/>
      <w:r w:rsidR="004933BE" w:rsidRPr="007E1C53">
        <w:t>IPAS</w:t>
      </w:r>
      <w:proofErr w:type="spellEnd"/>
      <w:r w:rsidR="004933BE" w:rsidRPr="007E1C53">
        <w:t xml:space="preserve"> </w:t>
      </w:r>
      <w:r w:rsidR="00FE7CA9" w:rsidRPr="007E1C53">
        <w:t>de l</w:t>
      </w:r>
      <w:r w:rsidR="00940BD3">
        <w:t>’</w:t>
      </w:r>
      <w:proofErr w:type="spellStart"/>
      <w:r w:rsidR="00FE7CA9" w:rsidRPr="007E1C53">
        <w:t>OMPI</w:t>
      </w:r>
      <w:proofErr w:type="spellEnd"/>
      <w:r w:rsidR="00FE7CA9" w:rsidRPr="007E1C53">
        <w:t xml:space="preserve"> </w:t>
      </w:r>
      <w:r w:rsidR="004933BE" w:rsidRPr="007E1C53">
        <w:t>pour l</w:t>
      </w:r>
      <w:r w:rsidR="00FE7CA9" w:rsidRPr="007E1C53">
        <w:t xml:space="preserve">es offices de propriété intellectuelle </w:t>
      </w:r>
      <w:r w:rsidR="00781FB2" w:rsidRPr="007E1C53">
        <w:t>(voir ci</w:t>
      </w:r>
      <w:r w:rsidR="00940BD3">
        <w:t>-</w:t>
      </w:r>
      <w:r w:rsidR="00781FB2" w:rsidRPr="007E1C53">
        <w:t>dessous), qui intègre les normes de l</w:t>
      </w:r>
      <w:r w:rsidR="00940BD3">
        <w:t>’</w:t>
      </w:r>
      <w:proofErr w:type="spellStart"/>
      <w:r w:rsidR="00781FB2" w:rsidRPr="007E1C53">
        <w:t>OMPI</w:t>
      </w:r>
      <w:proofErr w:type="spellEnd"/>
      <w:r w:rsidR="00781FB2" w:rsidRPr="007E1C53">
        <w:t xml:space="preserve"> en matière de structur</w:t>
      </w:r>
      <w:r w:rsidR="00FE7CA9" w:rsidRPr="007E1C53">
        <w:t>e et de format</w:t>
      </w:r>
      <w:r w:rsidR="00781FB2" w:rsidRPr="007E1C53">
        <w:t xml:space="preserve"> des données de propriété intellectuelle, et du logiciel WIPO </w:t>
      </w:r>
      <w:proofErr w:type="spellStart"/>
      <w:r w:rsidR="00781FB2" w:rsidRPr="007E1C53">
        <w:t>Sequence</w:t>
      </w:r>
      <w:proofErr w:type="spellEnd"/>
      <w:r w:rsidR="00781FB2" w:rsidRPr="007E1C53">
        <w:t xml:space="preserve"> pour la numérisation des données </w:t>
      </w:r>
      <w:r w:rsidR="00FE7CA9" w:rsidRPr="007E1C53">
        <w:t>relatives au</w:t>
      </w:r>
      <w:r w:rsidR="00781FB2" w:rsidRPr="007E1C53">
        <w:t xml:space="preserve"> listage de</w:t>
      </w:r>
      <w:r w:rsidR="00FE7CA9" w:rsidRPr="007E1C53">
        <w:t>s</w:t>
      </w:r>
      <w:r w:rsidR="00781FB2" w:rsidRPr="007E1C53">
        <w:t xml:space="preserve"> séquences de nucléotides et d</w:t>
      </w:r>
      <w:r w:rsidR="00940BD3">
        <w:t>’</w:t>
      </w:r>
      <w:r w:rsidR="00781FB2" w:rsidRPr="007E1C53">
        <w:t>acides aminés en format XML conformément à la norme</w:t>
      </w:r>
      <w:r w:rsidR="00B57155" w:rsidRPr="007E1C53">
        <w:t> </w:t>
      </w:r>
      <w:proofErr w:type="spellStart"/>
      <w:r w:rsidR="00781FB2" w:rsidRPr="007E1C53">
        <w:t>ST.26</w:t>
      </w:r>
      <w:proofErr w:type="spellEnd"/>
      <w:r w:rsidR="00781FB2" w:rsidRPr="007E1C53">
        <w:t xml:space="preserve"> de l</w:t>
      </w:r>
      <w:r w:rsidR="00940BD3">
        <w:t>’</w:t>
      </w:r>
      <w:proofErr w:type="spellStart"/>
      <w:r w:rsidR="00781FB2" w:rsidRPr="007E1C53">
        <w:t>OMPI</w:t>
      </w:r>
      <w:proofErr w:type="spellEnd"/>
      <w:r w:rsidR="00781FB2" w:rsidRPr="007E1C53">
        <w:t xml:space="preserve"> aux fins du dépôt et du traitement des demandes de brevet contenant ce listage.</w:t>
      </w:r>
    </w:p>
    <w:p w:rsidR="009B6058" w:rsidRPr="007E1C53" w:rsidRDefault="00781FB2" w:rsidP="00665E34">
      <w:pPr>
        <w:pStyle w:val="Heading5"/>
      </w:pPr>
      <w:r w:rsidRPr="007E1C53">
        <w:t>Aide à la création de données numériques de propriété intellectuelle</w:t>
      </w:r>
    </w:p>
    <w:p w:rsidR="00940BD3" w:rsidRDefault="00B05E22" w:rsidP="00665E34">
      <w:pPr>
        <w:pStyle w:val="ONUMFS"/>
      </w:pPr>
      <w:r w:rsidRPr="007E1C53">
        <w:t>Le Secrétariat de l</w:t>
      </w:r>
      <w:r w:rsidR="00940BD3">
        <w:t>’</w:t>
      </w:r>
      <w:proofErr w:type="spellStart"/>
      <w:r w:rsidRPr="007E1C53">
        <w:t>OMPI</w:t>
      </w:r>
      <w:proofErr w:type="spellEnd"/>
      <w:r w:rsidRPr="007E1C53">
        <w:t xml:space="preserve"> doit répondre à la demande d</w:t>
      </w:r>
      <w:r w:rsidR="00940BD3">
        <w:t>’</w:t>
      </w:r>
      <w:r w:rsidRPr="007E1C53">
        <w:t>assistance technique pour la numérisation des données nationales de propriété intellectuelle d</w:t>
      </w:r>
      <w:r w:rsidR="009F248E" w:rsidRPr="007E1C53">
        <w:t>es offices de propriété intellectuelle des pays en développement et</w:t>
      </w:r>
      <w:r w:rsidR="00940BD3" w:rsidRPr="007E1C53">
        <w:t xml:space="preserve"> des</w:t>
      </w:r>
      <w:r w:rsidR="00940BD3">
        <w:t> </w:t>
      </w:r>
      <w:r w:rsidR="00940BD3" w:rsidRPr="007E1C53">
        <w:t>PMA</w:t>
      </w:r>
      <w:r w:rsidR="009F248E" w:rsidRPr="007E1C53">
        <w:t xml:space="preserve"> qui n</w:t>
      </w:r>
      <w:r w:rsidR="00940BD3">
        <w:t>’</w:t>
      </w:r>
      <w:r w:rsidR="009F248E" w:rsidRPr="007E1C53">
        <w:t>ont peut</w:t>
      </w:r>
      <w:r w:rsidR="00940BD3">
        <w:t>-</w:t>
      </w:r>
      <w:r w:rsidR="009F248E" w:rsidRPr="007E1C53">
        <w:t xml:space="preserve">être pas </w:t>
      </w:r>
      <w:r w:rsidR="00FE7CA9" w:rsidRPr="007E1C53">
        <w:t>les</w:t>
      </w:r>
      <w:r w:rsidR="009F248E" w:rsidRPr="007E1C53">
        <w:t xml:space="preserve"> ressources et </w:t>
      </w:r>
      <w:r w:rsidR="00FE7CA9" w:rsidRPr="007E1C53">
        <w:t xml:space="preserve">les </w:t>
      </w:r>
      <w:r w:rsidR="009F248E" w:rsidRPr="007E1C53">
        <w:t xml:space="preserve">compétences </w:t>
      </w:r>
      <w:r w:rsidR="00FE7CA9" w:rsidRPr="007E1C53">
        <w:t xml:space="preserve">nécessaires </w:t>
      </w:r>
      <w:r w:rsidR="009F248E" w:rsidRPr="007E1C53">
        <w:t>pour établir leurs données sous forme numériq</w:t>
      </w:r>
      <w:r w:rsidR="00FB6977" w:rsidRPr="007E1C53">
        <w:t>ue</w:t>
      </w:r>
      <w:r w:rsidR="00FB6977">
        <w:t xml:space="preserve">.  </w:t>
      </w:r>
      <w:r w:rsidR="00FB6977" w:rsidRPr="007E1C53">
        <w:t>De</w:t>
      </w:r>
      <w:r w:rsidR="00181DC3" w:rsidRPr="007E1C53">
        <w:t>ux</w:t>
      </w:r>
      <w:r w:rsidR="005274F0">
        <w:t> </w:t>
      </w:r>
      <w:r w:rsidRPr="007E1C53">
        <w:t>méthodes peuvent être suivi</w:t>
      </w:r>
      <w:r w:rsidR="00FB6977" w:rsidRPr="007E1C53">
        <w:t>es</w:t>
      </w:r>
      <w:r w:rsidR="00FB6977">
        <w:t xml:space="preserve">.  </w:t>
      </w:r>
      <w:r w:rsidR="00FB6977" w:rsidRPr="007E1C53">
        <w:t>L</w:t>
      </w:r>
      <w:r w:rsidR="00FB6977">
        <w:t>’</w:t>
      </w:r>
      <w:r w:rsidR="00FB6977" w:rsidRPr="007E1C53">
        <w:t>u</w:t>
      </w:r>
      <w:r w:rsidR="00181DC3" w:rsidRPr="007E1C53">
        <w:t>ne consiste à fournir aux offices de propriété intellectuelle le logiciel de reconnaissance optique des caractères (ROC) de l</w:t>
      </w:r>
      <w:r w:rsidR="00940BD3">
        <w:t>’</w:t>
      </w:r>
      <w:proofErr w:type="spellStart"/>
      <w:r w:rsidR="00181DC3" w:rsidRPr="007E1C53">
        <w:t>OMPI</w:t>
      </w:r>
      <w:proofErr w:type="spellEnd"/>
      <w:r w:rsidR="00181DC3" w:rsidRPr="007E1C53">
        <w:t xml:space="preserve"> et à former les fonctionnaires des offices pour qu</w:t>
      </w:r>
      <w:r w:rsidR="00940BD3">
        <w:t>’</w:t>
      </w:r>
      <w:r w:rsidR="00181DC3" w:rsidRPr="007E1C53">
        <w:t>ils acquièrent les compétences et les connaissances nécessaires pour numériser eux</w:t>
      </w:r>
      <w:r w:rsidR="00940BD3">
        <w:t>-</w:t>
      </w:r>
      <w:r w:rsidR="00181DC3" w:rsidRPr="007E1C53">
        <w:t>mêmes les donné</w:t>
      </w:r>
      <w:r w:rsidR="00FB6977" w:rsidRPr="007E1C53">
        <w:t>es</w:t>
      </w:r>
      <w:r w:rsidR="00FB6977">
        <w:t xml:space="preserve">.  </w:t>
      </w:r>
      <w:r w:rsidR="00FB6977" w:rsidRPr="007E1C53">
        <w:t>L</w:t>
      </w:r>
      <w:r w:rsidR="00FB6977">
        <w:t>’</w:t>
      </w:r>
      <w:r w:rsidR="00FB6977" w:rsidRPr="007E1C53">
        <w:t>a</w:t>
      </w:r>
      <w:r w:rsidR="00181DC3" w:rsidRPr="007E1C53">
        <w:t xml:space="preserve">utre </w:t>
      </w:r>
      <w:r w:rsidR="006F3C0D" w:rsidRPr="007E1C53">
        <w:t xml:space="preserve">réside dans la fourniture par </w:t>
      </w:r>
      <w:r w:rsidR="00181DC3" w:rsidRPr="007E1C53">
        <w:t>le Secrétariat de l</w:t>
      </w:r>
      <w:r w:rsidR="00940BD3">
        <w:t>’</w:t>
      </w:r>
      <w:proofErr w:type="spellStart"/>
      <w:r w:rsidR="00181DC3" w:rsidRPr="007E1C53">
        <w:t>OMPI</w:t>
      </w:r>
      <w:proofErr w:type="spellEnd"/>
      <w:r w:rsidR="006F3C0D" w:rsidRPr="007E1C53">
        <w:t>,</w:t>
      </w:r>
      <w:r w:rsidR="00181DC3" w:rsidRPr="007E1C53">
        <w:t xml:space="preserve"> aux offices de propriété intellectuelle </w:t>
      </w:r>
      <w:r w:rsidR="006F3C0D" w:rsidRPr="007E1C53">
        <w:t>ayant</w:t>
      </w:r>
      <w:r w:rsidR="00181DC3" w:rsidRPr="007E1C53">
        <w:t xml:space="preserve"> une compétence </w:t>
      </w:r>
      <w:r w:rsidR="006F3C0D" w:rsidRPr="007E1C53">
        <w:t xml:space="preserve">informatique </w:t>
      </w:r>
      <w:r w:rsidR="00181DC3" w:rsidRPr="007E1C53">
        <w:t>limitée</w:t>
      </w:r>
      <w:r w:rsidR="006F3C0D" w:rsidRPr="007E1C53">
        <w:t>,</w:t>
      </w:r>
      <w:r w:rsidR="00181DC3" w:rsidRPr="007E1C53">
        <w:t xml:space="preserve"> des services complets pour gérer un projet national de numérisation des données nationales de propriété intellectuel</w:t>
      </w:r>
      <w:r w:rsidR="00FB6977" w:rsidRPr="007E1C53">
        <w:t>le</w:t>
      </w:r>
      <w:r w:rsidR="00FB6977">
        <w:t xml:space="preserve">.  </w:t>
      </w:r>
      <w:r w:rsidR="00FB6977" w:rsidRPr="007E1C53">
        <w:t>Ce</w:t>
      </w:r>
      <w:r w:rsidR="00181DC3" w:rsidRPr="007E1C53">
        <w:t xml:space="preserve">tte méthode </w:t>
      </w:r>
      <w:r w:rsidR="006F3C0D" w:rsidRPr="007E1C53">
        <w:t>requiert</w:t>
      </w:r>
      <w:r w:rsidR="00181DC3" w:rsidRPr="007E1C53">
        <w:t xml:space="preserve"> souvent un investissement important en termes de temps et de ressources de la part du Secrétariat de l</w:t>
      </w:r>
      <w:r w:rsidR="00940BD3">
        <w:t>’</w:t>
      </w:r>
      <w:proofErr w:type="spellStart"/>
      <w:r w:rsidR="00181DC3" w:rsidRPr="007E1C53">
        <w:t>OMPI</w:t>
      </w:r>
      <w:proofErr w:type="spellEnd"/>
      <w:r w:rsidR="00181DC3" w:rsidRPr="007E1C53">
        <w:t xml:space="preserve"> et, si les ressources nationales sont insuffisantes, il est nécessaire de solliciter des contributions auprès d</w:t>
      </w:r>
      <w:r w:rsidR="00940BD3">
        <w:t>’</w:t>
      </w:r>
      <w:r w:rsidR="00181DC3" w:rsidRPr="007E1C53">
        <w:t>autres États membres disposés à affecter des ressources extrabudgétaires aux projets.</w:t>
      </w:r>
    </w:p>
    <w:p w:rsidR="009B6058" w:rsidRPr="00665E34" w:rsidRDefault="00181DC3" w:rsidP="00665E34">
      <w:pPr>
        <w:pStyle w:val="Heading6"/>
      </w:pPr>
      <w:r w:rsidRPr="00665E34">
        <w:lastRenderedPageBreak/>
        <w:t>Première méthode</w:t>
      </w:r>
    </w:p>
    <w:p w:rsidR="00940BD3" w:rsidRDefault="00ED5743" w:rsidP="001F4F9B">
      <w:pPr>
        <w:pStyle w:val="ONUMFS"/>
      </w:pPr>
      <w:r w:rsidRPr="007E1C53">
        <w:t>L</w:t>
      </w:r>
      <w:r w:rsidR="00940BD3">
        <w:t>’</w:t>
      </w:r>
      <w:proofErr w:type="spellStart"/>
      <w:r w:rsidRPr="007E1C53">
        <w:t>OMPI</w:t>
      </w:r>
      <w:proofErr w:type="spellEnd"/>
      <w:r w:rsidRPr="007E1C53">
        <w:t xml:space="preserve"> utilise son logiciel de </w:t>
      </w:r>
      <w:r w:rsidR="00422909" w:rsidRPr="007E1C53">
        <w:t>ROC</w:t>
      </w:r>
      <w:r w:rsidRPr="007E1C53">
        <w:t xml:space="preserve"> mis au point en interne </w:t>
      </w:r>
      <w:r w:rsidR="00940BD3" w:rsidRPr="007E1C53">
        <w:t>en</w:t>
      </w:r>
      <w:r w:rsidR="00940BD3">
        <w:t> </w:t>
      </w:r>
      <w:r w:rsidR="00940BD3" w:rsidRPr="007E1C53">
        <w:t>2006</w:t>
      </w:r>
      <w:r w:rsidRPr="007E1C53">
        <w:t xml:space="preserve"> pour créer les données numériques des demandes internationales initialement déposées sur papier ou sous forme de télécopie selon</w:t>
      </w:r>
      <w:r w:rsidR="00940BD3" w:rsidRPr="007E1C53">
        <w:t xml:space="preserve"> le</w:t>
      </w:r>
      <w:r w:rsidR="00940BD3">
        <w:t> </w:t>
      </w:r>
      <w:proofErr w:type="spellStart"/>
      <w:r w:rsidR="00FB6977" w:rsidRPr="007E1C53">
        <w:t>PCT</w:t>
      </w:r>
      <w:proofErr w:type="spellEnd"/>
      <w:r w:rsidR="00FB6977">
        <w:t xml:space="preserve">.  </w:t>
      </w:r>
      <w:r w:rsidR="00FB6977" w:rsidRPr="007E1C53">
        <w:t>Ce</w:t>
      </w:r>
      <w:r w:rsidR="009C67BA" w:rsidRPr="007E1C53">
        <w:t xml:space="preserve"> système a été </w:t>
      </w:r>
      <w:r w:rsidR="001F3C43" w:rsidRPr="007E1C53">
        <w:t>conçu</w:t>
      </w:r>
      <w:r w:rsidR="009C67BA" w:rsidRPr="007E1C53">
        <w:t xml:space="preserve"> en adaptant la solution de </w:t>
      </w:r>
      <w:r w:rsidR="00422909" w:rsidRPr="007E1C53">
        <w:t>ROC</w:t>
      </w:r>
      <w:r w:rsidR="009C67BA" w:rsidRPr="007E1C53">
        <w:t xml:space="preserve"> </w:t>
      </w:r>
      <w:r w:rsidR="001F3C43" w:rsidRPr="007E1C53">
        <w:t xml:space="preserve">qui est </w:t>
      </w:r>
      <w:r w:rsidR="009C67BA" w:rsidRPr="007E1C53">
        <w:t xml:space="preserve">numéro un sur le marché aux </w:t>
      </w:r>
      <w:r w:rsidR="001F3C43" w:rsidRPr="007E1C53">
        <w:t>spécificités</w:t>
      </w:r>
      <w:r w:rsidR="009C67BA" w:rsidRPr="007E1C53">
        <w:t xml:space="preserve"> des documents de brevet et aux normes de l</w:t>
      </w:r>
      <w:r w:rsidR="00940BD3">
        <w:t>’</w:t>
      </w:r>
      <w:proofErr w:type="spellStart"/>
      <w:r w:rsidR="009C67BA" w:rsidRPr="007E1C53">
        <w:t>OMPI</w:t>
      </w:r>
      <w:proofErr w:type="spellEnd"/>
      <w:r w:rsidR="009C67BA" w:rsidRPr="007E1C53">
        <w:t>, ce qui a permis à l</w:t>
      </w:r>
      <w:r w:rsidR="00940BD3">
        <w:t>’</w:t>
      </w:r>
      <w:r w:rsidR="009C67BA" w:rsidRPr="007E1C53">
        <w:t>O</w:t>
      </w:r>
      <w:r w:rsidR="001F3C43" w:rsidRPr="007E1C53">
        <w:t xml:space="preserve">rganisation </w:t>
      </w:r>
      <w:r w:rsidR="009C67BA" w:rsidRPr="007E1C53">
        <w:t xml:space="preserve">de mettre </w:t>
      </w:r>
      <w:r w:rsidR="005E3112" w:rsidRPr="007E1C53">
        <w:t xml:space="preserve">à disposition dans </w:t>
      </w:r>
      <w:proofErr w:type="spellStart"/>
      <w:r w:rsidR="005E3112" w:rsidRPr="007E1C53">
        <w:t>PATENTSCOPE</w:t>
      </w:r>
      <w:proofErr w:type="spellEnd"/>
      <w:r w:rsidR="005E3112" w:rsidRPr="007E1C53">
        <w:t xml:space="preserve"> </w:t>
      </w:r>
      <w:r w:rsidR="009C67BA" w:rsidRPr="007E1C53">
        <w:t xml:space="preserve">les descriptions et les revendications des demandes </w:t>
      </w:r>
      <w:proofErr w:type="spellStart"/>
      <w:r w:rsidR="009C67BA" w:rsidRPr="007E1C53">
        <w:t>PCT</w:t>
      </w:r>
      <w:proofErr w:type="spellEnd"/>
      <w:r w:rsidR="009C67BA" w:rsidRPr="007E1C53">
        <w:t xml:space="preserve"> pour </w:t>
      </w:r>
      <w:r w:rsidR="005E3112" w:rsidRPr="007E1C53">
        <w:t>qu</w:t>
      </w:r>
      <w:r w:rsidR="00940BD3">
        <w:t>’</w:t>
      </w:r>
      <w:r w:rsidR="005E3112" w:rsidRPr="007E1C53">
        <w:t>elles puissent être</w:t>
      </w:r>
      <w:r w:rsidR="009C67BA" w:rsidRPr="007E1C53">
        <w:t xml:space="preserve"> consultées dans toutes les langues de publication, sauf l</w:t>
      </w:r>
      <w:r w:rsidR="00940BD3">
        <w:t>’</w:t>
      </w:r>
      <w:r w:rsidR="009C67BA" w:rsidRPr="007E1C53">
        <w:t>arabe.</w:t>
      </w:r>
    </w:p>
    <w:p w:rsidR="001F4F9B" w:rsidRDefault="00940BD3" w:rsidP="001F4F9B">
      <w:pPr>
        <w:pStyle w:val="ONUMFS"/>
      </w:pPr>
      <w:r w:rsidRPr="007E1C53">
        <w:t>En</w:t>
      </w:r>
      <w:r>
        <w:t> </w:t>
      </w:r>
      <w:r w:rsidRPr="007E1C53">
        <w:t>2017</w:t>
      </w:r>
      <w:r w:rsidR="000100A4" w:rsidRPr="007E1C53">
        <w:t>, l</w:t>
      </w:r>
      <w:r>
        <w:t>’</w:t>
      </w:r>
      <w:proofErr w:type="spellStart"/>
      <w:r w:rsidR="000100A4" w:rsidRPr="007E1C53">
        <w:t>OMPI</w:t>
      </w:r>
      <w:proofErr w:type="spellEnd"/>
      <w:r w:rsidR="000100A4" w:rsidRPr="007E1C53">
        <w:t xml:space="preserve"> a commencé à utiliser </w:t>
      </w:r>
      <w:proofErr w:type="gramStart"/>
      <w:r w:rsidR="001F3C43" w:rsidRPr="007E1C53">
        <w:t>ce</w:t>
      </w:r>
      <w:proofErr w:type="gramEnd"/>
      <w:r w:rsidR="005B4E98" w:rsidRPr="007E1C53">
        <w:t xml:space="preserve"> savoir</w:t>
      </w:r>
      <w:r>
        <w:t>-</w:t>
      </w:r>
      <w:r w:rsidR="005B4E98" w:rsidRPr="007E1C53">
        <w:t xml:space="preserve">faire et </w:t>
      </w:r>
      <w:r w:rsidR="005E3112" w:rsidRPr="007E1C53">
        <w:t xml:space="preserve">ces technologies </w:t>
      </w:r>
      <w:r w:rsidR="005B4E98" w:rsidRPr="007E1C53">
        <w:t>existant</w:t>
      </w:r>
      <w:r w:rsidR="001F3C43" w:rsidRPr="007E1C53">
        <w:t xml:space="preserve"> </w:t>
      </w:r>
      <w:r w:rsidR="005E3112" w:rsidRPr="007E1C53">
        <w:t xml:space="preserve">en interne </w:t>
      </w:r>
      <w:r w:rsidR="000100A4" w:rsidRPr="007E1C53">
        <w:t>pour aider les offices de propriété intellectuelle à numériser leurs données de propriété intellectuel</w:t>
      </w:r>
      <w:r w:rsidR="00FB6977" w:rsidRPr="007E1C53">
        <w:t>le</w:t>
      </w:r>
      <w:r w:rsidR="00FB6977">
        <w:t xml:space="preserve">.  </w:t>
      </w:r>
      <w:r w:rsidR="00FB6977" w:rsidRPr="007E1C53">
        <w:t xml:space="preserve">À </w:t>
      </w:r>
      <w:r w:rsidR="000D58BB" w:rsidRPr="007E1C53">
        <w:t>cette fin, l</w:t>
      </w:r>
      <w:r>
        <w:t>’</w:t>
      </w:r>
      <w:proofErr w:type="spellStart"/>
      <w:r w:rsidR="000D58BB" w:rsidRPr="007E1C53">
        <w:t>OMPI</w:t>
      </w:r>
      <w:proofErr w:type="spellEnd"/>
      <w:r w:rsidR="000D58BB" w:rsidRPr="007E1C53">
        <w:t xml:space="preserve"> a conclu un partenariat avec l</w:t>
      </w:r>
      <w:r>
        <w:t>’</w:t>
      </w:r>
      <w:r w:rsidR="000D58BB" w:rsidRPr="007E1C53">
        <w:t>Office européen des brevets (</w:t>
      </w:r>
      <w:proofErr w:type="spellStart"/>
      <w:r w:rsidR="000D58BB" w:rsidRPr="007E1C53">
        <w:t>OEB</w:t>
      </w:r>
      <w:proofErr w:type="spellEnd"/>
      <w:r w:rsidR="000D58BB" w:rsidRPr="007E1C53">
        <w:t>) afin d</w:t>
      </w:r>
      <w:r>
        <w:t>’</w:t>
      </w:r>
      <w:r w:rsidR="000D58BB" w:rsidRPr="007E1C53">
        <w:t xml:space="preserve">aider les offices </w:t>
      </w:r>
      <w:r w:rsidR="005E3112" w:rsidRPr="007E1C53">
        <w:t xml:space="preserve">nationaux </w:t>
      </w:r>
      <w:r w:rsidR="000D58BB" w:rsidRPr="007E1C53">
        <w:t xml:space="preserve">de propriété intellectuelle à produire des </w:t>
      </w:r>
      <w:r w:rsidR="005E3112" w:rsidRPr="007E1C53">
        <w:t xml:space="preserve">versions intégrales </w:t>
      </w:r>
      <w:r w:rsidR="000D58BB" w:rsidRPr="007E1C53">
        <w:t>de qualité pour les fichiers courants de leurs publications en matière de brevets</w:t>
      </w:r>
      <w:r w:rsidR="005B4E98" w:rsidRPr="007E1C53">
        <w:t>,</w:t>
      </w:r>
      <w:r w:rsidR="000D58BB" w:rsidRPr="007E1C53">
        <w:t xml:space="preserve"> et </w:t>
      </w:r>
      <w:r w:rsidR="005B4E98" w:rsidRPr="007E1C53">
        <w:t xml:space="preserve">elle a </w:t>
      </w:r>
      <w:r w:rsidR="000D58BB" w:rsidRPr="007E1C53">
        <w:t>proposé aux offices participants une adaptation de son système interne de reconnaissance optique de</w:t>
      </w:r>
      <w:r w:rsidR="005B4E98" w:rsidRPr="007E1C53">
        <w:t>s</w:t>
      </w:r>
      <w:r w:rsidR="000D58BB" w:rsidRPr="007E1C53">
        <w:t xml:space="preserve"> caractères, des services de formation et d</w:t>
      </w:r>
      <w:r>
        <w:t>’</w:t>
      </w:r>
      <w:r w:rsidR="000D58BB" w:rsidRPr="007E1C53">
        <w:t xml:space="preserve">assistance et des licences de </w:t>
      </w:r>
      <w:r w:rsidR="00FB6977" w:rsidRPr="007E1C53">
        <w:t>ROC</w:t>
      </w:r>
      <w:r w:rsidR="00FB6977">
        <w:t xml:space="preserve">.  </w:t>
      </w:r>
      <w:r w:rsidR="00FB6977" w:rsidRPr="007E1C53">
        <w:t>Le</w:t>
      </w:r>
      <w:r w:rsidR="00893456" w:rsidRPr="007E1C53">
        <w:t xml:space="preserve">s résultats de la </w:t>
      </w:r>
      <w:r w:rsidR="005E3112" w:rsidRPr="007E1C53">
        <w:t>reconnaissance optique de</w:t>
      </w:r>
      <w:r w:rsidR="005B4E98" w:rsidRPr="007E1C53">
        <w:t>s</w:t>
      </w:r>
      <w:r w:rsidR="005E3112" w:rsidRPr="007E1C53">
        <w:t xml:space="preserve"> caractères </w:t>
      </w:r>
      <w:r w:rsidR="00893456" w:rsidRPr="007E1C53">
        <w:t>sont des données de propriété intellectuelle numériques bien structurées, conformément aux normes de l</w:t>
      </w:r>
      <w:r>
        <w:t>’</w:t>
      </w:r>
      <w:proofErr w:type="spellStart"/>
      <w:r w:rsidR="00893456" w:rsidRPr="007E1C53">
        <w:t>OMPI</w:t>
      </w:r>
      <w:proofErr w:type="spellEnd"/>
      <w:r w:rsidR="00893456" w:rsidRPr="007E1C53">
        <w:t>.</w:t>
      </w:r>
      <w:r w:rsidR="00DD7399" w:rsidRPr="007E1C53">
        <w:t xml:space="preserve">  </w:t>
      </w:r>
      <w:r w:rsidR="00D37931" w:rsidRPr="007E1C53">
        <w:t>D</w:t>
      </w:r>
      <w:r>
        <w:t>’</w:t>
      </w:r>
      <w:r w:rsidR="00D37931" w:rsidRPr="007E1C53">
        <w:t>avril</w:t>
      </w:r>
      <w:r w:rsidR="00B57155" w:rsidRPr="007E1C53">
        <w:t> </w:t>
      </w:r>
      <w:r w:rsidR="00D37931" w:rsidRPr="007E1C53">
        <w:t>2017 à novembre</w:t>
      </w:r>
      <w:r w:rsidR="00B57155" w:rsidRPr="007E1C53">
        <w:t> </w:t>
      </w:r>
      <w:r w:rsidR="00D37931" w:rsidRPr="007E1C53">
        <w:t>2019, six</w:t>
      </w:r>
      <w:r w:rsidR="005274F0">
        <w:t> </w:t>
      </w:r>
      <w:r w:rsidR="00D37931" w:rsidRPr="007E1C53">
        <w:t>sessions de formation ont été organisées et 34</w:t>
      </w:r>
      <w:r w:rsidR="00B57155" w:rsidRPr="007E1C53">
        <w:t> </w:t>
      </w:r>
      <w:r w:rsidR="00D37931" w:rsidRPr="007E1C53">
        <w:t xml:space="preserve">offices ont reçu le logiciel et </w:t>
      </w:r>
      <w:r w:rsidR="005E3112" w:rsidRPr="007E1C53">
        <w:t>suivi la formation.</w:t>
      </w:r>
    </w:p>
    <w:p w:rsidR="001F4F9B" w:rsidRDefault="0011497B" w:rsidP="001F4F9B">
      <w:pPr>
        <w:pStyle w:val="ONUMFS"/>
      </w:pPr>
      <w:r w:rsidRPr="007E1C53">
        <w:t>Le partenariat fructueux avec l</w:t>
      </w:r>
      <w:r w:rsidR="00940BD3">
        <w:t>’</w:t>
      </w:r>
      <w:proofErr w:type="spellStart"/>
      <w:r w:rsidRPr="007E1C53">
        <w:t>OEB</w:t>
      </w:r>
      <w:proofErr w:type="spellEnd"/>
      <w:r w:rsidRPr="007E1C53">
        <w:t xml:space="preserve"> pour la numérisation des données </w:t>
      </w:r>
      <w:r w:rsidR="001072EA" w:rsidRPr="007E1C53">
        <w:t xml:space="preserve">européennes </w:t>
      </w:r>
      <w:r w:rsidRPr="007E1C53">
        <w:t>de propriété intellectuelle a débouché sur un projet exploratoire pour les pays en développement d</w:t>
      </w:r>
      <w:r w:rsidR="00940BD3">
        <w:t>’</w:t>
      </w:r>
      <w:r w:rsidRPr="007E1C53">
        <w:t xml:space="preserve">Amérique latine dans le cadre du projet </w:t>
      </w:r>
      <w:proofErr w:type="spellStart"/>
      <w:r w:rsidRPr="007E1C53">
        <w:t>LATIPAT</w:t>
      </w:r>
      <w:proofErr w:type="spellEnd"/>
      <w:r w:rsidRPr="007E1C53">
        <w:t>.</w:t>
      </w:r>
      <w:r w:rsidR="00DD7399" w:rsidRPr="007E1C53">
        <w:t xml:space="preserve">  </w:t>
      </w:r>
      <w:r w:rsidRPr="007E1C53">
        <w:t>L</w:t>
      </w:r>
      <w:r w:rsidR="00940BD3">
        <w:t>’</w:t>
      </w:r>
      <w:proofErr w:type="spellStart"/>
      <w:r w:rsidRPr="007E1C53">
        <w:t>OMPI</w:t>
      </w:r>
      <w:proofErr w:type="spellEnd"/>
      <w:r w:rsidRPr="007E1C53">
        <w:t xml:space="preserve"> et l</w:t>
      </w:r>
      <w:r w:rsidR="00940BD3">
        <w:t>’</w:t>
      </w:r>
      <w:proofErr w:type="spellStart"/>
      <w:r w:rsidRPr="007E1C53">
        <w:t>OEB</w:t>
      </w:r>
      <w:proofErr w:type="spellEnd"/>
      <w:r w:rsidRPr="007E1C53">
        <w:t xml:space="preserve"> ont organisé une session de formation en Amérique latine en novembre</w:t>
      </w:r>
      <w:r w:rsidR="00B57155" w:rsidRPr="007E1C53">
        <w:t> </w:t>
      </w:r>
      <w:r w:rsidRPr="007E1C53">
        <w:t>2018 durant laquelle 12</w:t>
      </w:r>
      <w:r w:rsidR="00B57155" w:rsidRPr="007E1C53">
        <w:t> </w:t>
      </w:r>
      <w:r w:rsidRPr="007E1C53">
        <w:t>offices de propriété intellectuelle d</w:t>
      </w:r>
      <w:r w:rsidR="00940BD3">
        <w:t>’</w:t>
      </w:r>
      <w:r w:rsidRPr="007E1C53">
        <w:t xml:space="preserve">Amérique latine ont reçu </w:t>
      </w:r>
      <w:r w:rsidR="001072EA" w:rsidRPr="007E1C53">
        <w:t>un</w:t>
      </w:r>
      <w:r w:rsidR="00A10E4D" w:rsidRPr="007E1C53">
        <w:t>e</w:t>
      </w:r>
      <w:r w:rsidR="001072EA" w:rsidRPr="007E1C53">
        <w:t xml:space="preserve"> formation et </w:t>
      </w:r>
      <w:r w:rsidRPr="007E1C53">
        <w:t xml:space="preserve">le logiciel de </w:t>
      </w:r>
      <w:r w:rsidR="001072EA" w:rsidRPr="007E1C53">
        <w:t>ROC</w:t>
      </w:r>
      <w:r w:rsidRPr="007E1C53">
        <w:t xml:space="preserve"> de l</w:t>
      </w:r>
      <w:r w:rsidR="00940BD3">
        <w:t>’</w:t>
      </w:r>
      <w:proofErr w:type="spellStart"/>
      <w:r w:rsidRPr="007E1C53">
        <w:t>OMPI</w:t>
      </w:r>
      <w:proofErr w:type="spellEnd"/>
      <w:r w:rsidRPr="007E1C53">
        <w:t>.</w:t>
      </w:r>
    </w:p>
    <w:p w:rsidR="00940BD3" w:rsidRDefault="00C85162" w:rsidP="001F4F9B">
      <w:pPr>
        <w:pStyle w:val="ONUMFS"/>
      </w:pPr>
      <w:r w:rsidRPr="007E1C53">
        <w:t>Fin</w:t>
      </w:r>
      <w:r w:rsidR="00B57155" w:rsidRPr="007E1C53">
        <w:t> </w:t>
      </w:r>
      <w:r w:rsidRPr="007E1C53">
        <w:t>2019, les offices ci</w:t>
      </w:r>
      <w:r w:rsidR="00940BD3">
        <w:t>-</w:t>
      </w:r>
      <w:r w:rsidRPr="007E1C53">
        <w:t>après avaient reçu l</w:t>
      </w:r>
      <w:r w:rsidR="00940BD3">
        <w:t>’</w:t>
      </w:r>
      <w:r w:rsidRPr="007E1C53">
        <w:t>assistance de l</w:t>
      </w:r>
      <w:r w:rsidR="00940BD3">
        <w:t>’</w:t>
      </w:r>
      <w:proofErr w:type="spellStart"/>
      <w:r w:rsidRPr="007E1C53">
        <w:t>OMPI</w:t>
      </w:r>
      <w:proofErr w:type="spellEnd"/>
      <w:r w:rsidR="00940BD3">
        <w:t> :</w:t>
      </w:r>
      <w:r w:rsidRPr="007E1C53">
        <w:t xml:space="preserve"> Albanie, Argentine, Bosnie</w:t>
      </w:r>
      <w:r w:rsidR="00940BD3">
        <w:t>-</w:t>
      </w:r>
      <w:r w:rsidRPr="007E1C53">
        <w:t>Herzégovine, Brésil, Bulgarie, Chypre, Colombie, Costa</w:t>
      </w:r>
      <w:r w:rsidR="005274F0">
        <w:t> </w:t>
      </w:r>
      <w:r w:rsidRPr="007E1C53">
        <w:t xml:space="preserve">Rica, Cuba, Danemark, Équateur, Espagne, Estonie, Finlande, Grèce, Guatemala, Honduras, Irlande, Italie, Lettonie, Lituanie, Malte, Mexique, Norvège, Pérou, République dominicaine, Roumanie, Serbie, Slovaquie, Suède, Suisse, Tunisie, Uruguay et </w:t>
      </w:r>
      <w:proofErr w:type="spellStart"/>
      <w:r w:rsidRPr="007E1C53">
        <w:t>OEAB</w:t>
      </w:r>
      <w:proofErr w:type="spellEnd"/>
      <w:r w:rsidRPr="007E1C53">
        <w:t>.</w:t>
      </w:r>
    </w:p>
    <w:p w:rsidR="001F4F9B" w:rsidRDefault="001F126B" w:rsidP="001F4F9B">
      <w:pPr>
        <w:pStyle w:val="ONUMFS"/>
      </w:pPr>
      <w:r w:rsidRPr="007E1C53">
        <w:t>Des discussions ont été engagées avec l</w:t>
      </w:r>
      <w:r w:rsidR="00940BD3">
        <w:t>’</w:t>
      </w:r>
      <w:proofErr w:type="spellStart"/>
      <w:r w:rsidRPr="007E1C53">
        <w:t>OEB</w:t>
      </w:r>
      <w:proofErr w:type="spellEnd"/>
      <w:r w:rsidRPr="007E1C53">
        <w:t xml:space="preserve"> pour étendre ce partenariat fructueux à la région de l</w:t>
      </w:r>
      <w:r w:rsidR="00940BD3">
        <w:t>’</w:t>
      </w:r>
      <w:r w:rsidRPr="007E1C53">
        <w:t xml:space="preserve">ASEAN </w:t>
      </w:r>
      <w:r w:rsidR="00940BD3" w:rsidRPr="007E1C53">
        <w:t>en</w:t>
      </w:r>
      <w:r w:rsidR="00940BD3">
        <w:t> </w:t>
      </w:r>
      <w:r w:rsidR="00940BD3" w:rsidRPr="007E1C53">
        <w:t>2020</w:t>
      </w:r>
      <w:r w:rsidRPr="007E1C53">
        <w:t xml:space="preserve"> et l</w:t>
      </w:r>
      <w:r w:rsidR="00940BD3">
        <w:t>’</w:t>
      </w:r>
      <w:r w:rsidRPr="007E1C53">
        <w:t>Office israélien des brevets a également fait part de son souhait d</w:t>
      </w:r>
      <w:r w:rsidR="00940BD3">
        <w:t>’</w:t>
      </w:r>
      <w:r w:rsidRPr="007E1C53">
        <w:t>y participer.</w:t>
      </w:r>
    </w:p>
    <w:p w:rsidR="001F4F9B" w:rsidRDefault="00940BD3" w:rsidP="001F4F9B">
      <w:pPr>
        <w:pStyle w:val="ONUMFS"/>
      </w:pPr>
      <w:r w:rsidRPr="007E1C53">
        <w:t>En</w:t>
      </w:r>
      <w:r>
        <w:t> </w:t>
      </w:r>
      <w:r w:rsidRPr="007E1C53">
        <w:t>2012</w:t>
      </w:r>
      <w:r w:rsidR="001F126B" w:rsidRPr="007E1C53">
        <w:t>, les directeurs de l</w:t>
      </w:r>
      <w:r>
        <w:t>’</w:t>
      </w:r>
      <w:proofErr w:type="spellStart"/>
      <w:r w:rsidR="001F126B" w:rsidRPr="007E1C53">
        <w:t>OEB</w:t>
      </w:r>
      <w:proofErr w:type="spellEnd"/>
      <w:r w:rsidR="001F126B" w:rsidRPr="007E1C53">
        <w:t>, de l</w:t>
      </w:r>
      <w:r>
        <w:t>’</w:t>
      </w:r>
      <w:r w:rsidR="001F126B" w:rsidRPr="007E1C53">
        <w:t>Office espagnol des brevets et des marques et de l</w:t>
      </w:r>
      <w:r>
        <w:t>’</w:t>
      </w:r>
      <w:proofErr w:type="spellStart"/>
      <w:r w:rsidR="001F126B" w:rsidRPr="007E1C53">
        <w:t>OMPI</w:t>
      </w:r>
      <w:proofErr w:type="spellEnd"/>
      <w:r w:rsidR="001F126B" w:rsidRPr="007E1C53">
        <w:t xml:space="preserve"> ont signé un mémorandum d</w:t>
      </w:r>
      <w:r>
        <w:t>’</w:t>
      </w:r>
      <w:r w:rsidR="001F126B" w:rsidRPr="007E1C53">
        <w:t xml:space="preserve">accord sur le projet </w:t>
      </w:r>
      <w:r w:rsidR="00A10E4D" w:rsidRPr="007E1C53">
        <w:t>afin de</w:t>
      </w:r>
      <w:r w:rsidR="001F126B" w:rsidRPr="007E1C53">
        <w:t xml:space="preserve"> promouvoir l</w:t>
      </w:r>
      <w:r>
        <w:t>’</w:t>
      </w:r>
      <w:r w:rsidR="001F126B" w:rsidRPr="007E1C53">
        <w:t>échange d</w:t>
      </w:r>
      <w:r>
        <w:t>’</w:t>
      </w:r>
      <w:r w:rsidR="001F126B" w:rsidRPr="007E1C53">
        <w:t xml:space="preserve">informations en matière de brevets dans le cadre de </w:t>
      </w:r>
      <w:proofErr w:type="spellStart"/>
      <w:r w:rsidR="001F126B" w:rsidRPr="007E1C53">
        <w:t>LATIPAT</w:t>
      </w:r>
      <w:proofErr w:type="spellEnd"/>
      <w:r w:rsidR="001F126B" w:rsidRPr="007E1C53">
        <w:t xml:space="preserve"> entre les offices de propriété intellectuelle des pays d</w:t>
      </w:r>
      <w:r>
        <w:t>’</w:t>
      </w:r>
      <w:r w:rsidR="001F126B" w:rsidRPr="007E1C53">
        <w:t>Amérique latine.</w:t>
      </w:r>
    </w:p>
    <w:p w:rsidR="001F4F9B" w:rsidRDefault="007947F8" w:rsidP="001F4F9B">
      <w:pPr>
        <w:pStyle w:val="ONUMFS"/>
      </w:pPr>
      <w:r w:rsidRPr="007E1C53">
        <w:t>Depuis, les trois</w:t>
      </w:r>
      <w:r w:rsidR="005274F0">
        <w:t> </w:t>
      </w:r>
      <w:r w:rsidRPr="007E1C53">
        <w:t>organisations et les offices de propriété intellectuelle d</w:t>
      </w:r>
      <w:r w:rsidR="00940BD3">
        <w:t>’</w:t>
      </w:r>
      <w:r w:rsidRPr="007E1C53">
        <w:t>Amérique latine collaborent pour tenir à jour une base de données régionale contenant les informations relatives aux demandes de brevet publiées et aux brevets délivrés dans les pays d</w:t>
      </w:r>
      <w:r w:rsidR="00940BD3">
        <w:t>’</w:t>
      </w:r>
      <w:r w:rsidRPr="007E1C53">
        <w:t>Amérique lati</w:t>
      </w:r>
      <w:r w:rsidR="00FB6977" w:rsidRPr="007E1C53">
        <w:t>ne</w:t>
      </w:r>
      <w:r w:rsidR="00FB6977">
        <w:t xml:space="preserve">.  </w:t>
      </w:r>
      <w:r w:rsidR="00FB6977" w:rsidRPr="007E1C53">
        <w:t>Ce</w:t>
      </w:r>
      <w:r w:rsidR="00335680" w:rsidRPr="007E1C53">
        <w:t>tte base de données donne accès aux informations sur les technologies brevetées de la région sous forme numérique et sert de plateforme de référence commune pour la publication d</w:t>
      </w:r>
      <w:r w:rsidR="00940BD3">
        <w:t>’</w:t>
      </w:r>
      <w:r w:rsidR="00335680" w:rsidRPr="007E1C53">
        <w:t>informations en matière de brevets en Amérique lati</w:t>
      </w:r>
      <w:r w:rsidR="00FB6977" w:rsidRPr="007E1C53">
        <w:t>ne</w:t>
      </w:r>
      <w:r w:rsidR="00FB6977">
        <w:t xml:space="preserve">.  </w:t>
      </w:r>
      <w:r w:rsidR="00FB6977" w:rsidRPr="007E1C53">
        <w:t>Qu</w:t>
      </w:r>
      <w:r w:rsidR="00A10E4D" w:rsidRPr="007E1C53">
        <w:t xml:space="preserve">elque </w:t>
      </w:r>
      <w:r w:rsidR="00335680" w:rsidRPr="007E1C53">
        <w:t>16</w:t>
      </w:r>
      <w:r w:rsidR="00B57155" w:rsidRPr="007E1C53">
        <w:t> </w:t>
      </w:r>
      <w:r w:rsidR="00335680" w:rsidRPr="007E1C53">
        <w:t>offices de propriété intellectuelle d</w:t>
      </w:r>
      <w:r w:rsidR="00940BD3">
        <w:t>’</w:t>
      </w:r>
      <w:r w:rsidR="00335680" w:rsidRPr="007E1C53">
        <w:t xml:space="preserve">Amérique latine participent activement </w:t>
      </w:r>
      <w:r w:rsidR="00A10E4D" w:rsidRPr="007E1C53">
        <w:t xml:space="preserve">au projet </w:t>
      </w:r>
      <w:r w:rsidR="00335680" w:rsidRPr="007E1C53">
        <w:t xml:space="preserve">et envoient régulièrement leurs informations selon les normes internationales </w:t>
      </w:r>
      <w:r w:rsidR="00A10E4D" w:rsidRPr="007E1C53">
        <w:t xml:space="preserve">et les normes </w:t>
      </w:r>
      <w:r w:rsidR="00335680" w:rsidRPr="007E1C53">
        <w:t>de l</w:t>
      </w:r>
      <w:r w:rsidR="00940BD3">
        <w:t>’</w:t>
      </w:r>
      <w:proofErr w:type="spellStart"/>
      <w:r w:rsidR="00335680" w:rsidRPr="007E1C53">
        <w:t>OMPI</w:t>
      </w:r>
      <w:proofErr w:type="spellEnd"/>
      <w:r w:rsidR="00335680" w:rsidRPr="007E1C53">
        <w:t>, dans des formats reconnus au niveau internation</w:t>
      </w:r>
      <w:r w:rsidR="00FB6977" w:rsidRPr="007E1C53">
        <w:t>al</w:t>
      </w:r>
      <w:r w:rsidR="00FB6977">
        <w:t xml:space="preserve">.  </w:t>
      </w:r>
      <w:r w:rsidR="00FB6977" w:rsidRPr="007E1C53">
        <w:t>De</w:t>
      </w:r>
      <w:r w:rsidR="00335680" w:rsidRPr="007E1C53">
        <w:t xml:space="preserve">puis la création de la plateforme </w:t>
      </w:r>
      <w:proofErr w:type="spellStart"/>
      <w:r w:rsidR="00335680" w:rsidRPr="007E1C53">
        <w:t>PATENTSCOPE</w:t>
      </w:r>
      <w:proofErr w:type="spellEnd"/>
      <w:r w:rsidR="00335680" w:rsidRPr="007E1C53">
        <w:t>, ces informations figurent également dans cette base de données.</w:t>
      </w:r>
    </w:p>
    <w:p w:rsidR="001F4F9B" w:rsidRDefault="000519B8" w:rsidP="001F4F9B">
      <w:pPr>
        <w:pStyle w:val="ONUMFS"/>
      </w:pPr>
      <w:r w:rsidRPr="007E1C53">
        <w:lastRenderedPageBreak/>
        <w:t>L</w:t>
      </w:r>
      <w:r w:rsidR="00940BD3">
        <w:t>’</w:t>
      </w:r>
      <w:r w:rsidRPr="007E1C53">
        <w:t>un des principaux objectifs de l</w:t>
      </w:r>
      <w:r w:rsidR="00940BD3">
        <w:t>’</w:t>
      </w:r>
      <w:r w:rsidRPr="007E1C53">
        <w:t>assistance fournie par l</w:t>
      </w:r>
      <w:r w:rsidR="00940BD3">
        <w:t>’</w:t>
      </w:r>
      <w:proofErr w:type="spellStart"/>
      <w:r w:rsidRPr="007E1C53">
        <w:t>OMPI</w:t>
      </w:r>
      <w:proofErr w:type="spellEnd"/>
      <w:r w:rsidRPr="007E1C53">
        <w:t xml:space="preserve"> aux offices de propriété intellectuelle participant au projet </w:t>
      </w:r>
      <w:proofErr w:type="spellStart"/>
      <w:r w:rsidRPr="007E1C53">
        <w:t>LATIPAT</w:t>
      </w:r>
      <w:proofErr w:type="spellEnd"/>
      <w:r w:rsidRPr="007E1C53">
        <w:t xml:space="preserve"> au cours des trois</w:t>
      </w:r>
      <w:r w:rsidR="005274F0">
        <w:t> </w:t>
      </w:r>
      <w:r w:rsidRPr="007E1C53">
        <w:t>dernières années a été l</w:t>
      </w:r>
      <w:r w:rsidR="00940BD3">
        <w:t>’</w:t>
      </w:r>
      <w:r w:rsidRPr="007E1C53">
        <w:t xml:space="preserve">augmentation </w:t>
      </w:r>
      <w:r w:rsidR="000B743F" w:rsidRPr="007E1C53">
        <w:t>du volume de</w:t>
      </w:r>
      <w:r w:rsidRPr="007E1C53">
        <w:t xml:space="preserve"> données en texte intégral</w:t>
      </w:r>
      <w:r w:rsidR="000B743F" w:rsidRPr="007E1C53">
        <w:t>,</w:t>
      </w:r>
      <w:r w:rsidRPr="007E1C53">
        <w:t xml:space="preserve"> consultables sous forme numérique</w:t>
      </w:r>
      <w:r w:rsidR="000B743F" w:rsidRPr="007E1C53">
        <w:t>,</w:t>
      </w:r>
      <w:r w:rsidRPr="007E1C53">
        <w:t xml:space="preserve"> sur les brevets publiés par ces offic</w:t>
      </w:r>
      <w:r w:rsidR="00FB6977" w:rsidRPr="007E1C53">
        <w:t>es</w:t>
      </w:r>
      <w:r w:rsidR="00FB6977">
        <w:t xml:space="preserve">.  </w:t>
      </w:r>
      <w:r w:rsidR="00FB6977" w:rsidRPr="007E1C53">
        <w:t>En</w:t>
      </w:r>
      <w:r w:rsidR="00E74C2E" w:rsidRPr="007E1C53">
        <w:t xml:space="preserve"> novembre</w:t>
      </w:r>
      <w:r w:rsidR="00B57155" w:rsidRPr="007E1C53">
        <w:t> </w:t>
      </w:r>
      <w:r w:rsidR="00E74C2E" w:rsidRPr="007E1C53">
        <w:t xml:space="preserve">2018, un séminaire de formation </w:t>
      </w:r>
      <w:r w:rsidR="000B743F" w:rsidRPr="007E1C53">
        <w:t xml:space="preserve">à </w:t>
      </w:r>
      <w:proofErr w:type="spellStart"/>
      <w:r w:rsidR="00E74C2E" w:rsidRPr="007E1C53">
        <w:t>LATIPAT</w:t>
      </w:r>
      <w:proofErr w:type="spellEnd"/>
      <w:r w:rsidR="00E74C2E" w:rsidRPr="007E1C53">
        <w:t xml:space="preserve"> a été organisé par l</w:t>
      </w:r>
      <w:r w:rsidR="00940BD3">
        <w:t>’</w:t>
      </w:r>
      <w:proofErr w:type="spellStart"/>
      <w:r w:rsidR="00E74C2E" w:rsidRPr="007E1C53">
        <w:t>OMPI</w:t>
      </w:r>
      <w:proofErr w:type="spellEnd"/>
      <w:r w:rsidR="00E74C2E" w:rsidRPr="007E1C53">
        <w:t xml:space="preserve"> et l</w:t>
      </w:r>
      <w:r w:rsidR="00940BD3">
        <w:t>’</w:t>
      </w:r>
      <w:proofErr w:type="spellStart"/>
      <w:r w:rsidR="00E74C2E" w:rsidRPr="007E1C53">
        <w:t>OEB</w:t>
      </w:r>
      <w:proofErr w:type="spellEnd"/>
      <w:r w:rsidR="00E74C2E" w:rsidRPr="007E1C53">
        <w:t xml:space="preserve"> à San José (Costa</w:t>
      </w:r>
      <w:r w:rsidR="005274F0">
        <w:t> </w:t>
      </w:r>
      <w:r w:rsidR="00E74C2E" w:rsidRPr="007E1C53">
        <w:t>Rica), durant lequel le personnel de 12</w:t>
      </w:r>
      <w:r w:rsidR="00B57155" w:rsidRPr="007E1C53">
        <w:t> </w:t>
      </w:r>
      <w:r w:rsidR="00E74C2E" w:rsidRPr="007E1C53">
        <w:t>offices de propriété intellectuelle d</w:t>
      </w:r>
      <w:r w:rsidR="00940BD3">
        <w:t>’</w:t>
      </w:r>
      <w:r w:rsidR="00E74C2E" w:rsidRPr="007E1C53">
        <w:t>Amérique latine a été formé et a obtenu le droit d</w:t>
      </w:r>
      <w:r w:rsidR="00940BD3">
        <w:t>’</w:t>
      </w:r>
      <w:r w:rsidR="00E74C2E" w:rsidRPr="007E1C53">
        <w:t xml:space="preserve">utiliser un système de </w:t>
      </w:r>
      <w:r w:rsidR="00422909" w:rsidRPr="007E1C53">
        <w:t>ROC</w:t>
      </w:r>
      <w:r w:rsidR="00E74C2E" w:rsidRPr="007E1C53">
        <w:t xml:space="preserve"> mis au point par l</w:t>
      </w:r>
      <w:r w:rsidR="00940BD3">
        <w:t>’</w:t>
      </w:r>
      <w:proofErr w:type="spellStart"/>
      <w:r w:rsidR="00E74C2E" w:rsidRPr="007E1C53">
        <w:t>OMPI</w:t>
      </w:r>
      <w:proofErr w:type="spellEnd"/>
      <w:r w:rsidR="00E74C2E" w:rsidRPr="007E1C53">
        <w:t xml:space="preserve"> pour la création de </w:t>
      </w:r>
      <w:r w:rsidR="000B743F" w:rsidRPr="007E1C53">
        <w:t>versions intégrales</w:t>
      </w:r>
      <w:r w:rsidR="00E74C2E" w:rsidRPr="007E1C53">
        <w:t xml:space="preserve"> pour les demandes de brevet et les brevets publi</w:t>
      </w:r>
      <w:r w:rsidR="00FB6977" w:rsidRPr="007E1C53">
        <w:t>és</w:t>
      </w:r>
      <w:r w:rsidR="00FB6977">
        <w:t xml:space="preserve">.  </w:t>
      </w:r>
      <w:r w:rsidR="00FB6977" w:rsidRPr="007E1C53">
        <w:t>Le</w:t>
      </w:r>
      <w:r w:rsidR="006372F0" w:rsidRPr="007E1C53">
        <w:t xml:space="preserve"> séminaire visait à former le personnel de ces offices à la production de données de qualité en texte intégral et consultables pour inclusion dans </w:t>
      </w:r>
      <w:proofErr w:type="spellStart"/>
      <w:r w:rsidR="006372F0" w:rsidRPr="007E1C53">
        <w:t>PATENTSCOPE</w:t>
      </w:r>
      <w:proofErr w:type="spellEnd"/>
      <w:r w:rsidR="006372F0" w:rsidRPr="007E1C53">
        <w:t xml:space="preserve"> et </w:t>
      </w:r>
      <w:proofErr w:type="spellStart"/>
      <w:r w:rsidR="006372F0" w:rsidRPr="007E1C53">
        <w:t>ESPACE</w:t>
      </w:r>
      <w:r w:rsidR="00FB6977" w:rsidRPr="007E1C53">
        <w:t>NET</w:t>
      </w:r>
      <w:proofErr w:type="spellEnd"/>
      <w:r w:rsidR="00FB6977">
        <w:t xml:space="preserve">.  </w:t>
      </w:r>
      <w:r w:rsidR="00FB6977" w:rsidRPr="007E1C53">
        <w:t>De</w:t>
      </w:r>
      <w:r w:rsidR="006372F0" w:rsidRPr="007E1C53">
        <w:t>s fonctionnaires des pays ci</w:t>
      </w:r>
      <w:r w:rsidR="00940BD3">
        <w:t>-</w:t>
      </w:r>
      <w:r w:rsidR="006372F0" w:rsidRPr="007E1C53">
        <w:t>après ont participé à la formation</w:t>
      </w:r>
      <w:r w:rsidR="00940BD3">
        <w:t> :</w:t>
      </w:r>
      <w:r w:rsidR="006372F0" w:rsidRPr="007E1C53">
        <w:t xml:space="preserve"> Argentine, Brésil, Costa</w:t>
      </w:r>
      <w:r w:rsidR="005274F0">
        <w:t> </w:t>
      </w:r>
      <w:r w:rsidR="006372F0" w:rsidRPr="007E1C53">
        <w:t>Rica, Cuba, Équateur, Guatemala, Honduras, Mexique, Pérou</w:t>
      </w:r>
      <w:r w:rsidR="000B743F" w:rsidRPr="007E1C53">
        <w:t>,</w:t>
      </w:r>
      <w:r w:rsidR="006372F0" w:rsidRPr="007E1C53">
        <w:t xml:space="preserve"> </w:t>
      </w:r>
      <w:r w:rsidR="000B743F" w:rsidRPr="007E1C53">
        <w:t xml:space="preserve">République dominicaine </w:t>
      </w:r>
      <w:r w:rsidR="006372F0" w:rsidRPr="007E1C53">
        <w:t>et Uruguay.</w:t>
      </w:r>
    </w:p>
    <w:p w:rsidR="00940BD3" w:rsidRDefault="006372F0" w:rsidP="001F4F9B">
      <w:pPr>
        <w:pStyle w:val="ONUMFS"/>
      </w:pPr>
      <w:r w:rsidRPr="007E1C53">
        <w:t>Par conséquent, les offices de propriété intellectuelle des pays ci</w:t>
      </w:r>
      <w:r w:rsidR="00940BD3">
        <w:t>-</w:t>
      </w:r>
      <w:r w:rsidRPr="007E1C53">
        <w:t>après envoient régulièrement des données à l</w:t>
      </w:r>
      <w:r w:rsidR="00940BD3">
        <w:t>’</w:t>
      </w:r>
      <w:proofErr w:type="spellStart"/>
      <w:r w:rsidRPr="007E1C53">
        <w:t>OMPI</w:t>
      </w:r>
      <w:proofErr w:type="spellEnd"/>
      <w:r w:rsidRPr="007E1C53">
        <w:t xml:space="preserve"> et à l</w:t>
      </w:r>
      <w:r w:rsidR="00940BD3">
        <w:t>’</w:t>
      </w:r>
      <w:proofErr w:type="spellStart"/>
      <w:r w:rsidRPr="007E1C53">
        <w:t>OEB</w:t>
      </w:r>
      <w:proofErr w:type="spellEnd"/>
      <w:r w:rsidRPr="007E1C53">
        <w:t xml:space="preserve"> pour inclusion dans la base de données</w:t>
      </w:r>
      <w:r w:rsidR="00940BD3">
        <w:t> :</w:t>
      </w:r>
      <w:r w:rsidRPr="007E1C53">
        <w:t xml:space="preserve"> Argentine, Brésil, Chili, Colombie, Costa</w:t>
      </w:r>
      <w:r w:rsidR="005274F0">
        <w:t> </w:t>
      </w:r>
      <w:r w:rsidRPr="007E1C53">
        <w:t>Rica, Cuba, El</w:t>
      </w:r>
      <w:r w:rsidR="005274F0">
        <w:t> </w:t>
      </w:r>
      <w:r w:rsidRPr="007E1C53">
        <w:t>Salvador, Guatemala, Mexique, Nicaragua, Pérou, République dominicaine et Urugu</w:t>
      </w:r>
      <w:r w:rsidR="00FB6977" w:rsidRPr="007E1C53">
        <w:t>ay</w:t>
      </w:r>
      <w:r w:rsidR="00FB6977">
        <w:t xml:space="preserve">.  </w:t>
      </w:r>
      <w:r w:rsidR="00FB6977" w:rsidRPr="007E1C53">
        <w:t>Le</w:t>
      </w:r>
      <w:r w:rsidR="003005E0" w:rsidRPr="007E1C53">
        <w:t xml:space="preserve">s données en texte intégral produites avec le logiciel de </w:t>
      </w:r>
      <w:r w:rsidR="000B743F" w:rsidRPr="007E1C53">
        <w:t>reconnaissance optique des caractères</w:t>
      </w:r>
      <w:r w:rsidR="003005E0" w:rsidRPr="007E1C53">
        <w:t xml:space="preserve"> par les offices de propriété intellectuelle de l</w:t>
      </w:r>
      <w:r w:rsidR="00940BD3">
        <w:t>’</w:t>
      </w:r>
      <w:r w:rsidR="003005E0" w:rsidRPr="007E1C53">
        <w:t>Argentine, du Costa</w:t>
      </w:r>
      <w:r w:rsidR="005274F0">
        <w:t> </w:t>
      </w:r>
      <w:r w:rsidR="003005E0" w:rsidRPr="007E1C53">
        <w:t>Rica, de l</w:t>
      </w:r>
      <w:r w:rsidR="00940BD3">
        <w:t>’</w:t>
      </w:r>
      <w:r w:rsidR="003005E0" w:rsidRPr="007E1C53">
        <w:t>Équateur, du Honduras, du Mexique, de la République dominicaine et de l</w:t>
      </w:r>
      <w:r w:rsidR="00940BD3">
        <w:t>’</w:t>
      </w:r>
      <w:r w:rsidR="003005E0" w:rsidRPr="007E1C53">
        <w:t>Uruguay sont en cours de validation et les données de Cuba et du Pérou sont en cours de transmission et de mise en service.</w:t>
      </w:r>
    </w:p>
    <w:p w:rsidR="009B6058" w:rsidRPr="007E1C53" w:rsidRDefault="00940BD3" w:rsidP="001F4F9B">
      <w:pPr>
        <w:pStyle w:val="ONUMFS"/>
      </w:pPr>
      <w:r w:rsidRPr="007E1C53">
        <w:t>En</w:t>
      </w:r>
      <w:r>
        <w:t> </w:t>
      </w:r>
      <w:r w:rsidRPr="007E1C53">
        <w:t>2019</w:t>
      </w:r>
      <w:r w:rsidR="003005E0" w:rsidRPr="007E1C53">
        <w:t>, 16</w:t>
      </w:r>
      <w:r w:rsidR="00B57155" w:rsidRPr="007E1C53">
        <w:t> </w:t>
      </w:r>
      <w:r w:rsidR="003005E0" w:rsidRPr="007E1C53">
        <w:t xml:space="preserve">pays participaient au projet et envoyaient des données bibliographiques et des fichiers </w:t>
      </w:r>
      <w:r w:rsidR="00FD6829" w:rsidRPr="007E1C53">
        <w:t>PDF</w:t>
      </w:r>
      <w:r w:rsidR="003005E0" w:rsidRPr="007E1C53">
        <w:t xml:space="preserve"> sur les demandes de brevet et les brevets publiés par</w:t>
      </w:r>
      <w:r w:rsidR="006578FC" w:rsidRPr="007E1C53">
        <w:t xml:space="preserve"> les offices de propriété intel</w:t>
      </w:r>
      <w:r w:rsidR="003005E0" w:rsidRPr="007E1C53">
        <w:t>l</w:t>
      </w:r>
      <w:r w:rsidR="006578FC" w:rsidRPr="007E1C53">
        <w:t>e</w:t>
      </w:r>
      <w:r w:rsidR="003005E0" w:rsidRPr="007E1C53">
        <w:t>ctuelle de ces pa</w:t>
      </w:r>
      <w:r w:rsidR="00FB6977" w:rsidRPr="007E1C53">
        <w:t>ys</w:t>
      </w:r>
      <w:r w:rsidR="00FB6977">
        <w:t xml:space="preserve">.  </w:t>
      </w:r>
      <w:r w:rsidR="00FB6977" w:rsidRPr="007E1C53">
        <w:t>En</w:t>
      </w:r>
      <w:r w:rsidR="003005E0" w:rsidRPr="007E1C53">
        <w:t xml:space="preserve"> août</w:t>
      </w:r>
      <w:r w:rsidR="00B57155" w:rsidRPr="007E1C53">
        <w:t> </w:t>
      </w:r>
      <w:r w:rsidR="003005E0" w:rsidRPr="007E1C53">
        <w:t xml:space="preserve">2019, la base de données </w:t>
      </w:r>
      <w:proofErr w:type="spellStart"/>
      <w:r w:rsidR="003005E0" w:rsidRPr="007E1C53">
        <w:t>LATIPAT</w:t>
      </w:r>
      <w:proofErr w:type="spellEnd"/>
      <w:r w:rsidR="003005E0" w:rsidRPr="007E1C53">
        <w:t xml:space="preserve"> a enregistré plus de 2 900 000</w:t>
      </w:r>
      <w:r w:rsidR="00B57155" w:rsidRPr="007E1C53">
        <w:t> </w:t>
      </w:r>
      <w:r w:rsidR="003005E0" w:rsidRPr="007E1C53">
        <w:t>données bibliographiques et plus de 2 270 000</w:t>
      </w:r>
      <w:r w:rsidR="00B57155" w:rsidRPr="007E1C53">
        <w:t> </w:t>
      </w:r>
      <w:r w:rsidR="003005E0" w:rsidRPr="007E1C53">
        <w:t>données d</w:t>
      </w:r>
      <w:r>
        <w:t>’</w:t>
      </w:r>
      <w:r w:rsidR="003005E0" w:rsidRPr="007E1C53">
        <w:t xml:space="preserve">image relatives à des documents de brevet en texte intégral, sous forme numérique et en format </w:t>
      </w:r>
      <w:r w:rsidR="00FD6829" w:rsidRPr="007E1C53">
        <w:t>PDF</w:t>
      </w:r>
      <w:r w:rsidR="003005E0" w:rsidRPr="007E1C53">
        <w:t>.</w:t>
      </w:r>
    </w:p>
    <w:p w:rsidR="009B6058" w:rsidRPr="007E1C53" w:rsidRDefault="003005E0" w:rsidP="001F4F9B">
      <w:pPr>
        <w:pStyle w:val="Heading6"/>
        <w:rPr>
          <w:lang w:val="fr-CH"/>
        </w:rPr>
      </w:pPr>
      <w:r w:rsidRPr="007E1C53">
        <w:rPr>
          <w:lang w:val="fr-CH"/>
        </w:rPr>
        <w:t>Deuxième méthode</w:t>
      </w:r>
    </w:p>
    <w:p w:rsidR="009B6058" w:rsidRPr="007E1C53" w:rsidRDefault="006578FC" w:rsidP="001F4F9B">
      <w:pPr>
        <w:pStyle w:val="ONUMFS"/>
      </w:pPr>
      <w:r w:rsidRPr="007E1C53">
        <w:t>Outre l</w:t>
      </w:r>
      <w:r w:rsidR="00940BD3">
        <w:t>’</w:t>
      </w:r>
      <w:r w:rsidRPr="007E1C53">
        <w:t>assistance fournie grâce à l</w:t>
      </w:r>
      <w:r w:rsidR="00940BD3">
        <w:t>’</w:t>
      </w:r>
      <w:r w:rsidRPr="007E1C53">
        <w:t xml:space="preserve">utilisation </w:t>
      </w:r>
      <w:r w:rsidR="000B743F" w:rsidRPr="007E1C53">
        <w:t xml:space="preserve">de son </w:t>
      </w:r>
      <w:r w:rsidRPr="007E1C53">
        <w:t>logiciel de reconnaissance optique des caractères</w:t>
      </w:r>
      <w:r w:rsidR="000B743F" w:rsidRPr="007E1C53">
        <w:t>,</w:t>
      </w:r>
      <w:r w:rsidRPr="007E1C53">
        <w:t xml:space="preserve"> </w:t>
      </w:r>
      <w:r w:rsidR="00E916CC" w:rsidRPr="007E1C53">
        <w:t>l</w:t>
      </w:r>
      <w:r w:rsidR="00940BD3">
        <w:t>’</w:t>
      </w:r>
      <w:proofErr w:type="spellStart"/>
      <w:r w:rsidR="00E916CC" w:rsidRPr="007E1C53">
        <w:t>OMPI</w:t>
      </w:r>
      <w:proofErr w:type="spellEnd"/>
      <w:r w:rsidR="00E916CC" w:rsidRPr="007E1C53">
        <w:t xml:space="preserve"> </w:t>
      </w:r>
      <w:r w:rsidRPr="007E1C53">
        <w:t xml:space="preserve">a également facilité la numérisation des données de propriété intellectuelle en </w:t>
      </w:r>
      <w:r w:rsidR="000B743F" w:rsidRPr="007E1C53">
        <w:t>collaborant</w:t>
      </w:r>
      <w:r w:rsidRPr="007E1C53">
        <w:t xml:space="preserve"> avec certains offices de propriété intellectuelle </w:t>
      </w:r>
      <w:r w:rsidR="00900210" w:rsidRPr="007E1C53">
        <w:t>afin de</w:t>
      </w:r>
      <w:r w:rsidR="0097504D" w:rsidRPr="007E1C53">
        <w:t xml:space="preserve"> mettre à contribution</w:t>
      </w:r>
      <w:r w:rsidRPr="007E1C53">
        <w:t xml:space="preserve"> les services </w:t>
      </w:r>
      <w:r w:rsidR="000B743F" w:rsidRPr="007E1C53">
        <w:t>informatiques</w:t>
      </w:r>
      <w:r w:rsidRPr="007E1C53">
        <w:t xml:space="preserve"> locaux </w:t>
      </w:r>
      <w:r w:rsidR="000B743F" w:rsidRPr="007E1C53">
        <w:t xml:space="preserve">pour </w:t>
      </w:r>
      <w:r w:rsidR="0097504D" w:rsidRPr="007E1C53">
        <w:t>la numérisation</w:t>
      </w:r>
      <w:r w:rsidRPr="007E1C53">
        <w:t xml:space="preserve"> </w:t>
      </w:r>
      <w:r w:rsidR="0097504D" w:rsidRPr="007E1C53">
        <w:t xml:space="preserve">des </w:t>
      </w:r>
      <w:r w:rsidRPr="007E1C53">
        <w:t>données nationales de propriété intellectuel</w:t>
      </w:r>
      <w:r w:rsidR="00FB6977" w:rsidRPr="007E1C53">
        <w:t>le</w:t>
      </w:r>
      <w:r w:rsidR="00FB6977">
        <w:t xml:space="preserve">.  </w:t>
      </w:r>
      <w:r w:rsidR="00FB6977" w:rsidRPr="007E1C53">
        <w:t>So</w:t>
      </w:r>
      <w:r w:rsidR="000B743F" w:rsidRPr="007E1C53">
        <w:t>uvent</w:t>
      </w:r>
      <w:r w:rsidR="00007616" w:rsidRPr="007E1C53">
        <w:t>, l</w:t>
      </w:r>
      <w:r w:rsidR="00940BD3">
        <w:t>’</w:t>
      </w:r>
      <w:r w:rsidR="00007616" w:rsidRPr="007E1C53">
        <w:t>assistance de l</w:t>
      </w:r>
      <w:r w:rsidR="00940BD3">
        <w:t>’</w:t>
      </w:r>
      <w:proofErr w:type="spellStart"/>
      <w:r w:rsidR="00007616" w:rsidRPr="007E1C53">
        <w:t>OMPI</w:t>
      </w:r>
      <w:proofErr w:type="spellEnd"/>
      <w:r w:rsidR="00007616" w:rsidRPr="007E1C53">
        <w:t xml:space="preserve"> </w:t>
      </w:r>
      <w:r w:rsidR="0097504D" w:rsidRPr="007E1C53">
        <w:t>dépendait de</w:t>
      </w:r>
      <w:r w:rsidR="00007616" w:rsidRPr="007E1C53">
        <w:t xml:space="preserve"> la disponibilité de ressources extrabudgétaires constituées par l</w:t>
      </w:r>
      <w:r w:rsidR="00940BD3">
        <w:t>’</w:t>
      </w:r>
      <w:r w:rsidR="00007616" w:rsidRPr="007E1C53">
        <w:t>O</w:t>
      </w:r>
      <w:r w:rsidR="00900210" w:rsidRPr="007E1C53">
        <w:t xml:space="preserve">rganisation </w:t>
      </w:r>
      <w:r w:rsidR="00007616" w:rsidRPr="007E1C53">
        <w:t>avec les pays donateurs pour l</w:t>
      </w:r>
      <w:r w:rsidR="00940BD3">
        <w:t>’</w:t>
      </w:r>
      <w:r w:rsidR="00007616" w:rsidRPr="007E1C53">
        <w:t>assistance technique dans le domaine du développement de l</w:t>
      </w:r>
      <w:r w:rsidR="00940BD3">
        <w:t>’</w:t>
      </w:r>
      <w:r w:rsidR="00007616" w:rsidRPr="007E1C53">
        <w:t>infrastructure techniq</w:t>
      </w:r>
      <w:r w:rsidR="00FB6977" w:rsidRPr="007E1C53">
        <w:t>ue</w:t>
      </w:r>
      <w:r w:rsidR="00FB6977">
        <w:t xml:space="preserve">.  </w:t>
      </w:r>
      <w:r w:rsidR="00FB6977" w:rsidRPr="007E1C53">
        <w:t>Ci</w:t>
      </w:r>
      <w:r w:rsidR="00940BD3">
        <w:t>-</w:t>
      </w:r>
      <w:r w:rsidR="00007616" w:rsidRPr="007E1C53">
        <w:t xml:space="preserve">après figure la liste des pays ayant bénéficié des ressources </w:t>
      </w:r>
      <w:r w:rsidR="0097504D" w:rsidRPr="007E1C53">
        <w:t>allouées</w:t>
      </w:r>
      <w:r w:rsidR="00007616" w:rsidRPr="007E1C53">
        <w:t xml:space="preserve"> par le Fonds fiduciaire du Japon pour la numérisation des données de propriété intellectuelle.</w:t>
      </w:r>
    </w:p>
    <w:tbl>
      <w:tblPr>
        <w:tblStyle w:val="TableGrid"/>
        <w:tblW w:w="5000" w:type="pct"/>
        <w:tblCellMar>
          <w:top w:w="57" w:type="dxa"/>
          <w:bottom w:w="57" w:type="dxa"/>
        </w:tblCellMar>
        <w:tblLook w:val="04A0" w:firstRow="1" w:lastRow="0" w:firstColumn="1" w:lastColumn="0" w:noHBand="0" w:noVBand="1"/>
      </w:tblPr>
      <w:tblGrid>
        <w:gridCol w:w="867"/>
        <w:gridCol w:w="1582"/>
        <w:gridCol w:w="5343"/>
        <w:gridCol w:w="1554"/>
      </w:tblGrid>
      <w:tr w:rsidR="007E1C53" w:rsidRPr="007E1C53" w:rsidTr="007F46E2">
        <w:trPr>
          <w:tblHeader/>
        </w:trPr>
        <w:tc>
          <w:tcPr>
            <w:tcW w:w="867" w:type="dxa"/>
          </w:tcPr>
          <w:p w:rsidR="00DD7399" w:rsidRPr="007E1C53" w:rsidRDefault="00007616" w:rsidP="007F46E2">
            <w:pPr>
              <w:rPr>
                <w:rFonts w:eastAsia="Malgun Gothic"/>
                <w:szCs w:val="22"/>
                <w:lang w:val="fr-CH"/>
              </w:rPr>
            </w:pPr>
            <w:r w:rsidRPr="007E1C53">
              <w:rPr>
                <w:rFonts w:eastAsia="Malgun Gothic"/>
                <w:szCs w:val="22"/>
                <w:lang w:val="fr-CH"/>
              </w:rPr>
              <w:t>Année</w:t>
            </w:r>
          </w:p>
        </w:tc>
        <w:tc>
          <w:tcPr>
            <w:tcW w:w="1582" w:type="dxa"/>
          </w:tcPr>
          <w:p w:rsidR="00DD7399" w:rsidRPr="007E1C53" w:rsidRDefault="00007616" w:rsidP="007F46E2">
            <w:pPr>
              <w:rPr>
                <w:rFonts w:eastAsia="Malgun Gothic"/>
                <w:szCs w:val="22"/>
                <w:lang w:val="fr-CH"/>
              </w:rPr>
            </w:pPr>
            <w:r w:rsidRPr="007E1C53">
              <w:rPr>
                <w:rFonts w:eastAsia="Malgun Gothic"/>
                <w:szCs w:val="22"/>
                <w:lang w:val="fr-CH"/>
              </w:rPr>
              <w:t>Pays</w:t>
            </w:r>
          </w:p>
        </w:tc>
        <w:tc>
          <w:tcPr>
            <w:tcW w:w="5343" w:type="dxa"/>
          </w:tcPr>
          <w:p w:rsidR="00DD7399" w:rsidRPr="007E1C53" w:rsidRDefault="00900210" w:rsidP="007F46E2">
            <w:pPr>
              <w:rPr>
                <w:rFonts w:eastAsia="Malgun Gothic"/>
                <w:szCs w:val="22"/>
                <w:lang w:val="fr-CH"/>
              </w:rPr>
            </w:pPr>
            <w:r w:rsidRPr="007E1C53">
              <w:rPr>
                <w:rFonts w:eastAsia="Malgun Gothic"/>
                <w:szCs w:val="22"/>
                <w:lang w:val="fr-CH"/>
              </w:rPr>
              <w:t>Volume</w:t>
            </w:r>
            <w:r w:rsidR="00007616" w:rsidRPr="007E1C53">
              <w:rPr>
                <w:rFonts w:eastAsia="Malgun Gothic"/>
                <w:szCs w:val="22"/>
                <w:lang w:val="fr-CH"/>
              </w:rPr>
              <w:t xml:space="preserve"> de données de propriété intellectuelle numérisées</w:t>
            </w:r>
          </w:p>
        </w:tc>
        <w:tc>
          <w:tcPr>
            <w:tcW w:w="1554" w:type="dxa"/>
          </w:tcPr>
          <w:p w:rsidR="00DD7399" w:rsidRPr="007E1C53" w:rsidRDefault="00007616" w:rsidP="007F46E2">
            <w:pPr>
              <w:rPr>
                <w:rFonts w:eastAsia="Malgun Gothic"/>
                <w:szCs w:val="22"/>
                <w:lang w:val="fr-CH"/>
              </w:rPr>
            </w:pPr>
            <w:r w:rsidRPr="007E1C53">
              <w:rPr>
                <w:rFonts w:eastAsia="Malgun Gothic"/>
                <w:szCs w:val="22"/>
                <w:lang w:val="fr-CH"/>
              </w:rPr>
              <w:t xml:space="preserve">Dépenses </w:t>
            </w:r>
            <w:r w:rsidR="007F46E2">
              <w:rPr>
                <w:rFonts w:eastAsia="Malgun Gothic"/>
                <w:szCs w:val="22"/>
                <w:lang w:val="fr-CH"/>
              </w:rPr>
              <w:t>en dollars</w:t>
            </w:r>
            <w:r w:rsidR="005274F0">
              <w:rPr>
                <w:rFonts w:eastAsia="Malgun Gothic"/>
                <w:szCs w:val="22"/>
                <w:lang w:val="fr-CH"/>
              </w:rPr>
              <w:t> </w:t>
            </w:r>
            <w:r w:rsidR="007F46E2">
              <w:rPr>
                <w:rFonts w:eastAsia="Malgun Gothic"/>
                <w:szCs w:val="22"/>
                <w:lang w:val="fr-CH"/>
              </w:rPr>
              <w:t>É.</w:t>
            </w:r>
            <w:r w:rsidR="00940BD3">
              <w:rPr>
                <w:rFonts w:eastAsia="Malgun Gothic"/>
                <w:szCs w:val="22"/>
                <w:lang w:val="fr-CH"/>
              </w:rPr>
              <w:t>-</w:t>
            </w:r>
            <w:r w:rsidRPr="007E1C53">
              <w:rPr>
                <w:rFonts w:eastAsia="Malgun Gothic"/>
                <w:szCs w:val="22"/>
                <w:lang w:val="fr-CH"/>
              </w:rPr>
              <w:t>U.</w:t>
            </w:r>
          </w:p>
        </w:tc>
      </w:tr>
      <w:tr w:rsidR="007E1C53" w:rsidRPr="007E1C53" w:rsidTr="007F46E2">
        <w:tc>
          <w:tcPr>
            <w:tcW w:w="867" w:type="dxa"/>
            <w:vMerge w:val="restart"/>
          </w:tcPr>
          <w:p w:rsidR="00DD7399" w:rsidRPr="007E1C53" w:rsidRDefault="00DD7399" w:rsidP="007F46E2">
            <w:pPr>
              <w:rPr>
                <w:rFonts w:eastAsia="Malgun Gothic"/>
                <w:szCs w:val="22"/>
                <w:lang w:val="fr-CH"/>
              </w:rPr>
            </w:pPr>
            <w:r w:rsidRPr="007E1C53">
              <w:rPr>
                <w:rFonts w:eastAsia="Malgun Gothic"/>
                <w:szCs w:val="22"/>
                <w:lang w:val="fr-CH"/>
              </w:rPr>
              <w:t>2017</w:t>
            </w:r>
          </w:p>
        </w:tc>
        <w:tc>
          <w:tcPr>
            <w:tcW w:w="1582" w:type="dxa"/>
          </w:tcPr>
          <w:p w:rsidR="00DD7399" w:rsidRPr="007E1C53" w:rsidRDefault="00007616" w:rsidP="007F46E2">
            <w:pPr>
              <w:rPr>
                <w:rFonts w:eastAsia="Malgun Gothic"/>
                <w:szCs w:val="22"/>
                <w:lang w:val="fr-CH"/>
              </w:rPr>
            </w:pPr>
            <w:proofErr w:type="spellStart"/>
            <w:r w:rsidRPr="007E1C53">
              <w:rPr>
                <w:rFonts w:eastAsia="Malgun Gothic"/>
                <w:szCs w:val="22"/>
                <w:lang w:val="fr-CH"/>
              </w:rPr>
              <w:t>Brunéi</w:t>
            </w:r>
            <w:proofErr w:type="spellEnd"/>
            <w:r w:rsidRPr="007E1C53">
              <w:rPr>
                <w:rFonts w:eastAsia="Malgun Gothic"/>
                <w:szCs w:val="22"/>
                <w:lang w:val="fr-CH"/>
              </w:rPr>
              <w:t xml:space="preserve"> Darussalam</w:t>
            </w:r>
          </w:p>
        </w:tc>
        <w:tc>
          <w:tcPr>
            <w:tcW w:w="5343" w:type="dxa"/>
          </w:tcPr>
          <w:p w:rsidR="00DD7399" w:rsidRPr="007E1C53" w:rsidRDefault="00007616" w:rsidP="007F46E2">
            <w:pPr>
              <w:rPr>
                <w:rFonts w:eastAsia="Malgun Gothic"/>
                <w:szCs w:val="22"/>
                <w:lang w:val="fr-CH"/>
              </w:rPr>
            </w:pPr>
            <w:r w:rsidRPr="007E1C53">
              <w:rPr>
                <w:rFonts w:eastAsia="Malgun Gothic"/>
                <w:szCs w:val="22"/>
                <w:lang w:val="fr-CH"/>
              </w:rPr>
              <w:t>Volume papier</w:t>
            </w:r>
            <w:r w:rsidR="00B57155" w:rsidRPr="007E1C53">
              <w:rPr>
                <w:rFonts w:eastAsia="Malgun Gothic"/>
                <w:szCs w:val="22"/>
                <w:lang w:val="fr-CH"/>
              </w:rPr>
              <w:t> </w:t>
            </w:r>
            <w:r w:rsidRPr="007E1C53">
              <w:rPr>
                <w:rFonts w:eastAsia="Malgun Gothic"/>
                <w:szCs w:val="22"/>
                <w:lang w:val="fr-CH"/>
              </w:rPr>
              <w:t xml:space="preserve">40 000 – 50 000 pages (brevets 15%, dessins et modèles 5%, marques 80%); </w:t>
            </w:r>
            <w:r w:rsidR="005274F0">
              <w:rPr>
                <w:rFonts w:eastAsia="Malgun Gothic"/>
                <w:szCs w:val="22"/>
                <w:lang w:val="fr-CH"/>
              </w:rPr>
              <w:t xml:space="preserve"> </w:t>
            </w:r>
            <w:r w:rsidRPr="007E1C53">
              <w:rPr>
                <w:rFonts w:eastAsia="Malgun Gothic"/>
                <w:szCs w:val="22"/>
                <w:lang w:val="fr-CH"/>
              </w:rPr>
              <w:t>brevets 300 000</w:t>
            </w:r>
            <w:r w:rsidR="00B57155" w:rsidRPr="007E1C53">
              <w:rPr>
                <w:rFonts w:eastAsia="Malgun Gothic"/>
                <w:szCs w:val="22"/>
                <w:lang w:val="fr-CH"/>
              </w:rPr>
              <w:t> </w:t>
            </w:r>
            <w:r w:rsidRPr="007E1C53">
              <w:rPr>
                <w:rFonts w:eastAsia="Malgun Gothic"/>
                <w:szCs w:val="22"/>
                <w:lang w:val="fr-CH"/>
              </w:rPr>
              <w:t>pages, marques 7 000 000</w:t>
            </w:r>
            <w:r w:rsidR="00B57155" w:rsidRPr="007E1C53">
              <w:rPr>
                <w:rFonts w:eastAsia="Malgun Gothic"/>
                <w:szCs w:val="22"/>
                <w:lang w:val="fr-CH"/>
              </w:rPr>
              <w:t> </w:t>
            </w:r>
            <w:r w:rsidRPr="007E1C53">
              <w:rPr>
                <w:rFonts w:eastAsia="Malgun Gothic"/>
                <w:szCs w:val="22"/>
                <w:lang w:val="fr-CH"/>
              </w:rPr>
              <w:t>pages, dessins et modèles 10 000</w:t>
            </w:r>
            <w:r w:rsidR="00B57155" w:rsidRPr="007E1C53">
              <w:rPr>
                <w:rFonts w:eastAsia="Malgun Gothic"/>
                <w:szCs w:val="22"/>
                <w:lang w:val="fr-CH"/>
              </w:rPr>
              <w:t> </w:t>
            </w:r>
            <w:r w:rsidRPr="007E1C53">
              <w:rPr>
                <w:rFonts w:eastAsia="Malgun Gothic"/>
                <w:szCs w:val="22"/>
                <w:lang w:val="fr-CH"/>
              </w:rPr>
              <w:t>pages</w:t>
            </w:r>
          </w:p>
        </w:tc>
        <w:tc>
          <w:tcPr>
            <w:tcW w:w="1554" w:type="dxa"/>
            <w:vAlign w:val="bottom"/>
          </w:tcPr>
          <w:p w:rsidR="00DD7399" w:rsidRPr="007E1C53" w:rsidRDefault="00007616" w:rsidP="007F46E2">
            <w:pPr>
              <w:jc w:val="right"/>
              <w:rPr>
                <w:rFonts w:eastAsia="Malgun Gothic"/>
                <w:szCs w:val="22"/>
                <w:lang w:val="fr-CH"/>
              </w:rPr>
            </w:pPr>
            <w:r w:rsidRPr="007E1C53">
              <w:rPr>
                <w:rFonts w:eastAsia="Malgun Gothic"/>
                <w:szCs w:val="22"/>
                <w:lang w:val="fr-CH"/>
              </w:rPr>
              <w:t>75 344</w:t>
            </w:r>
          </w:p>
        </w:tc>
      </w:tr>
      <w:tr w:rsidR="007E1C53" w:rsidRPr="007E1C53" w:rsidTr="007F46E2">
        <w:tc>
          <w:tcPr>
            <w:tcW w:w="867" w:type="dxa"/>
            <w:vMerge/>
          </w:tcPr>
          <w:p w:rsidR="00DD7399" w:rsidRPr="007E1C53" w:rsidRDefault="00DD7399" w:rsidP="007F46E2">
            <w:pPr>
              <w:rPr>
                <w:rFonts w:eastAsia="Malgun Gothic"/>
                <w:szCs w:val="22"/>
                <w:lang w:val="fr-CH"/>
              </w:rPr>
            </w:pPr>
          </w:p>
        </w:tc>
        <w:tc>
          <w:tcPr>
            <w:tcW w:w="1582" w:type="dxa"/>
          </w:tcPr>
          <w:p w:rsidR="00DD7399" w:rsidRPr="007E1C53" w:rsidRDefault="00DD7399" w:rsidP="007F46E2">
            <w:pPr>
              <w:rPr>
                <w:rFonts w:eastAsia="Malgun Gothic"/>
                <w:szCs w:val="22"/>
                <w:lang w:val="fr-CH"/>
              </w:rPr>
            </w:pPr>
            <w:r w:rsidRPr="007E1C53">
              <w:rPr>
                <w:rFonts w:eastAsia="Malgun Gothic"/>
                <w:szCs w:val="22"/>
                <w:lang w:val="fr-CH"/>
              </w:rPr>
              <w:t>Laos</w:t>
            </w:r>
          </w:p>
        </w:tc>
        <w:tc>
          <w:tcPr>
            <w:tcW w:w="5343" w:type="dxa"/>
          </w:tcPr>
          <w:p w:rsidR="00DD7399" w:rsidRPr="007E1C53" w:rsidRDefault="00007616" w:rsidP="00FB6977">
            <w:pPr>
              <w:rPr>
                <w:rFonts w:eastAsia="Malgun Gothic"/>
                <w:szCs w:val="22"/>
                <w:lang w:val="fr-CH"/>
              </w:rPr>
            </w:pPr>
            <w:r w:rsidRPr="007E1C53">
              <w:rPr>
                <w:rFonts w:eastAsia="Malgun Gothic"/>
                <w:szCs w:val="22"/>
                <w:lang w:val="fr-CH"/>
              </w:rPr>
              <w:t>Brevets 110 000</w:t>
            </w:r>
            <w:r w:rsidR="00B57155" w:rsidRPr="007E1C53">
              <w:rPr>
                <w:rFonts w:eastAsia="Malgun Gothic"/>
                <w:szCs w:val="22"/>
                <w:lang w:val="fr-CH"/>
              </w:rPr>
              <w:t> </w:t>
            </w:r>
            <w:r w:rsidRPr="007E1C53">
              <w:rPr>
                <w:rFonts w:eastAsia="Malgun Gothic"/>
                <w:szCs w:val="22"/>
                <w:lang w:val="fr-CH"/>
              </w:rPr>
              <w:t>pages;  marques 1 000 000</w:t>
            </w:r>
            <w:r w:rsidR="00B57155" w:rsidRPr="007E1C53">
              <w:rPr>
                <w:rFonts w:eastAsia="Malgun Gothic"/>
                <w:szCs w:val="22"/>
                <w:lang w:val="fr-CH"/>
              </w:rPr>
              <w:t> </w:t>
            </w:r>
            <w:r w:rsidRPr="007E1C53">
              <w:rPr>
                <w:rFonts w:eastAsia="Malgun Gothic"/>
                <w:szCs w:val="22"/>
                <w:lang w:val="fr-CH"/>
              </w:rPr>
              <w:t>pages;</w:t>
            </w:r>
            <w:r w:rsidR="00FB6977">
              <w:rPr>
                <w:rFonts w:eastAsia="Malgun Gothic"/>
                <w:szCs w:val="22"/>
                <w:lang w:val="fr-CH"/>
              </w:rPr>
              <w:t xml:space="preserve">  </w:t>
            </w:r>
            <w:r w:rsidRPr="007E1C53">
              <w:rPr>
                <w:rFonts w:eastAsia="Malgun Gothic"/>
                <w:szCs w:val="22"/>
                <w:lang w:val="fr-CH"/>
              </w:rPr>
              <w:t>Dessins et modèles 17 5000</w:t>
            </w:r>
            <w:r w:rsidR="00B57155" w:rsidRPr="007E1C53">
              <w:rPr>
                <w:rFonts w:eastAsia="Malgun Gothic"/>
                <w:szCs w:val="22"/>
                <w:lang w:val="fr-CH"/>
              </w:rPr>
              <w:t> </w:t>
            </w:r>
            <w:r w:rsidRPr="007E1C53">
              <w:rPr>
                <w:rFonts w:eastAsia="Malgun Gothic"/>
                <w:szCs w:val="22"/>
                <w:lang w:val="fr-CH"/>
              </w:rPr>
              <w:t>pages</w:t>
            </w:r>
          </w:p>
        </w:tc>
        <w:tc>
          <w:tcPr>
            <w:tcW w:w="1554" w:type="dxa"/>
            <w:vAlign w:val="bottom"/>
          </w:tcPr>
          <w:p w:rsidR="00DD7399" w:rsidRPr="007E1C53" w:rsidRDefault="00007616" w:rsidP="007F46E2">
            <w:pPr>
              <w:jc w:val="right"/>
              <w:rPr>
                <w:rFonts w:eastAsia="Malgun Gothic"/>
                <w:szCs w:val="22"/>
                <w:lang w:val="fr-CH"/>
              </w:rPr>
            </w:pPr>
            <w:r w:rsidRPr="007E1C53">
              <w:rPr>
                <w:rFonts w:eastAsia="Malgun Gothic"/>
                <w:szCs w:val="22"/>
                <w:lang w:val="fr-CH"/>
              </w:rPr>
              <w:t>98 445</w:t>
            </w:r>
          </w:p>
        </w:tc>
      </w:tr>
      <w:tr w:rsidR="007E1C53" w:rsidRPr="007E1C53" w:rsidTr="007F46E2">
        <w:tc>
          <w:tcPr>
            <w:tcW w:w="867" w:type="dxa"/>
            <w:vMerge/>
          </w:tcPr>
          <w:p w:rsidR="00DD7399" w:rsidRPr="007E1C53" w:rsidRDefault="00DD7399" w:rsidP="007F46E2">
            <w:pPr>
              <w:rPr>
                <w:rFonts w:eastAsia="Malgun Gothic"/>
                <w:szCs w:val="22"/>
                <w:lang w:val="fr-CH"/>
              </w:rPr>
            </w:pPr>
          </w:p>
        </w:tc>
        <w:tc>
          <w:tcPr>
            <w:tcW w:w="1582" w:type="dxa"/>
          </w:tcPr>
          <w:p w:rsidR="00DD7399" w:rsidRPr="007E1C53" w:rsidRDefault="00DD7399" w:rsidP="007F46E2">
            <w:pPr>
              <w:rPr>
                <w:rFonts w:eastAsia="Malgun Gothic"/>
                <w:szCs w:val="22"/>
                <w:lang w:val="fr-CH"/>
              </w:rPr>
            </w:pPr>
            <w:r w:rsidRPr="007E1C53">
              <w:rPr>
                <w:rFonts w:eastAsia="Malgun Gothic"/>
                <w:szCs w:val="22"/>
                <w:lang w:val="fr-CH"/>
              </w:rPr>
              <w:t>Botswana</w:t>
            </w:r>
          </w:p>
        </w:tc>
        <w:tc>
          <w:tcPr>
            <w:tcW w:w="5343" w:type="dxa"/>
          </w:tcPr>
          <w:p w:rsidR="00DD7399" w:rsidRPr="007E1C53" w:rsidRDefault="008D17AE" w:rsidP="007F46E2">
            <w:pPr>
              <w:rPr>
                <w:rFonts w:eastAsia="Malgun Gothic"/>
                <w:szCs w:val="22"/>
                <w:lang w:val="fr-CH"/>
              </w:rPr>
            </w:pPr>
            <w:r w:rsidRPr="007E1C53">
              <w:rPr>
                <w:rFonts w:eastAsia="Malgun Gothic"/>
                <w:szCs w:val="22"/>
                <w:lang w:val="fr-CH"/>
              </w:rPr>
              <w:t>37 095 dossiers pour des brevets, des marques et des dessins et modèles</w:t>
            </w:r>
          </w:p>
        </w:tc>
        <w:tc>
          <w:tcPr>
            <w:tcW w:w="1554" w:type="dxa"/>
            <w:vAlign w:val="bottom"/>
          </w:tcPr>
          <w:p w:rsidR="00DD7399" w:rsidRPr="007E1C53" w:rsidRDefault="008D17AE" w:rsidP="007F46E2">
            <w:pPr>
              <w:jc w:val="right"/>
              <w:rPr>
                <w:rFonts w:eastAsia="Malgun Gothic"/>
                <w:szCs w:val="22"/>
                <w:lang w:val="fr-CH"/>
              </w:rPr>
            </w:pPr>
            <w:r w:rsidRPr="007E1C53">
              <w:rPr>
                <w:rFonts w:eastAsia="Malgun Gothic"/>
                <w:szCs w:val="22"/>
                <w:lang w:val="fr-CH"/>
              </w:rPr>
              <w:t>67 000</w:t>
            </w:r>
          </w:p>
        </w:tc>
      </w:tr>
      <w:tr w:rsidR="007E1C53" w:rsidRPr="007E1C53" w:rsidTr="007F46E2">
        <w:tc>
          <w:tcPr>
            <w:tcW w:w="867" w:type="dxa"/>
            <w:vMerge/>
          </w:tcPr>
          <w:p w:rsidR="00DD7399" w:rsidRPr="007E1C53" w:rsidRDefault="00DD7399" w:rsidP="007F46E2">
            <w:pPr>
              <w:rPr>
                <w:rFonts w:eastAsia="Malgun Gothic"/>
                <w:szCs w:val="22"/>
                <w:lang w:val="fr-CH"/>
              </w:rPr>
            </w:pPr>
          </w:p>
        </w:tc>
        <w:tc>
          <w:tcPr>
            <w:tcW w:w="1582" w:type="dxa"/>
          </w:tcPr>
          <w:p w:rsidR="00DD7399" w:rsidRPr="007E1C53" w:rsidRDefault="00DD7399" w:rsidP="007F46E2">
            <w:pPr>
              <w:rPr>
                <w:rFonts w:eastAsia="Malgun Gothic"/>
                <w:szCs w:val="22"/>
                <w:lang w:val="fr-CH"/>
              </w:rPr>
            </w:pPr>
            <w:r w:rsidRPr="007E1C53">
              <w:rPr>
                <w:rFonts w:eastAsia="Malgun Gothic"/>
                <w:szCs w:val="22"/>
                <w:lang w:val="fr-CH"/>
              </w:rPr>
              <w:t>Kenya</w:t>
            </w:r>
          </w:p>
        </w:tc>
        <w:tc>
          <w:tcPr>
            <w:tcW w:w="5343" w:type="dxa"/>
          </w:tcPr>
          <w:p w:rsidR="00DD7399" w:rsidRPr="007E1C53" w:rsidRDefault="008D17AE" w:rsidP="007F46E2">
            <w:pPr>
              <w:rPr>
                <w:rFonts w:eastAsia="Malgun Gothic"/>
                <w:szCs w:val="22"/>
                <w:lang w:val="fr-CH"/>
              </w:rPr>
            </w:pPr>
            <w:r w:rsidRPr="007E1C53">
              <w:rPr>
                <w:rFonts w:eastAsia="Malgun Gothic"/>
                <w:szCs w:val="22"/>
                <w:lang w:val="fr-CH"/>
              </w:rPr>
              <w:t>820 000 pages de marques, brevets et dessins et modèles</w:t>
            </w:r>
          </w:p>
        </w:tc>
        <w:tc>
          <w:tcPr>
            <w:tcW w:w="1554" w:type="dxa"/>
            <w:vAlign w:val="bottom"/>
          </w:tcPr>
          <w:p w:rsidR="00DD7399" w:rsidRPr="007E1C53" w:rsidRDefault="008D17AE" w:rsidP="007F46E2">
            <w:pPr>
              <w:jc w:val="right"/>
              <w:rPr>
                <w:rFonts w:eastAsia="Malgun Gothic"/>
                <w:szCs w:val="22"/>
                <w:lang w:val="fr-CH"/>
              </w:rPr>
            </w:pPr>
            <w:r w:rsidRPr="007E1C53">
              <w:rPr>
                <w:rFonts w:eastAsia="Malgun Gothic"/>
                <w:szCs w:val="22"/>
                <w:lang w:val="fr-CH"/>
              </w:rPr>
              <w:t>82 000</w:t>
            </w:r>
          </w:p>
        </w:tc>
      </w:tr>
      <w:tr w:rsidR="007E1C53" w:rsidRPr="007E1C53" w:rsidTr="007F46E2">
        <w:tc>
          <w:tcPr>
            <w:tcW w:w="867" w:type="dxa"/>
            <w:vMerge/>
          </w:tcPr>
          <w:p w:rsidR="00DD7399" w:rsidRPr="007E1C53" w:rsidRDefault="00DD7399" w:rsidP="007F46E2">
            <w:pPr>
              <w:rPr>
                <w:rFonts w:eastAsia="Malgun Gothic"/>
                <w:szCs w:val="22"/>
                <w:lang w:val="fr-CH"/>
              </w:rPr>
            </w:pPr>
          </w:p>
        </w:tc>
        <w:tc>
          <w:tcPr>
            <w:tcW w:w="1582" w:type="dxa"/>
          </w:tcPr>
          <w:p w:rsidR="00DD7399" w:rsidRPr="007E1C53" w:rsidRDefault="00DD7399" w:rsidP="007F46E2">
            <w:pPr>
              <w:rPr>
                <w:rFonts w:eastAsia="Malgun Gothic"/>
                <w:szCs w:val="22"/>
                <w:lang w:val="fr-CH"/>
              </w:rPr>
            </w:pPr>
            <w:proofErr w:type="spellStart"/>
            <w:r w:rsidRPr="007E1C53">
              <w:rPr>
                <w:rFonts w:eastAsia="Malgun Gothic"/>
                <w:szCs w:val="22"/>
                <w:lang w:val="fr-CH"/>
              </w:rPr>
              <w:t>ARIPO</w:t>
            </w:r>
            <w:proofErr w:type="spellEnd"/>
          </w:p>
        </w:tc>
        <w:tc>
          <w:tcPr>
            <w:tcW w:w="5343" w:type="dxa"/>
          </w:tcPr>
          <w:p w:rsidR="00DD7399" w:rsidRPr="007E1C53" w:rsidRDefault="008D17AE" w:rsidP="007F46E2">
            <w:pPr>
              <w:rPr>
                <w:rFonts w:eastAsia="Malgun Gothic"/>
                <w:szCs w:val="22"/>
                <w:lang w:val="fr-CH"/>
              </w:rPr>
            </w:pPr>
            <w:r w:rsidRPr="007E1C53">
              <w:rPr>
                <w:rFonts w:eastAsia="Malgun Gothic"/>
                <w:szCs w:val="22"/>
                <w:lang w:val="fr-CH"/>
              </w:rPr>
              <w:t>8231 pages de dossiers de brevet</w:t>
            </w:r>
          </w:p>
        </w:tc>
        <w:tc>
          <w:tcPr>
            <w:tcW w:w="1554" w:type="dxa"/>
            <w:vAlign w:val="bottom"/>
          </w:tcPr>
          <w:p w:rsidR="00DD7399" w:rsidRPr="007E1C53" w:rsidRDefault="008D17AE" w:rsidP="007F46E2">
            <w:pPr>
              <w:jc w:val="right"/>
              <w:rPr>
                <w:rFonts w:eastAsia="Malgun Gothic"/>
                <w:szCs w:val="22"/>
                <w:lang w:val="fr-CH"/>
              </w:rPr>
            </w:pPr>
            <w:r w:rsidRPr="007E1C53">
              <w:rPr>
                <w:rFonts w:eastAsia="Malgun Gothic"/>
                <w:szCs w:val="22"/>
                <w:lang w:val="fr-CH"/>
              </w:rPr>
              <w:t>100 000</w:t>
            </w:r>
          </w:p>
        </w:tc>
      </w:tr>
      <w:tr w:rsidR="007E1C53" w:rsidRPr="007E1C53" w:rsidTr="007F46E2">
        <w:tc>
          <w:tcPr>
            <w:tcW w:w="867" w:type="dxa"/>
            <w:vMerge w:val="restart"/>
          </w:tcPr>
          <w:p w:rsidR="00DD7399" w:rsidRPr="007E1C53" w:rsidRDefault="00DD7399" w:rsidP="007F46E2">
            <w:pPr>
              <w:rPr>
                <w:rFonts w:eastAsia="Malgun Gothic"/>
                <w:szCs w:val="22"/>
                <w:lang w:val="fr-CH"/>
              </w:rPr>
            </w:pPr>
            <w:r w:rsidRPr="007E1C53">
              <w:rPr>
                <w:rFonts w:eastAsia="Malgun Gothic"/>
                <w:szCs w:val="22"/>
                <w:lang w:val="fr-CH"/>
              </w:rPr>
              <w:t>2018</w:t>
            </w:r>
          </w:p>
        </w:tc>
        <w:tc>
          <w:tcPr>
            <w:tcW w:w="1582" w:type="dxa"/>
          </w:tcPr>
          <w:p w:rsidR="00DD7399" w:rsidRPr="007E1C53" w:rsidRDefault="008D17AE" w:rsidP="007F46E2">
            <w:pPr>
              <w:rPr>
                <w:rFonts w:eastAsia="Malgun Gothic"/>
                <w:szCs w:val="22"/>
                <w:lang w:val="fr-CH"/>
              </w:rPr>
            </w:pPr>
            <w:r w:rsidRPr="007E1C53">
              <w:rPr>
                <w:rFonts w:eastAsia="Malgun Gothic"/>
                <w:szCs w:val="22"/>
                <w:lang w:val="fr-CH"/>
              </w:rPr>
              <w:t>Namibie</w:t>
            </w:r>
          </w:p>
        </w:tc>
        <w:tc>
          <w:tcPr>
            <w:tcW w:w="5343" w:type="dxa"/>
          </w:tcPr>
          <w:p w:rsidR="00DD7399" w:rsidRPr="007E1C53" w:rsidRDefault="008D17AE" w:rsidP="007F46E2">
            <w:pPr>
              <w:rPr>
                <w:rFonts w:eastAsia="Malgun Gothic"/>
                <w:szCs w:val="22"/>
                <w:lang w:val="fr-CH"/>
              </w:rPr>
            </w:pPr>
            <w:r w:rsidRPr="007E1C53">
              <w:rPr>
                <w:rFonts w:eastAsia="Malgun Gothic"/>
                <w:szCs w:val="22"/>
                <w:lang w:val="fr-CH"/>
              </w:rPr>
              <w:t xml:space="preserve">83 000 pages de dossiers de titres de propriété </w:t>
            </w:r>
            <w:r w:rsidR="00CD6D1F" w:rsidRPr="007E1C53">
              <w:rPr>
                <w:rFonts w:eastAsia="Malgun Gothic"/>
                <w:szCs w:val="22"/>
                <w:lang w:val="fr-CH"/>
              </w:rPr>
              <w:t>intellectu</w:t>
            </w:r>
            <w:r w:rsidRPr="007E1C53">
              <w:rPr>
                <w:rFonts w:eastAsia="Malgun Gothic"/>
                <w:szCs w:val="22"/>
                <w:lang w:val="fr-CH"/>
              </w:rPr>
              <w:t>elle pour nett</w:t>
            </w:r>
            <w:r w:rsidR="00900210" w:rsidRPr="007E1C53">
              <w:rPr>
                <w:rFonts w:eastAsia="Malgun Gothic"/>
                <w:szCs w:val="22"/>
                <w:lang w:val="fr-CH"/>
              </w:rPr>
              <w:t>oyage et validation des données</w:t>
            </w:r>
          </w:p>
        </w:tc>
        <w:tc>
          <w:tcPr>
            <w:tcW w:w="1554" w:type="dxa"/>
            <w:vAlign w:val="bottom"/>
          </w:tcPr>
          <w:p w:rsidR="00DD7399" w:rsidRPr="007E1C53" w:rsidRDefault="008D17AE" w:rsidP="007F46E2">
            <w:pPr>
              <w:jc w:val="right"/>
              <w:rPr>
                <w:rFonts w:eastAsia="Malgun Gothic"/>
                <w:szCs w:val="22"/>
                <w:lang w:val="fr-CH"/>
              </w:rPr>
            </w:pPr>
            <w:r w:rsidRPr="007E1C53">
              <w:rPr>
                <w:rFonts w:eastAsia="Malgun Gothic"/>
                <w:szCs w:val="22"/>
                <w:lang w:val="fr-CH"/>
              </w:rPr>
              <w:t>97 000</w:t>
            </w:r>
          </w:p>
        </w:tc>
      </w:tr>
      <w:tr w:rsidR="007E1C53" w:rsidRPr="007E1C53" w:rsidTr="007F46E2">
        <w:tc>
          <w:tcPr>
            <w:tcW w:w="867" w:type="dxa"/>
            <w:vMerge/>
          </w:tcPr>
          <w:p w:rsidR="00DD7399" w:rsidRPr="007E1C53" w:rsidRDefault="00DD7399" w:rsidP="007F46E2">
            <w:pPr>
              <w:rPr>
                <w:rFonts w:eastAsia="Malgun Gothic"/>
                <w:szCs w:val="22"/>
                <w:lang w:val="fr-CH"/>
              </w:rPr>
            </w:pPr>
          </w:p>
        </w:tc>
        <w:tc>
          <w:tcPr>
            <w:tcW w:w="1582" w:type="dxa"/>
          </w:tcPr>
          <w:p w:rsidR="00DD7399" w:rsidRPr="007E1C53" w:rsidRDefault="00DD7399" w:rsidP="007F46E2">
            <w:pPr>
              <w:rPr>
                <w:rFonts w:eastAsia="Malgun Gothic"/>
                <w:szCs w:val="22"/>
                <w:lang w:val="fr-CH"/>
              </w:rPr>
            </w:pPr>
            <w:r w:rsidRPr="007E1C53">
              <w:rPr>
                <w:rFonts w:eastAsia="Malgun Gothic"/>
                <w:szCs w:val="22"/>
                <w:lang w:val="fr-CH"/>
              </w:rPr>
              <w:t>Mozambique</w:t>
            </w:r>
          </w:p>
        </w:tc>
        <w:tc>
          <w:tcPr>
            <w:tcW w:w="5343" w:type="dxa"/>
          </w:tcPr>
          <w:p w:rsidR="00DD7399" w:rsidRPr="007E1C53" w:rsidRDefault="005A3259" w:rsidP="007F46E2">
            <w:pPr>
              <w:rPr>
                <w:rFonts w:eastAsia="Malgun Gothic"/>
                <w:szCs w:val="22"/>
                <w:lang w:val="fr-CH"/>
              </w:rPr>
            </w:pPr>
            <w:r w:rsidRPr="007E1C53">
              <w:rPr>
                <w:rFonts w:eastAsia="Malgun Gothic"/>
                <w:szCs w:val="22"/>
                <w:lang w:val="fr-CH"/>
              </w:rPr>
              <w:t>800 000 pages de documents de brevet numérisés</w:t>
            </w:r>
          </w:p>
        </w:tc>
        <w:tc>
          <w:tcPr>
            <w:tcW w:w="1554" w:type="dxa"/>
            <w:vAlign w:val="bottom"/>
          </w:tcPr>
          <w:p w:rsidR="00DD7399" w:rsidRPr="007E1C53" w:rsidRDefault="005A3259" w:rsidP="007F46E2">
            <w:pPr>
              <w:jc w:val="right"/>
              <w:rPr>
                <w:rFonts w:eastAsia="Malgun Gothic"/>
                <w:szCs w:val="22"/>
                <w:lang w:val="fr-CH"/>
              </w:rPr>
            </w:pPr>
            <w:r w:rsidRPr="007E1C53">
              <w:rPr>
                <w:rFonts w:eastAsia="Malgun Gothic"/>
                <w:szCs w:val="22"/>
                <w:lang w:val="fr-CH"/>
              </w:rPr>
              <w:t>95 000</w:t>
            </w:r>
          </w:p>
        </w:tc>
      </w:tr>
      <w:tr w:rsidR="007E1C53" w:rsidRPr="007E1C53" w:rsidTr="007F46E2">
        <w:tc>
          <w:tcPr>
            <w:tcW w:w="867" w:type="dxa"/>
            <w:vMerge w:val="restart"/>
          </w:tcPr>
          <w:p w:rsidR="00DD7399" w:rsidRPr="007E1C53" w:rsidRDefault="00DD7399" w:rsidP="007F46E2">
            <w:pPr>
              <w:rPr>
                <w:rFonts w:eastAsia="Malgun Gothic"/>
                <w:szCs w:val="22"/>
                <w:lang w:val="fr-CH"/>
              </w:rPr>
            </w:pPr>
            <w:r w:rsidRPr="007E1C53">
              <w:rPr>
                <w:rFonts w:eastAsia="Malgun Gothic"/>
                <w:szCs w:val="22"/>
                <w:lang w:val="fr-CH"/>
              </w:rPr>
              <w:t>2019</w:t>
            </w:r>
          </w:p>
        </w:tc>
        <w:tc>
          <w:tcPr>
            <w:tcW w:w="1582" w:type="dxa"/>
          </w:tcPr>
          <w:p w:rsidR="00DD7399" w:rsidRPr="007E1C53" w:rsidRDefault="00DD7399" w:rsidP="007F46E2">
            <w:pPr>
              <w:rPr>
                <w:rFonts w:eastAsia="Malgun Gothic"/>
                <w:szCs w:val="22"/>
                <w:lang w:val="fr-CH"/>
              </w:rPr>
            </w:pPr>
            <w:r w:rsidRPr="007E1C53">
              <w:rPr>
                <w:rFonts w:eastAsia="Malgun Gothic"/>
                <w:szCs w:val="22"/>
                <w:lang w:val="fr-CH"/>
              </w:rPr>
              <w:t>Philippines</w:t>
            </w:r>
          </w:p>
        </w:tc>
        <w:tc>
          <w:tcPr>
            <w:tcW w:w="5343" w:type="dxa"/>
          </w:tcPr>
          <w:p w:rsidR="00DD7399" w:rsidRPr="007E1C53" w:rsidRDefault="005A3259" w:rsidP="007F46E2">
            <w:pPr>
              <w:rPr>
                <w:rFonts w:eastAsia="Malgun Gothic"/>
                <w:szCs w:val="22"/>
                <w:lang w:val="fr-CH"/>
              </w:rPr>
            </w:pPr>
            <w:r w:rsidRPr="007E1C53">
              <w:rPr>
                <w:rFonts w:eastAsia="Malgun Gothic"/>
                <w:szCs w:val="22"/>
                <w:lang w:val="fr-CH"/>
              </w:rPr>
              <w:t>1,2</w:t>
            </w:r>
            <w:r w:rsidR="00B57155" w:rsidRPr="007E1C53">
              <w:rPr>
                <w:rFonts w:eastAsia="Malgun Gothic"/>
                <w:szCs w:val="22"/>
                <w:lang w:val="fr-CH"/>
              </w:rPr>
              <w:t> </w:t>
            </w:r>
            <w:r w:rsidRPr="007E1C53">
              <w:rPr>
                <w:rFonts w:eastAsia="Malgun Gothic"/>
                <w:szCs w:val="22"/>
                <w:lang w:val="fr-CH"/>
              </w:rPr>
              <w:t xml:space="preserve">million de pages </w:t>
            </w:r>
            <w:r w:rsidR="00900210" w:rsidRPr="007E1C53">
              <w:rPr>
                <w:rFonts w:eastAsia="Malgun Gothic"/>
                <w:szCs w:val="22"/>
                <w:lang w:val="fr-CH"/>
              </w:rPr>
              <w:t xml:space="preserve">numérisées </w:t>
            </w:r>
            <w:r w:rsidRPr="007E1C53">
              <w:rPr>
                <w:rFonts w:eastAsia="Malgun Gothic"/>
                <w:szCs w:val="22"/>
                <w:lang w:val="fr-CH"/>
              </w:rPr>
              <w:t>pour les documents de brevet et 93 512</w:t>
            </w:r>
            <w:r w:rsidR="00B57155" w:rsidRPr="007E1C53">
              <w:rPr>
                <w:rFonts w:eastAsia="Malgun Gothic"/>
                <w:szCs w:val="22"/>
                <w:lang w:val="fr-CH"/>
              </w:rPr>
              <w:t> </w:t>
            </w:r>
            <w:r w:rsidRPr="007E1C53">
              <w:rPr>
                <w:rFonts w:eastAsia="Malgun Gothic"/>
                <w:szCs w:val="22"/>
                <w:lang w:val="fr-CH"/>
              </w:rPr>
              <w:t>demandes de brevet pour nettoyage des données</w:t>
            </w:r>
          </w:p>
        </w:tc>
        <w:tc>
          <w:tcPr>
            <w:tcW w:w="1554" w:type="dxa"/>
            <w:vAlign w:val="bottom"/>
          </w:tcPr>
          <w:p w:rsidR="00DD7399" w:rsidRPr="007E1C53" w:rsidRDefault="005A3259" w:rsidP="007F46E2">
            <w:pPr>
              <w:jc w:val="right"/>
              <w:rPr>
                <w:rFonts w:eastAsia="Malgun Gothic"/>
                <w:szCs w:val="22"/>
                <w:lang w:val="fr-CH"/>
              </w:rPr>
            </w:pPr>
            <w:r w:rsidRPr="007E1C53">
              <w:rPr>
                <w:rFonts w:eastAsia="Malgun Gothic"/>
                <w:szCs w:val="22"/>
                <w:lang w:val="fr-CH"/>
              </w:rPr>
              <w:t>153 207</w:t>
            </w:r>
          </w:p>
        </w:tc>
      </w:tr>
      <w:tr w:rsidR="007E1C53" w:rsidRPr="007E1C53" w:rsidTr="007F46E2">
        <w:tc>
          <w:tcPr>
            <w:tcW w:w="867" w:type="dxa"/>
            <w:vMerge/>
          </w:tcPr>
          <w:p w:rsidR="00DD7399" w:rsidRPr="007E1C53" w:rsidRDefault="00DD7399" w:rsidP="007F46E2">
            <w:pPr>
              <w:rPr>
                <w:rFonts w:eastAsia="Malgun Gothic"/>
                <w:szCs w:val="22"/>
                <w:lang w:val="fr-CH"/>
              </w:rPr>
            </w:pPr>
          </w:p>
        </w:tc>
        <w:tc>
          <w:tcPr>
            <w:tcW w:w="1582" w:type="dxa"/>
          </w:tcPr>
          <w:p w:rsidR="00DD7399" w:rsidRPr="007E1C53" w:rsidRDefault="005A3259" w:rsidP="007F46E2">
            <w:pPr>
              <w:rPr>
                <w:rFonts w:eastAsia="Malgun Gothic"/>
                <w:szCs w:val="22"/>
                <w:lang w:val="fr-CH"/>
              </w:rPr>
            </w:pPr>
            <w:r w:rsidRPr="007E1C53">
              <w:rPr>
                <w:rFonts w:eastAsia="Malgun Gothic"/>
                <w:szCs w:val="22"/>
                <w:lang w:val="fr-CH"/>
              </w:rPr>
              <w:t>Viet</w:t>
            </w:r>
            <w:r w:rsidR="005274F0">
              <w:rPr>
                <w:rFonts w:eastAsia="Malgun Gothic"/>
                <w:szCs w:val="22"/>
                <w:lang w:val="fr-CH"/>
              </w:rPr>
              <w:t> </w:t>
            </w:r>
            <w:r w:rsidRPr="007E1C53">
              <w:rPr>
                <w:rFonts w:eastAsia="Malgun Gothic"/>
                <w:szCs w:val="22"/>
                <w:lang w:val="fr-CH"/>
              </w:rPr>
              <w:t>Nam (en</w:t>
            </w:r>
            <w:r w:rsidR="007F46E2">
              <w:rPr>
                <w:rFonts w:eastAsia="Malgun Gothic"/>
                <w:szCs w:val="22"/>
                <w:lang w:val="fr-CH"/>
              </w:rPr>
              <w:t> </w:t>
            </w:r>
            <w:r w:rsidRPr="007E1C53">
              <w:rPr>
                <w:rFonts w:eastAsia="Malgun Gothic"/>
                <w:szCs w:val="22"/>
                <w:lang w:val="fr-CH"/>
              </w:rPr>
              <w:t>cours)</w:t>
            </w:r>
          </w:p>
        </w:tc>
        <w:tc>
          <w:tcPr>
            <w:tcW w:w="5343" w:type="dxa"/>
          </w:tcPr>
          <w:p w:rsidR="00DD7399" w:rsidRPr="007E1C53" w:rsidRDefault="005A3259" w:rsidP="007F46E2">
            <w:pPr>
              <w:rPr>
                <w:rFonts w:eastAsia="Malgun Gothic"/>
                <w:szCs w:val="22"/>
                <w:lang w:val="fr-CH"/>
              </w:rPr>
            </w:pPr>
            <w:r w:rsidRPr="007E1C53">
              <w:rPr>
                <w:rFonts w:eastAsia="Malgun Gothic"/>
                <w:szCs w:val="22"/>
                <w:lang w:val="fr-CH"/>
              </w:rPr>
              <w:t>3</w:t>
            </w:r>
            <w:r w:rsidR="00B57155" w:rsidRPr="007E1C53">
              <w:rPr>
                <w:rFonts w:eastAsia="Malgun Gothic"/>
                <w:szCs w:val="22"/>
                <w:lang w:val="fr-CH"/>
              </w:rPr>
              <w:t> </w:t>
            </w:r>
            <w:r w:rsidRPr="007E1C53">
              <w:rPr>
                <w:rFonts w:eastAsia="Malgun Gothic"/>
                <w:szCs w:val="22"/>
                <w:lang w:val="fr-CH"/>
              </w:rPr>
              <w:t xml:space="preserve">millions de documents de brevet </w:t>
            </w:r>
            <w:r w:rsidR="00900210" w:rsidRPr="007E1C53">
              <w:rPr>
                <w:rFonts w:eastAsia="Malgun Gothic"/>
                <w:szCs w:val="22"/>
                <w:lang w:val="fr-CH"/>
              </w:rPr>
              <w:t>numérisés</w:t>
            </w:r>
          </w:p>
        </w:tc>
        <w:tc>
          <w:tcPr>
            <w:tcW w:w="1554" w:type="dxa"/>
            <w:vAlign w:val="bottom"/>
          </w:tcPr>
          <w:p w:rsidR="00DD7399" w:rsidRPr="007E1C53" w:rsidRDefault="005A3259" w:rsidP="007F46E2">
            <w:pPr>
              <w:jc w:val="right"/>
              <w:rPr>
                <w:rFonts w:eastAsia="Malgun Gothic"/>
                <w:szCs w:val="22"/>
                <w:lang w:val="fr-CH"/>
              </w:rPr>
            </w:pPr>
            <w:r w:rsidRPr="007E1C53">
              <w:rPr>
                <w:rFonts w:eastAsia="Malgun Gothic"/>
                <w:szCs w:val="22"/>
                <w:lang w:val="fr-CH"/>
              </w:rPr>
              <w:t>200 000</w:t>
            </w:r>
          </w:p>
        </w:tc>
      </w:tr>
    </w:tbl>
    <w:p w:rsidR="009B6058" w:rsidRPr="007E1C53" w:rsidRDefault="009B6058" w:rsidP="007F46E2">
      <w:pPr>
        <w:rPr>
          <w:lang w:val="fr-CH"/>
        </w:rPr>
      </w:pPr>
    </w:p>
    <w:p w:rsidR="00940BD3" w:rsidRDefault="00FA6E6E" w:rsidP="007F46E2">
      <w:pPr>
        <w:pStyle w:val="Heading5"/>
      </w:pPr>
      <w:r w:rsidRPr="007E1C53">
        <w:t>Aide au développement de l</w:t>
      </w:r>
      <w:r w:rsidR="00940BD3">
        <w:t>’</w:t>
      </w:r>
      <w:r w:rsidRPr="007E1C53">
        <w:t>infrastructure technique et des systèmes</w:t>
      </w:r>
      <w:r w:rsidR="00557AB9" w:rsidRPr="007E1C53">
        <w:t xml:space="preserve"> informatiques</w:t>
      </w:r>
      <w:r w:rsidRPr="007E1C53">
        <w:t xml:space="preserve"> dans les institutions de propriété intellectuelle</w:t>
      </w:r>
    </w:p>
    <w:p w:rsidR="009B6058" w:rsidRPr="007E1C53" w:rsidRDefault="00F96E0E" w:rsidP="007F46E2">
      <w:pPr>
        <w:pStyle w:val="ONUMFS"/>
      </w:pPr>
      <w:r w:rsidRPr="007E1C53">
        <w:t>La disponibilité de</w:t>
      </w:r>
      <w:r w:rsidR="00537CD9" w:rsidRPr="007E1C53">
        <w:t>s</w:t>
      </w:r>
      <w:r w:rsidRPr="007E1C53">
        <w:t xml:space="preserve"> données numériques de propriété intellectuelle ne suffit pas pour permettre aux offices de propriété intellectuelle de travailler dans l</w:t>
      </w:r>
      <w:r w:rsidR="00940BD3">
        <w:t>’</w:t>
      </w:r>
      <w:r w:rsidRPr="007E1C53">
        <w:t>environnement numériq</w:t>
      </w:r>
      <w:r w:rsidR="00FB6977" w:rsidRPr="007E1C53">
        <w:t>ue</w:t>
      </w:r>
      <w:r w:rsidR="00FB6977">
        <w:t xml:space="preserve">.  </w:t>
      </w:r>
      <w:r w:rsidR="00FB6977" w:rsidRPr="007E1C53">
        <w:t>Il</w:t>
      </w:r>
      <w:r w:rsidRPr="007E1C53">
        <w:t xml:space="preserve"> faut que le système </w:t>
      </w:r>
      <w:r w:rsidR="004933BE" w:rsidRPr="007E1C53">
        <w:t>informatique</w:t>
      </w:r>
      <w:r w:rsidRPr="007E1C53">
        <w:t xml:space="preserve"> fonctionne efficacement et accepte </w:t>
      </w:r>
      <w:r w:rsidR="004933BE" w:rsidRPr="007E1C53">
        <w:t>les opérations</w:t>
      </w:r>
      <w:r w:rsidRPr="007E1C53">
        <w:t xml:space="preserve"> pour les fichiers de propriété intellectuelle sous forme numériq</w:t>
      </w:r>
      <w:r w:rsidR="00FB6977" w:rsidRPr="007E1C53">
        <w:t>ue</w:t>
      </w:r>
      <w:r w:rsidR="00FB6977">
        <w:t xml:space="preserve">.  </w:t>
      </w:r>
      <w:r w:rsidR="00FB6977" w:rsidRPr="007E1C53">
        <w:t>Le</w:t>
      </w:r>
      <w:r w:rsidRPr="007E1C53">
        <w:t xml:space="preserve"> Secrétariat de l</w:t>
      </w:r>
      <w:r w:rsidR="00940BD3">
        <w:t>’</w:t>
      </w:r>
      <w:proofErr w:type="spellStart"/>
      <w:r w:rsidRPr="007E1C53">
        <w:t>OMPI</w:t>
      </w:r>
      <w:proofErr w:type="spellEnd"/>
      <w:r w:rsidRPr="007E1C53">
        <w:t xml:space="preserve"> a commencé à fournir son logiciel mis au point en interne pour le traitement des données et des fichiers </w:t>
      </w:r>
      <w:r w:rsidR="004933BE" w:rsidRPr="007E1C53">
        <w:t xml:space="preserve">numériques </w:t>
      </w:r>
      <w:r w:rsidRPr="007E1C53">
        <w:t xml:space="preserve">de propriété intellectuelle </w:t>
      </w:r>
      <w:r w:rsidR="00940BD3" w:rsidRPr="007E1C53">
        <w:t>en</w:t>
      </w:r>
      <w:r w:rsidR="00940BD3">
        <w:t> </w:t>
      </w:r>
      <w:r w:rsidR="00940BD3" w:rsidRPr="007E1C53">
        <w:t>1999</w:t>
      </w:r>
      <w:r w:rsidRPr="007E1C53">
        <w:t>.</w:t>
      </w:r>
      <w:r w:rsidR="00DD7399" w:rsidRPr="007E1C53">
        <w:t xml:space="preserve"> </w:t>
      </w:r>
      <w:r w:rsidR="00B57155" w:rsidRPr="007E1C53">
        <w:t xml:space="preserve"> A</w:t>
      </w:r>
      <w:r w:rsidR="00CD6D1F" w:rsidRPr="007E1C53">
        <w:t xml:space="preserve">u fil des années, </w:t>
      </w:r>
      <w:r w:rsidR="009A27F2" w:rsidRPr="007E1C53">
        <w:t>il</w:t>
      </w:r>
      <w:r w:rsidR="00CD6D1F" w:rsidRPr="007E1C53">
        <w:t xml:space="preserve"> a </w:t>
      </w:r>
      <w:r w:rsidR="009A27F2" w:rsidRPr="007E1C53">
        <w:t>développé</w:t>
      </w:r>
      <w:r w:rsidR="00CD6D1F" w:rsidRPr="007E1C53">
        <w:t xml:space="preserve">, étendu et amélioré le logiciel </w:t>
      </w:r>
      <w:proofErr w:type="spellStart"/>
      <w:r w:rsidR="00A32926" w:rsidRPr="007E1C53">
        <w:t>IPAS</w:t>
      </w:r>
      <w:proofErr w:type="spellEnd"/>
      <w:r w:rsidR="00A32926" w:rsidRPr="007E1C53">
        <w:t xml:space="preserve"> </w:t>
      </w:r>
      <w:r w:rsidR="00CD6D1F" w:rsidRPr="007E1C53">
        <w:t>de l</w:t>
      </w:r>
      <w:r w:rsidR="00940BD3">
        <w:t>’</w:t>
      </w:r>
      <w:proofErr w:type="spellStart"/>
      <w:r w:rsidR="00CD6D1F" w:rsidRPr="007E1C53">
        <w:t>OMPI</w:t>
      </w:r>
      <w:proofErr w:type="spellEnd"/>
      <w:r w:rsidR="00CD6D1F" w:rsidRPr="007E1C53">
        <w:t xml:space="preserve"> pour l</w:t>
      </w:r>
      <w:r w:rsidR="00940BD3">
        <w:t>’</w:t>
      </w:r>
      <w:r w:rsidR="00CD6D1F" w:rsidRPr="007E1C53">
        <w:t>administration des offices de propriété intellectuel</w:t>
      </w:r>
      <w:r w:rsidR="00FB6977" w:rsidRPr="007E1C53">
        <w:t>le</w:t>
      </w:r>
      <w:r w:rsidR="00FB6977">
        <w:t xml:space="preserve">.  </w:t>
      </w:r>
      <w:r w:rsidR="00FB6977" w:rsidRPr="007E1C53">
        <w:t>Le</w:t>
      </w:r>
      <w:r w:rsidR="004933BE" w:rsidRPr="007E1C53">
        <w:t>s</w:t>
      </w:r>
      <w:r w:rsidR="00A32926" w:rsidRPr="007E1C53">
        <w:t xml:space="preserve"> dernière</w:t>
      </w:r>
      <w:r w:rsidR="004933BE" w:rsidRPr="007E1C53">
        <w:t>s</w:t>
      </w:r>
      <w:r w:rsidR="00A32926" w:rsidRPr="007E1C53">
        <w:t xml:space="preserve"> édition</w:t>
      </w:r>
      <w:r w:rsidR="004933BE" w:rsidRPr="007E1C53">
        <w:t>s</w:t>
      </w:r>
      <w:r w:rsidR="00A32926" w:rsidRPr="007E1C53">
        <w:t xml:space="preserve"> de plusieurs applications logicielles </w:t>
      </w:r>
      <w:r w:rsidR="004933BE" w:rsidRPr="007E1C53">
        <w:t xml:space="preserve">sont </w:t>
      </w:r>
      <w:r w:rsidR="00A32926" w:rsidRPr="007E1C53">
        <w:t xml:space="preserve">regroupées </w:t>
      </w:r>
      <w:r w:rsidR="004933BE" w:rsidRPr="007E1C53">
        <w:t>dans le</w:t>
      </w:r>
      <w:r w:rsidR="00A32926" w:rsidRPr="007E1C53">
        <w:t xml:space="preserve"> progiciel </w:t>
      </w:r>
      <w:proofErr w:type="spellStart"/>
      <w:r w:rsidR="00A32926" w:rsidRPr="007E1C53">
        <w:t>IPAS</w:t>
      </w:r>
      <w:proofErr w:type="spellEnd"/>
      <w:r w:rsidR="00A32926" w:rsidRPr="007E1C53">
        <w:t xml:space="preserve"> de l</w:t>
      </w:r>
      <w:r w:rsidR="00940BD3">
        <w:t>’</w:t>
      </w:r>
      <w:proofErr w:type="spellStart"/>
      <w:r w:rsidR="00A32926" w:rsidRPr="007E1C53">
        <w:t>OMPI</w:t>
      </w:r>
      <w:proofErr w:type="spellEnd"/>
      <w:r w:rsidR="00A32926" w:rsidRPr="007E1C53">
        <w:t xml:space="preserve"> pour les offices de propriété intellectuel</w:t>
      </w:r>
      <w:r w:rsidR="00FB6977" w:rsidRPr="007E1C53">
        <w:t>le</w:t>
      </w:r>
      <w:r w:rsidR="00FB6977">
        <w:t xml:space="preserve">.  </w:t>
      </w:r>
      <w:r w:rsidR="00FB6977" w:rsidRPr="007E1C53">
        <w:t>Ce</w:t>
      </w:r>
      <w:r w:rsidR="00A32926" w:rsidRPr="007E1C53">
        <w:t xml:space="preserve">s applications </w:t>
      </w:r>
      <w:r w:rsidR="004933BE" w:rsidRPr="007E1C53">
        <w:t>facilitent</w:t>
      </w:r>
      <w:r w:rsidR="00A32926" w:rsidRPr="007E1C53">
        <w:t xml:space="preserve"> le traitement des demandes de droits de propriété intellectuelle en établissant un registre électronique, en contrôlant les processus </w:t>
      </w:r>
      <w:r w:rsidR="009A27F2" w:rsidRPr="007E1C53">
        <w:t>relatifs aux flux de</w:t>
      </w:r>
      <w:r w:rsidR="00241FD8" w:rsidRPr="007E1C53">
        <w:t xml:space="preserve"> travail </w:t>
      </w:r>
      <w:r w:rsidR="00A32926" w:rsidRPr="007E1C53">
        <w:t xml:space="preserve">et les règles </w:t>
      </w:r>
      <w:r w:rsidR="004933BE" w:rsidRPr="007E1C53">
        <w:t>opérationnelles</w:t>
      </w:r>
      <w:r w:rsidR="00A32926" w:rsidRPr="007E1C53">
        <w:t xml:space="preserve"> et en </w:t>
      </w:r>
      <w:r w:rsidR="004933BE" w:rsidRPr="007E1C53">
        <w:t>proposant</w:t>
      </w:r>
      <w:r w:rsidR="00A32926" w:rsidRPr="007E1C53">
        <w:t xml:space="preserve"> des services en ligne aux utilisateurs locaux et internationa</w:t>
      </w:r>
      <w:r w:rsidR="00FB6977" w:rsidRPr="007E1C53">
        <w:t>ux</w:t>
      </w:r>
      <w:r w:rsidR="00FB6977">
        <w:t xml:space="preserve">.  </w:t>
      </w:r>
      <w:r w:rsidR="00FB6977" w:rsidRPr="007E1C53">
        <w:t>L</w:t>
      </w:r>
      <w:r w:rsidR="00FB6977">
        <w:t>’</w:t>
      </w:r>
      <w:r w:rsidR="00FB6977" w:rsidRPr="007E1C53">
        <w:t>o</w:t>
      </w:r>
      <w:r w:rsidR="00C23A6F" w:rsidRPr="007E1C53">
        <w:t>bjectif général est d</w:t>
      </w:r>
      <w:r w:rsidR="00940BD3">
        <w:t>’</w:t>
      </w:r>
      <w:r w:rsidR="00C23A6F" w:rsidRPr="007E1C53">
        <w:t>améliorer le fonctionnement du système et la qualité des servic</w:t>
      </w:r>
      <w:r w:rsidR="00FB6977" w:rsidRPr="007E1C53">
        <w:t>es</w:t>
      </w:r>
      <w:r w:rsidR="00FB6977">
        <w:t xml:space="preserve">.  </w:t>
      </w:r>
      <w:r w:rsidR="00FB6977" w:rsidRPr="007E1C53">
        <w:t>Le</w:t>
      </w:r>
      <w:r w:rsidR="00222723" w:rsidRPr="007E1C53">
        <w:t xml:space="preserve"> progiciel de l</w:t>
      </w:r>
      <w:r w:rsidR="00940BD3">
        <w:t>’</w:t>
      </w:r>
      <w:proofErr w:type="spellStart"/>
      <w:r w:rsidR="00222723" w:rsidRPr="007E1C53">
        <w:t>OMPI</w:t>
      </w:r>
      <w:proofErr w:type="spellEnd"/>
      <w:r w:rsidR="00222723" w:rsidRPr="007E1C53">
        <w:t xml:space="preserve"> à l</w:t>
      </w:r>
      <w:r w:rsidR="00940BD3">
        <w:t>’</w:t>
      </w:r>
      <w:r w:rsidR="00222723" w:rsidRPr="007E1C53">
        <w:t>intention des offices de propriété intellectuelle ou des parties de celui</w:t>
      </w:r>
      <w:r w:rsidR="00940BD3">
        <w:t>-</w:t>
      </w:r>
      <w:r w:rsidR="00222723" w:rsidRPr="007E1C53">
        <w:t>ci</w:t>
      </w:r>
      <w:r w:rsidR="00C23A6F" w:rsidRPr="007E1C53">
        <w:t xml:space="preserve"> fonctionne</w:t>
      </w:r>
      <w:r w:rsidR="00FD6829" w:rsidRPr="007E1C53">
        <w:t xml:space="preserve">nt </w:t>
      </w:r>
      <w:r w:rsidR="00C23A6F" w:rsidRPr="007E1C53">
        <w:t>actuellement dans plus de 80</w:t>
      </w:r>
      <w:r w:rsidR="00B57155" w:rsidRPr="007E1C53">
        <w:t> </w:t>
      </w:r>
      <w:r w:rsidR="00C23A6F" w:rsidRPr="007E1C53">
        <w:t>offices, dans toutes les régions du monde.</w:t>
      </w:r>
      <w:r w:rsidR="00DD7399" w:rsidRPr="007E1C53">
        <w:t xml:space="preserve">  </w:t>
      </w:r>
      <w:r w:rsidR="00C23A6F" w:rsidRPr="007E1C53">
        <w:t>L</w:t>
      </w:r>
      <w:r w:rsidR="00940BD3">
        <w:t>’</w:t>
      </w:r>
      <w:proofErr w:type="spellStart"/>
      <w:r w:rsidR="00C23A6F" w:rsidRPr="007E1C53">
        <w:t>OMPI</w:t>
      </w:r>
      <w:proofErr w:type="spellEnd"/>
      <w:r w:rsidR="00C23A6F" w:rsidRPr="007E1C53">
        <w:t xml:space="preserve"> </w:t>
      </w:r>
      <w:r w:rsidR="00222723" w:rsidRPr="007E1C53">
        <w:t>propose</w:t>
      </w:r>
      <w:r w:rsidR="00C23A6F" w:rsidRPr="007E1C53">
        <w:t xml:space="preserve"> ce service aux offices de propriété intellectuelle des pays en développement depuis plus de 15</w:t>
      </w:r>
      <w:r w:rsidR="00B57155" w:rsidRPr="007E1C53">
        <w:t> </w:t>
      </w:r>
      <w:r w:rsidR="00C23A6F" w:rsidRPr="007E1C53">
        <w:t>a</w:t>
      </w:r>
      <w:r w:rsidR="00FB6977" w:rsidRPr="007E1C53">
        <w:t>ns</w:t>
      </w:r>
      <w:r w:rsidR="00FB6977">
        <w:t xml:space="preserve">.  </w:t>
      </w:r>
      <w:r w:rsidR="00FB6977" w:rsidRPr="007E1C53">
        <w:t>Le</w:t>
      </w:r>
      <w:r w:rsidR="00C23A6F" w:rsidRPr="007E1C53">
        <w:t>s chiffres ci</w:t>
      </w:r>
      <w:r w:rsidR="00940BD3">
        <w:t>-</w:t>
      </w:r>
      <w:r w:rsidR="00C23A6F" w:rsidRPr="007E1C53">
        <w:t>dessous indique</w:t>
      </w:r>
      <w:r w:rsidR="00222723" w:rsidRPr="007E1C53">
        <w:t>nt</w:t>
      </w:r>
      <w:r w:rsidR="00C23A6F" w:rsidRPr="007E1C53">
        <w:t xml:space="preserve"> l</w:t>
      </w:r>
      <w:r w:rsidR="00940BD3">
        <w:t>’</w:t>
      </w:r>
      <w:r w:rsidR="00C23A6F" w:rsidRPr="007E1C53">
        <w:t xml:space="preserve">utilisation qui est faite du progiciel </w:t>
      </w:r>
      <w:proofErr w:type="spellStart"/>
      <w:r w:rsidR="00C23A6F" w:rsidRPr="007E1C53">
        <w:t>IPAS</w:t>
      </w:r>
      <w:proofErr w:type="spellEnd"/>
      <w:r w:rsidR="00C23A6F" w:rsidRPr="007E1C53">
        <w:t xml:space="preserve"> de l</w:t>
      </w:r>
      <w:r w:rsidR="00940BD3">
        <w:t>’</w:t>
      </w:r>
      <w:proofErr w:type="spellStart"/>
      <w:r w:rsidR="00C23A6F" w:rsidRPr="007E1C53">
        <w:t>OMPI</w:t>
      </w:r>
      <w:proofErr w:type="spellEnd"/>
      <w:r w:rsidR="00C23A6F" w:rsidRPr="007E1C53">
        <w:t xml:space="preserve"> pour les offices de propriété intellectuelle par les pays utilisateurs.</w:t>
      </w:r>
    </w:p>
    <w:p w:rsidR="009B6058" w:rsidRPr="007E1C53" w:rsidRDefault="000C1B50" w:rsidP="007F46E2">
      <w:pPr>
        <w:pStyle w:val="ONUMFS"/>
        <w:numPr>
          <w:ilvl w:val="0"/>
          <w:numId w:val="0"/>
        </w:numPr>
        <w:jc w:val="center"/>
        <w:rPr>
          <w:lang w:val="fr-CH"/>
        </w:rPr>
      </w:pPr>
      <w:r w:rsidRPr="000C1B50">
        <w:rPr>
          <w:noProof/>
          <w:lang w:val="en-US" w:eastAsia="en-US"/>
        </w:rPr>
        <w:lastRenderedPageBreak/>
        <w:drawing>
          <wp:inline distT="0" distB="0" distL="0" distR="0">
            <wp:extent cx="5941060" cy="3677799"/>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1060" cy="3677799"/>
                    </a:xfrm>
                    <a:prstGeom prst="rect">
                      <a:avLst/>
                    </a:prstGeom>
                    <a:noFill/>
                    <a:ln>
                      <a:noFill/>
                    </a:ln>
                  </pic:spPr>
                </pic:pic>
              </a:graphicData>
            </a:graphic>
          </wp:inline>
        </w:drawing>
      </w:r>
    </w:p>
    <w:p w:rsidR="00940BD3" w:rsidRDefault="00756458" w:rsidP="007F46E2">
      <w:pPr>
        <w:pStyle w:val="ONUMFS"/>
      </w:pPr>
      <w:r w:rsidRPr="007F46E2">
        <w:t>En outre, un projet d</w:t>
      </w:r>
      <w:r w:rsidR="00940BD3">
        <w:t>’</w:t>
      </w:r>
      <w:r w:rsidRPr="007F46E2">
        <w:t xml:space="preserve">optimisation des flux de travail </w:t>
      </w:r>
      <w:r w:rsidR="004B4A83" w:rsidRPr="007F46E2">
        <w:t>financé par le Fonds fiduciaire du Japon a été mis en œuvre à l</w:t>
      </w:r>
      <w:r w:rsidR="00940BD3">
        <w:t>’</w:t>
      </w:r>
      <w:r w:rsidR="004B4A83" w:rsidRPr="007F46E2">
        <w:t>intention de plusieurs</w:t>
      </w:r>
      <w:r w:rsidRPr="007F46E2">
        <w:t xml:space="preserve"> pays de l</w:t>
      </w:r>
      <w:r w:rsidR="00940BD3">
        <w:t>’</w:t>
      </w:r>
      <w:r w:rsidRPr="007F46E2">
        <w:t xml:space="preserve">ASEAN </w:t>
      </w:r>
      <w:r w:rsidR="00940BD3" w:rsidRPr="007F46E2">
        <w:t>depuis</w:t>
      </w:r>
      <w:r w:rsidR="00940BD3">
        <w:t> </w:t>
      </w:r>
      <w:r w:rsidR="00940BD3" w:rsidRPr="007F46E2">
        <w:t>2017</w:t>
      </w:r>
      <w:r w:rsidRPr="007F46E2">
        <w:t>, notamment le Cambodge, la Thaïlande, les Philippines et le Viet</w:t>
      </w:r>
      <w:r w:rsidR="005274F0">
        <w:t> </w:t>
      </w:r>
      <w:r w:rsidRPr="007F46E2">
        <w:t>N</w:t>
      </w:r>
      <w:r w:rsidR="00FB6977" w:rsidRPr="007F46E2">
        <w:t>am</w:t>
      </w:r>
      <w:r w:rsidR="00FB6977">
        <w:t xml:space="preserve">.  </w:t>
      </w:r>
      <w:r w:rsidR="00FB6977" w:rsidRPr="007F46E2">
        <w:t>Le</w:t>
      </w:r>
      <w:r w:rsidR="00487EE2" w:rsidRPr="007F46E2">
        <w:t xml:space="preserve"> projet nécessite un examen approfondi des procédures administratives applicables et la modification des processus opérationnels afin de tirer parti de l</w:t>
      </w:r>
      <w:r w:rsidR="00940BD3">
        <w:t>’</w:t>
      </w:r>
      <w:r w:rsidR="00487EE2" w:rsidRPr="007F46E2">
        <w:t>automatisation pour améliorer les performances et la prestation de services.</w:t>
      </w:r>
    </w:p>
    <w:p w:rsidR="00940BD3" w:rsidRDefault="00487EE2" w:rsidP="007F46E2">
      <w:pPr>
        <w:pStyle w:val="ONUMFS"/>
      </w:pPr>
      <w:r w:rsidRPr="007F46E2">
        <w:t xml:space="preserve">Durant la mise en œuvre du projet, des mesures ont été décidées et des responsables ont été nommés pour </w:t>
      </w:r>
      <w:r w:rsidR="00A76CFD" w:rsidRPr="007F46E2">
        <w:t xml:space="preserve">réaliser </w:t>
      </w:r>
      <w:r w:rsidRPr="007F46E2">
        <w:t>les activités dans les délais conven</w:t>
      </w:r>
      <w:r w:rsidR="00FB6977" w:rsidRPr="007F46E2">
        <w:t>us</w:t>
      </w:r>
      <w:r w:rsidR="00FB6977">
        <w:t xml:space="preserve">.  </w:t>
      </w:r>
      <w:r w:rsidR="00FB6977" w:rsidRPr="007F46E2">
        <w:t>De</w:t>
      </w:r>
      <w:r w:rsidR="00A757E9" w:rsidRPr="007F46E2">
        <w:t xml:space="preserve">s dispositions ont également été </w:t>
      </w:r>
      <w:r w:rsidR="00A57F25" w:rsidRPr="007F46E2">
        <w:t>prises</w:t>
      </w:r>
      <w:r w:rsidR="00A757E9" w:rsidRPr="007F46E2">
        <w:t xml:space="preserve"> pour suivre </w:t>
      </w:r>
      <w:r w:rsidR="00A76CFD" w:rsidRPr="007F46E2">
        <w:t>l</w:t>
      </w:r>
      <w:r w:rsidR="00940BD3">
        <w:t>’</w:t>
      </w:r>
      <w:r w:rsidR="00A76CFD" w:rsidRPr="007F46E2">
        <w:t>état d</w:t>
      </w:r>
      <w:r w:rsidR="00940BD3">
        <w:t>’</w:t>
      </w:r>
      <w:r w:rsidR="00A76CFD" w:rsidRPr="007F46E2">
        <w:t xml:space="preserve">avancement de </w:t>
      </w:r>
      <w:r w:rsidR="00A757E9" w:rsidRPr="007F46E2">
        <w:t>la mise en œuvre afin d</w:t>
      </w:r>
      <w:r w:rsidR="00940BD3">
        <w:t>’</w:t>
      </w:r>
      <w:r w:rsidR="00A757E9" w:rsidRPr="007F46E2">
        <w:t>assurer la continui</w:t>
      </w:r>
      <w:r w:rsidR="00FB6977" w:rsidRPr="007F46E2">
        <w:t>té</w:t>
      </w:r>
      <w:r w:rsidR="00FB6977">
        <w:t xml:space="preserve">.  </w:t>
      </w:r>
      <w:r w:rsidR="00FB6977" w:rsidRPr="007F46E2">
        <w:t>De</w:t>
      </w:r>
      <w:r w:rsidR="008A4622" w:rsidRPr="007F46E2">
        <w:t xml:space="preserve">s tableaux de mise en œuvre </w:t>
      </w:r>
      <w:r w:rsidR="00A757E9" w:rsidRPr="007F46E2">
        <w:t xml:space="preserve">ont été établis et </w:t>
      </w:r>
      <w:r w:rsidR="00A57F25" w:rsidRPr="007F46E2">
        <w:t>actualisés</w:t>
      </w:r>
      <w:r w:rsidR="00A757E9" w:rsidRPr="007F46E2">
        <w:t>.</w:t>
      </w:r>
    </w:p>
    <w:p w:rsidR="009B6058" w:rsidRPr="007F46E2" w:rsidRDefault="001C28B2" w:rsidP="007F46E2">
      <w:pPr>
        <w:pStyle w:val="ONUMFS"/>
      </w:pPr>
      <w:r w:rsidRPr="007F46E2">
        <w:t>Le projet d</w:t>
      </w:r>
      <w:r w:rsidR="00940BD3">
        <w:t>’</w:t>
      </w:r>
      <w:r w:rsidRPr="007F46E2">
        <w:t>optimisation des flux de travail a permis d</w:t>
      </w:r>
      <w:r w:rsidR="00940BD3">
        <w:t>’</w:t>
      </w:r>
      <w:r w:rsidRPr="007F46E2">
        <w:t>optimiser les processus opérationnels pour l</w:t>
      </w:r>
      <w:r w:rsidR="00940BD3">
        <w:t>’</w:t>
      </w:r>
      <w:r w:rsidRPr="007F46E2">
        <w:t>administration des applications selon les exigences de</w:t>
      </w:r>
      <w:r w:rsidR="00A57F25" w:rsidRPr="007F46E2">
        <w:t xml:space="preserve">s </w:t>
      </w:r>
      <w:r w:rsidRPr="007F46E2">
        <w:t>offic</w:t>
      </w:r>
      <w:r w:rsidR="00FB6977" w:rsidRPr="007F46E2">
        <w:t>es</w:t>
      </w:r>
      <w:r w:rsidR="00FB6977">
        <w:t xml:space="preserve">.  </w:t>
      </w:r>
      <w:r w:rsidR="00FB6977" w:rsidRPr="007F46E2">
        <w:t>Av</w:t>
      </w:r>
      <w:r w:rsidR="001C5EFD" w:rsidRPr="007F46E2">
        <w:t>ant l</w:t>
      </w:r>
      <w:r w:rsidR="00940BD3">
        <w:t>’</w:t>
      </w:r>
      <w:r w:rsidR="001C5EFD" w:rsidRPr="007F46E2">
        <w:t xml:space="preserve">examen, il </w:t>
      </w:r>
      <w:r w:rsidR="00A57F25" w:rsidRPr="007F46E2">
        <w:t xml:space="preserve">fallait </w:t>
      </w:r>
      <w:r w:rsidR="001C5EFD" w:rsidRPr="007F46E2">
        <w:t xml:space="preserve">plusieurs mois à de nombreux offices pour saisir les données, </w:t>
      </w:r>
      <w:r w:rsidR="00A57F25" w:rsidRPr="007F46E2">
        <w:t>numériser</w:t>
      </w:r>
      <w:r w:rsidR="001C5EFD" w:rsidRPr="007F46E2">
        <w:t xml:space="preserve"> les documents </w:t>
      </w:r>
      <w:r w:rsidR="00A57F25" w:rsidRPr="007F46E2">
        <w:t>relatifs aux</w:t>
      </w:r>
      <w:r w:rsidR="001C5EFD" w:rsidRPr="007F46E2">
        <w:t xml:space="preserve"> demande</w:t>
      </w:r>
      <w:r w:rsidR="00A57F25" w:rsidRPr="007F46E2">
        <w:t>s</w:t>
      </w:r>
      <w:r w:rsidR="001C5EFD" w:rsidRPr="007F46E2">
        <w:t xml:space="preserve">, enregistrer les </w:t>
      </w:r>
      <w:r w:rsidR="00A57F25" w:rsidRPr="007F46E2">
        <w:t>informations</w:t>
      </w:r>
      <w:r w:rsidR="001C5EFD" w:rsidRPr="007F46E2">
        <w:t xml:space="preserve"> de paiement et émettre des accusés de récepti</w:t>
      </w:r>
      <w:r w:rsidR="00FB6977" w:rsidRPr="007F46E2">
        <w:t>on</w:t>
      </w:r>
      <w:r w:rsidR="00FB6977">
        <w:t xml:space="preserve">.  </w:t>
      </w:r>
      <w:r w:rsidR="00FB6977" w:rsidRPr="007F46E2">
        <w:t>Pl</w:t>
      </w:r>
      <w:r w:rsidR="001C5EFD" w:rsidRPr="007F46E2">
        <w:t xml:space="preserve">usieurs offices de propriété intellectuelle ont gagné en efficacité grâce à la rationalisation des </w:t>
      </w:r>
      <w:r w:rsidR="003A3DA8" w:rsidRPr="007F46E2">
        <w:t>opératio</w:t>
      </w:r>
      <w:r w:rsidR="00FB6977" w:rsidRPr="007F46E2">
        <w:t>ns</w:t>
      </w:r>
      <w:r w:rsidR="00FB6977">
        <w:t xml:space="preserve">.  </w:t>
      </w:r>
      <w:r w:rsidR="00FB6977" w:rsidRPr="007F46E2">
        <w:t>En</w:t>
      </w:r>
      <w:r w:rsidR="001C5EFD" w:rsidRPr="007F46E2">
        <w:t xml:space="preserve"> outre, le projet d</w:t>
      </w:r>
      <w:r w:rsidR="00940BD3">
        <w:t>’</w:t>
      </w:r>
      <w:r w:rsidR="001C5EFD" w:rsidRPr="007F46E2">
        <w:t>optimisation des flux de travail a introduit d</w:t>
      </w:r>
      <w:r w:rsidR="00940BD3">
        <w:t>’</w:t>
      </w:r>
      <w:r w:rsidR="001C5EFD" w:rsidRPr="007F46E2">
        <w:t>autres amélioratio</w:t>
      </w:r>
      <w:r w:rsidR="00FB6977" w:rsidRPr="007F46E2">
        <w:t>ns</w:t>
      </w:r>
      <w:r w:rsidR="00FB6977">
        <w:t xml:space="preserve">.  </w:t>
      </w:r>
      <w:r w:rsidR="00FB6977" w:rsidRPr="007F46E2">
        <w:t>Ce</w:t>
      </w:r>
      <w:r w:rsidR="00A57F25" w:rsidRPr="007F46E2">
        <w:t>lles</w:t>
      </w:r>
      <w:r w:rsidR="00940BD3">
        <w:t>-</w:t>
      </w:r>
      <w:r w:rsidR="00A57F25" w:rsidRPr="007F46E2">
        <w:t xml:space="preserve">ci </w:t>
      </w:r>
      <w:r w:rsidR="001C5EFD" w:rsidRPr="007F46E2">
        <w:t>facilitent la tâche des déposants et sont conformes au cadre juridiq</w:t>
      </w:r>
      <w:r w:rsidR="00FB6977" w:rsidRPr="007F46E2">
        <w:t>ue</w:t>
      </w:r>
      <w:r w:rsidR="00FB6977">
        <w:t xml:space="preserve">.  </w:t>
      </w:r>
      <w:r w:rsidR="00FB6977" w:rsidRPr="007F46E2">
        <w:t>Pa</w:t>
      </w:r>
      <w:r w:rsidR="003A3DA8" w:rsidRPr="007F46E2">
        <w:t>rmi l</w:t>
      </w:r>
      <w:r w:rsidR="005B328E" w:rsidRPr="007F46E2">
        <w:t xml:space="preserve">es principales améliorations </w:t>
      </w:r>
      <w:r w:rsidR="003A3DA8" w:rsidRPr="007F46E2">
        <w:t xml:space="preserve">figurent </w:t>
      </w:r>
      <w:r w:rsidR="005B328E" w:rsidRPr="007F46E2">
        <w:t>l</w:t>
      </w:r>
      <w:r w:rsidR="00940BD3">
        <w:t>’</w:t>
      </w:r>
      <w:r w:rsidR="005B328E" w:rsidRPr="007F46E2">
        <w:t>émission d</w:t>
      </w:r>
      <w:r w:rsidR="00940BD3">
        <w:t>’</w:t>
      </w:r>
      <w:r w:rsidR="005B328E" w:rsidRPr="007F46E2">
        <w:t xml:space="preserve">accusés de réception, la simplification des conditions requises pour les demandes, les demandes </w:t>
      </w:r>
      <w:proofErr w:type="spellStart"/>
      <w:r w:rsidR="005B328E" w:rsidRPr="007F46E2">
        <w:t>multiclasses</w:t>
      </w:r>
      <w:proofErr w:type="spellEnd"/>
      <w:r w:rsidR="005B328E" w:rsidRPr="007F46E2">
        <w:t xml:space="preserve">, </w:t>
      </w:r>
      <w:r w:rsidR="00897DED" w:rsidRPr="007F46E2">
        <w:t>la publication hebdomadaire de la g</w:t>
      </w:r>
      <w:r w:rsidR="005B328E" w:rsidRPr="007F46E2">
        <w:t>azette et l</w:t>
      </w:r>
      <w:r w:rsidR="00940BD3">
        <w:t>’</w:t>
      </w:r>
      <w:r w:rsidR="00897DED" w:rsidRPr="007F46E2">
        <w:t>envoi de</w:t>
      </w:r>
      <w:r w:rsidR="005B328E" w:rsidRPr="007F46E2">
        <w:t xml:space="preserve"> notifications par l</w:t>
      </w:r>
      <w:r w:rsidR="00940BD3">
        <w:t>’</w:t>
      </w:r>
      <w:r w:rsidR="005B328E" w:rsidRPr="007F46E2">
        <w:t xml:space="preserve">intermédiaire de la Base de données mondiale sur les marques </w:t>
      </w:r>
      <w:r w:rsidR="00A57F25" w:rsidRPr="007F46E2">
        <w:t>en cas d</w:t>
      </w:r>
      <w:r w:rsidR="00940BD3">
        <w:t>’</w:t>
      </w:r>
      <w:r w:rsidR="005B328E" w:rsidRPr="007F46E2">
        <w:t>action de l</w:t>
      </w:r>
      <w:r w:rsidR="00940BD3">
        <w:t>’</w:t>
      </w:r>
      <w:r w:rsidR="005B328E" w:rsidRPr="007F46E2">
        <w:t xml:space="preserve">office ou </w:t>
      </w:r>
      <w:r w:rsidR="00A57F25" w:rsidRPr="007F46E2">
        <w:t xml:space="preserve">de </w:t>
      </w:r>
      <w:r w:rsidR="005B328E" w:rsidRPr="007F46E2">
        <w:t xml:space="preserve">certificat prêt </w:t>
      </w:r>
      <w:r w:rsidR="00897DED" w:rsidRPr="007F46E2">
        <w:t>à</w:t>
      </w:r>
      <w:r w:rsidR="005B328E" w:rsidRPr="007F46E2">
        <w:t xml:space="preserve"> </w:t>
      </w:r>
      <w:r w:rsidR="00897DED" w:rsidRPr="007F46E2">
        <w:t xml:space="preserve">être </w:t>
      </w:r>
      <w:r w:rsidR="00A57F25" w:rsidRPr="007F46E2">
        <w:t>récupé</w:t>
      </w:r>
      <w:r w:rsidR="00FB6977" w:rsidRPr="007F46E2">
        <w:t>ré</w:t>
      </w:r>
      <w:r w:rsidR="00FB6977">
        <w:t xml:space="preserve">.  </w:t>
      </w:r>
      <w:r w:rsidR="00FB6977" w:rsidRPr="007F46E2">
        <w:t>D</w:t>
      </w:r>
      <w:r w:rsidR="00FB6977">
        <w:t>’</w:t>
      </w:r>
      <w:r w:rsidR="00FB6977" w:rsidRPr="007F46E2">
        <w:t>a</w:t>
      </w:r>
      <w:r w:rsidR="005B328E" w:rsidRPr="007F46E2">
        <w:t>utres modifications ont été apportées pour assurer le respect des conditions juridiques.</w:t>
      </w:r>
    </w:p>
    <w:p w:rsidR="00FD6829" w:rsidRPr="007E1C53" w:rsidRDefault="005B328E" w:rsidP="007F46E2">
      <w:pPr>
        <w:pStyle w:val="Heading5"/>
      </w:pPr>
      <w:r w:rsidRPr="007E1C53">
        <w:t>Aide en matière d</w:t>
      </w:r>
      <w:r w:rsidR="00940BD3">
        <w:t>’</w:t>
      </w:r>
      <w:r w:rsidRPr="007E1C53">
        <w:t xml:space="preserve">échange de données de propriété intellectuelle sur les plateformes mondiales de propriété </w:t>
      </w:r>
      <w:proofErr w:type="gramStart"/>
      <w:r w:rsidRPr="007E1C53">
        <w:t>intellectuelle;  CASE</w:t>
      </w:r>
      <w:proofErr w:type="gramEnd"/>
      <w:r w:rsidRPr="007E1C53">
        <w:t xml:space="preserve"> et DAS</w:t>
      </w:r>
      <w:r w:rsidR="00FD6829" w:rsidRPr="007E1C53">
        <w:t>.</w:t>
      </w:r>
    </w:p>
    <w:p w:rsidR="007F46E2" w:rsidRDefault="00940BD3" w:rsidP="007F46E2">
      <w:pPr>
        <w:pStyle w:val="ONUMFS"/>
      </w:pPr>
      <w:r>
        <w:t>WIPO CASE</w:t>
      </w:r>
      <w:r w:rsidR="005B328E" w:rsidRPr="007E1C53">
        <w:t xml:space="preserve"> </w:t>
      </w:r>
      <w:r w:rsidR="00B61EE9" w:rsidRPr="007E1C53">
        <w:t>est</w:t>
      </w:r>
      <w:r w:rsidR="005B328E" w:rsidRPr="007E1C53">
        <w:t xml:space="preserve"> une plateforme qui permet aux offices de propriété intellectuelle participants de partager l</w:t>
      </w:r>
      <w:r>
        <w:t>’</w:t>
      </w:r>
      <w:r w:rsidR="005B328E" w:rsidRPr="007E1C53">
        <w:t>information contenue dans les rapports de recherche et d</w:t>
      </w:r>
      <w:r>
        <w:t>’</w:t>
      </w:r>
      <w:r w:rsidR="005B328E" w:rsidRPr="007E1C53">
        <w:t>exam</w:t>
      </w:r>
      <w:r w:rsidR="00FB6977" w:rsidRPr="007E1C53">
        <w:t>en</w:t>
      </w:r>
      <w:r w:rsidR="00FB6977">
        <w:t xml:space="preserve">.  </w:t>
      </w:r>
      <w:r w:rsidR="00FB6977" w:rsidRPr="007E1C53">
        <w:lastRenderedPageBreak/>
        <w:t>L</w:t>
      </w:r>
      <w:r w:rsidR="00FB6977">
        <w:t>’</w:t>
      </w:r>
      <w:r w:rsidR="00FB6977" w:rsidRPr="007E1C53">
        <w:t>o</w:t>
      </w:r>
      <w:r w:rsidR="005B328E" w:rsidRPr="007E1C53">
        <w:t xml:space="preserve">bjectif </w:t>
      </w:r>
      <w:r w:rsidR="00B61EE9" w:rsidRPr="007E1C53">
        <w:t xml:space="preserve">est </w:t>
      </w:r>
      <w:r w:rsidR="005B328E" w:rsidRPr="007E1C53">
        <w:t>d</w:t>
      </w:r>
      <w:r>
        <w:t>’</w:t>
      </w:r>
      <w:r w:rsidR="005B328E" w:rsidRPr="007E1C53">
        <w:t>améliorer la qualité et l</w:t>
      </w:r>
      <w:r>
        <w:t>’</w:t>
      </w:r>
      <w:r w:rsidR="005B328E" w:rsidRPr="007E1C53">
        <w:t>efficacité du processus de recherche et d</w:t>
      </w:r>
      <w:r>
        <w:t>’</w:t>
      </w:r>
      <w:r w:rsidR="005B328E" w:rsidRPr="007E1C53">
        <w:t>examen mené par les offices de brevets locaux et régiona</w:t>
      </w:r>
      <w:r w:rsidR="00FB6977" w:rsidRPr="007E1C53">
        <w:t>ux</w:t>
      </w:r>
      <w:r w:rsidR="00FB6977">
        <w:t xml:space="preserve">.  </w:t>
      </w:r>
      <w:r w:rsidR="00FB6977" w:rsidRPr="007E1C53">
        <w:t>Gr</w:t>
      </w:r>
      <w:r w:rsidR="00E0237E" w:rsidRPr="007E1C53">
        <w:t>âce au partage d</w:t>
      </w:r>
      <w:r>
        <w:t>’</w:t>
      </w:r>
      <w:r w:rsidR="00E0237E" w:rsidRPr="007E1C53">
        <w:t>information, le temps nécessaire aux travaux d</w:t>
      </w:r>
      <w:r>
        <w:t>’</w:t>
      </w:r>
      <w:r w:rsidR="00E0237E" w:rsidRPr="007E1C53">
        <w:t>examen dans les offices de propriété intellectuelle des pays en développement peut être réduit et la qualité des résultats de recherche améliorée.</w:t>
      </w:r>
    </w:p>
    <w:p w:rsidR="009B6058" w:rsidRPr="007E1C53" w:rsidRDefault="00C13575" w:rsidP="007F46E2">
      <w:pPr>
        <w:pStyle w:val="ONUMFS"/>
      </w:pPr>
      <w:r w:rsidRPr="007E1C53">
        <w:t>Le Service d</w:t>
      </w:r>
      <w:r w:rsidR="00940BD3">
        <w:t>’</w:t>
      </w:r>
      <w:r w:rsidRPr="007E1C53">
        <w:t>accès numérique de l</w:t>
      </w:r>
      <w:r w:rsidR="00940BD3">
        <w:t>’</w:t>
      </w:r>
      <w:proofErr w:type="spellStart"/>
      <w:r w:rsidRPr="007E1C53">
        <w:t>OMPI</w:t>
      </w:r>
      <w:proofErr w:type="spellEnd"/>
      <w:r w:rsidRPr="007E1C53">
        <w:t xml:space="preserve"> (DAS)</w:t>
      </w:r>
      <w:r w:rsidRPr="007E1C53">
        <w:rPr>
          <w:b/>
        </w:rPr>
        <w:t xml:space="preserve"> </w:t>
      </w:r>
      <w:r w:rsidRPr="007E1C53">
        <w:t>est un système électronique permettant aux offices de propriété intellectuelle participants d</w:t>
      </w:r>
      <w:r w:rsidR="00940BD3">
        <w:t>’</w:t>
      </w:r>
      <w:r w:rsidRPr="007E1C53">
        <w:t>échanger des documents de priorité et des documents similaires par des voies de communication sécurisé</w:t>
      </w:r>
      <w:r w:rsidR="00FB6977" w:rsidRPr="007E1C53">
        <w:t>es</w:t>
      </w:r>
      <w:r w:rsidR="00FB6977">
        <w:t xml:space="preserve">.  </w:t>
      </w:r>
      <w:r w:rsidR="00FB6977" w:rsidRPr="007E1C53">
        <w:t>Il</w:t>
      </w:r>
      <w:r w:rsidRPr="007E1C53">
        <w:t xml:space="preserve"> permet aux déposants et aux offices de satisfaire aux exigences énoncées dans la Convention de Paris relatives à la certification dans un environnement électroniq</w:t>
      </w:r>
      <w:r w:rsidR="00FB6977" w:rsidRPr="007E1C53">
        <w:t>ue</w:t>
      </w:r>
      <w:r w:rsidR="00FB6977">
        <w:t xml:space="preserve">.  </w:t>
      </w:r>
      <w:r w:rsidR="00FB6977" w:rsidRPr="007E1C53">
        <w:t>S</w:t>
      </w:r>
      <w:r w:rsidR="00FB6977">
        <w:t>’</w:t>
      </w:r>
      <w:r w:rsidR="00FB6977" w:rsidRPr="007E1C53">
        <w:t>i</w:t>
      </w:r>
      <w:r w:rsidR="002B0F05" w:rsidRPr="007E1C53">
        <w:t>l a déposé des demandes dans de nombreux pays, le déposant n</w:t>
      </w:r>
      <w:r w:rsidR="00940BD3">
        <w:t>’</w:t>
      </w:r>
      <w:r w:rsidR="002B0F05" w:rsidRPr="007E1C53">
        <w:t xml:space="preserve">a pas à demander et à payer plusieurs versions papier des documents de priorité, </w:t>
      </w:r>
      <w:r w:rsidR="00347ACC" w:rsidRPr="007E1C53">
        <w:t xml:space="preserve">ni </w:t>
      </w:r>
      <w:r w:rsidR="002B0F05" w:rsidRPr="007E1C53">
        <w:t>à attendre qu</w:t>
      </w:r>
      <w:r w:rsidR="00940BD3">
        <w:t>’</w:t>
      </w:r>
      <w:r w:rsidR="002B0F05" w:rsidRPr="007E1C53">
        <w:t xml:space="preserve">elles arrivent </w:t>
      </w:r>
      <w:r w:rsidR="00347ACC" w:rsidRPr="007E1C53">
        <w:t xml:space="preserve">et </w:t>
      </w:r>
      <w:r w:rsidR="002B0F05" w:rsidRPr="007E1C53">
        <w:t xml:space="preserve">à les envoyer à ses agents dans les différents pays </w:t>
      </w:r>
      <w:r w:rsidR="00B61EE9" w:rsidRPr="007E1C53">
        <w:t>pour</w:t>
      </w:r>
      <w:r w:rsidR="002B0F05" w:rsidRPr="007E1C53">
        <w:t xml:space="preserve"> qu</w:t>
      </w:r>
      <w:r w:rsidR="00940BD3">
        <w:t>’</w:t>
      </w:r>
      <w:r w:rsidR="002B0F05" w:rsidRPr="007E1C53">
        <w:t>ils les transmettent aux offices intéress</w:t>
      </w:r>
      <w:r w:rsidR="00FB6977" w:rsidRPr="007E1C53">
        <w:t>és</w:t>
      </w:r>
      <w:r w:rsidR="00FB6977">
        <w:t xml:space="preserve">.  </w:t>
      </w:r>
      <w:r w:rsidR="00FB6977" w:rsidRPr="007E1C53">
        <w:t>Le</w:t>
      </w:r>
      <w:r w:rsidR="002B0F05" w:rsidRPr="007E1C53">
        <w:t xml:space="preserve"> déposant n</w:t>
      </w:r>
      <w:r w:rsidR="00940BD3">
        <w:t>’</w:t>
      </w:r>
      <w:r w:rsidR="002B0F05" w:rsidRPr="007E1C53">
        <w:t>a qu</w:t>
      </w:r>
      <w:r w:rsidR="00940BD3">
        <w:t>’</w:t>
      </w:r>
      <w:r w:rsidR="002B0F05" w:rsidRPr="007E1C53">
        <w:t>à demander à l</w:t>
      </w:r>
      <w:r w:rsidR="00940BD3">
        <w:t>’</w:t>
      </w:r>
      <w:r w:rsidR="002B0F05" w:rsidRPr="007E1C53">
        <w:t>office d</w:t>
      </w:r>
      <w:r w:rsidR="00B61EE9" w:rsidRPr="007E1C53">
        <w:t>e</w:t>
      </w:r>
      <w:r w:rsidR="002B0F05" w:rsidRPr="007E1C53">
        <w:t xml:space="preserve"> premier dépôt de déposer ou d</w:t>
      </w:r>
      <w:r w:rsidR="00940BD3">
        <w:t>’</w:t>
      </w:r>
      <w:r w:rsidR="002B0F05" w:rsidRPr="007E1C53">
        <w:t>enregistrer la demande établissant la priorité auprès du service (cette procédure peut être automatique dans certains cas) et décider ensuite de la mettre à la disposition des offices participants de deuxième dépôt par l</w:t>
      </w:r>
      <w:r w:rsidR="00940BD3">
        <w:t>’</w:t>
      </w:r>
      <w:r w:rsidR="002B0F05" w:rsidRPr="007E1C53">
        <w:t>intermédiaire de ce service.</w:t>
      </w:r>
    </w:p>
    <w:p w:rsidR="009B6058" w:rsidRPr="007E1C53" w:rsidRDefault="002B0F05" w:rsidP="007F46E2">
      <w:pPr>
        <w:pStyle w:val="Heading5"/>
      </w:pPr>
      <w:r w:rsidRPr="007E1C53">
        <w:t>Renforcement des capacités pour la numérisation</w:t>
      </w:r>
    </w:p>
    <w:p w:rsidR="009B6058" w:rsidRPr="007E1C53" w:rsidRDefault="002B06CF" w:rsidP="00A62E11">
      <w:pPr>
        <w:pStyle w:val="ONUMFS"/>
      </w:pPr>
      <w:r w:rsidRPr="007E1C53">
        <w:t>Le Secrétariat de l</w:t>
      </w:r>
      <w:r w:rsidR="00940BD3">
        <w:t>’</w:t>
      </w:r>
      <w:proofErr w:type="spellStart"/>
      <w:r w:rsidRPr="007E1C53">
        <w:t>OMPI</w:t>
      </w:r>
      <w:proofErr w:type="spellEnd"/>
      <w:r w:rsidRPr="007E1C53">
        <w:t xml:space="preserve"> continue </w:t>
      </w:r>
      <w:r w:rsidR="00B61EE9" w:rsidRPr="007E1C53">
        <w:t>de proposer</w:t>
      </w:r>
      <w:r w:rsidRPr="007E1C53">
        <w:t xml:space="preserve"> aux institutions de propriété intellectuelle </w:t>
      </w:r>
      <w:r w:rsidR="00B61EE9" w:rsidRPr="007E1C53">
        <w:t xml:space="preserve">une </w:t>
      </w:r>
      <w:r w:rsidRPr="007E1C53">
        <w:t>assistance technique et d</w:t>
      </w:r>
      <w:r w:rsidR="00B61EE9" w:rsidRPr="007E1C53">
        <w:t xml:space="preserve">es </w:t>
      </w:r>
      <w:r w:rsidRPr="007E1C53">
        <w:t xml:space="preserve">activités de renforcement des capacités de manière intégrée, car la formation des utilisateurs des systèmes </w:t>
      </w:r>
      <w:r w:rsidR="00B61EE9" w:rsidRPr="007E1C53">
        <w:t>informatiques</w:t>
      </w:r>
      <w:r w:rsidRPr="007E1C53">
        <w:t>, des plateformes mondiales, des bases de données et d</w:t>
      </w:r>
      <w:r w:rsidR="00940BD3">
        <w:t>’</w:t>
      </w:r>
      <w:r w:rsidRPr="007E1C53">
        <w:t xml:space="preserve">autres infrastructures techniques exige une bonne connaissance des flux </w:t>
      </w:r>
      <w:r w:rsidR="00B61EE9" w:rsidRPr="007E1C53">
        <w:t>opérationnels</w:t>
      </w:r>
      <w:r w:rsidRPr="007E1C53">
        <w:t xml:space="preserve"> et des systèmes </w:t>
      </w:r>
      <w:r w:rsidR="00B61EE9" w:rsidRPr="007E1C53">
        <w:t xml:space="preserve">informatiques </w:t>
      </w:r>
      <w:r w:rsidRPr="007E1C53">
        <w:t>dans l</w:t>
      </w:r>
      <w:r w:rsidR="00940BD3">
        <w:t>’</w:t>
      </w:r>
      <w:r w:rsidRPr="007E1C53">
        <w:t>environnement numériq</w:t>
      </w:r>
      <w:r w:rsidR="00FB6977" w:rsidRPr="007E1C53">
        <w:t>ue</w:t>
      </w:r>
      <w:r w:rsidR="00FB6977">
        <w:t xml:space="preserve">.  </w:t>
      </w:r>
      <w:r w:rsidR="00FB6977" w:rsidRPr="007E1C53">
        <w:t>La</w:t>
      </w:r>
      <w:r w:rsidR="00B12C8C" w:rsidRPr="007E1C53">
        <w:t xml:space="preserve"> liste d</w:t>
      </w:r>
      <w:r w:rsidR="00940BD3">
        <w:t>’</w:t>
      </w:r>
      <w:r w:rsidR="00B12C8C" w:rsidRPr="007E1C53">
        <w:t>activités ci</w:t>
      </w:r>
      <w:r w:rsidR="00940BD3">
        <w:t>-</w:t>
      </w:r>
      <w:r w:rsidR="00B12C8C" w:rsidRPr="007E1C53">
        <w:t>après présente un large éventail d</w:t>
      </w:r>
      <w:r w:rsidR="00940BD3">
        <w:t>’</w:t>
      </w:r>
      <w:r w:rsidR="00B12C8C" w:rsidRPr="007E1C53">
        <w:t>activités de renforcement des capacités étroitement liées à l</w:t>
      </w:r>
      <w:r w:rsidR="00940BD3">
        <w:t>’</w:t>
      </w:r>
      <w:r w:rsidR="00B12C8C" w:rsidRPr="007E1C53">
        <w:t>infrastructure technique des institutions de propriété intellectuelle, dont la mise en œuvre a été financée par le budget de l</w:t>
      </w:r>
      <w:r w:rsidR="00940BD3">
        <w:t>’</w:t>
      </w:r>
      <w:proofErr w:type="spellStart"/>
      <w:r w:rsidR="00B12C8C" w:rsidRPr="007E1C53">
        <w:t>OMPI</w:t>
      </w:r>
      <w:proofErr w:type="spellEnd"/>
      <w:r w:rsidR="00B12C8C" w:rsidRPr="007E1C53">
        <w:t xml:space="preserve"> et le Fonds fiduciaire du Japon.</w:t>
      </w:r>
      <w:r w:rsidR="00DD7399" w:rsidRPr="007E1C53">
        <w:t xml:space="preserve"> </w:t>
      </w:r>
      <w:r w:rsidR="005274F0">
        <w:t xml:space="preserve"> </w:t>
      </w:r>
    </w:p>
    <w:tbl>
      <w:tblPr>
        <w:tblStyle w:val="TableGrid"/>
        <w:tblW w:w="5000" w:type="pct"/>
        <w:tblCellMar>
          <w:top w:w="57" w:type="dxa"/>
          <w:bottom w:w="57" w:type="dxa"/>
        </w:tblCellMar>
        <w:tblLook w:val="04A0" w:firstRow="1" w:lastRow="0" w:firstColumn="1" w:lastColumn="0" w:noHBand="0" w:noVBand="1"/>
      </w:tblPr>
      <w:tblGrid>
        <w:gridCol w:w="1513"/>
        <w:gridCol w:w="3175"/>
        <w:gridCol w:w="4658"/>
      </w:tblGrid>
      <w:tr w:rsidR="007E1C53" w:rsidRPr="007E1C53" w:rsidTr="00A62E11">
        <w:trPr>
          <w:cantSplit/>
          <w:tblHeader/>
        </w:trPr>
        <w:tc>
          <w:tcPr>
            <w:tcW w:w="908" w:type="dxa"/>
          </w:tcPr>
          <w:p w:rsidR="00DD7399" w:rsidRPr="007E1C53" w:rsidRDefault="007554D6" w:rsidP="00A62E11">
            <w:pPr>
              <w:rPr>
                <w:rFonts w:eastAsia="Malgun Gothic"/>
                <w:szCs w:val="22"/>
                <w:lang w:val="fr-CH"/>
              </w:rPr>
            </w:pPr>
            <w:r w:rsidRPr="007E1C53">
              <w:rPr>
                <w:rFonts w:eastAsia="Malgun Gothic"/>
                <w:szCs w:val="22"/>
                <w:lang w:val="fr-CH"/>
              </w:rPr>
              <w:t>Année</w:t>
            </w:r>
          </w:p>
        </w:tc>
        <w:tc>
          <w:tcPr>
            <w:tcW w:w="1905" w:type="dxa"/>
          </w:tcPr>
          <w:p w:rsidR="00DD7399" w:rsidRPr="007E1C53" w:rsidRDefault="00C6094E" w:rsidP="00A62E11">
            <w:pPr>
              <w:rPr>
                <w:rFonts w:eastAsia="Malgun Gothic"/>
                <w:szCs w:val="22"/>
                <w:lang w:val="fr-CH"/>
              </w:rPr>
            </w:pPr>
            <w:r w:rsidRPr="007E1C53">
              <w:rPr>
                <w:rFonts w:eastAsia="Malgun Gothic"/>
                <w:szCs w:val="22"/>
                <w:lang w:val="fr-CH"/>
              </w:rPr>
              <w:t>Formation</w:t>
            </w:r>
          </w:p>
        </w:tc>
        <w:tc>
          <w:tcPr>
            <w:tcW w:w="2795" w:type="dxa"/>
          </w:tcPr>
          <w:p w:rsidR="00DD7399" w:rsidRPr="007E1C53" w:rsidRDefault="00C6094E" w:rsidP="00A62E11">
            <w:pPr>
              <w:rPr>
                <w:rFonts w:eastAsia="Malgun Gothic"/>
                <w:szCs w:val="22"/>
                <w:lang w:val="fr-CH"/>
              </w:rPr>
            </w:pPr>
            <w:r w:rsidRPr="007E1C53">
              <w:rPr>
                <w:rFonts w:eastAsia="Malgun Gothic"/>
                <w:szCs w:val="22"/>
                <w:lang w:val="fr-CH"/>
              </w:rPr>
              <w:t>Résultats</w:t>
            </w:r>
          </w:p>
        </w:tc>
      </w:tr>
      <w:tr w:rsidR="007E1C53" w:rsidRPr="007E1C53" w:rsidTr="00A62E11">
        <w:trPr>
          <w:cantSplit/>
        </w:trPr>
        <w:tc>
          <w:tcPr>
            <w:tcW w:w="908" w:type="dxa"/>
            <w:vMerge w:val="restart"/>
          </w:tcPr>
          <w:p w:rsidR="00DD7399" w:rsidRPr="007E1C53" w:rsidRDefault="00DD7399" w:rsidP="00A62E11">
            <w:pPr>
              <w:rPr>
                <w:rFonts w:eastAsia="Malgun Gothic"/>
                <w:szCs w:val="22"/>
                <w:lang w:val="fr-CH"/>
              </w:rPr>
            </w:pPr>
            <w:r w:rsidRPr="007E1C53">
              <w:rPr>
                <w:rFonts w:eastAsia="Malgun Gothic"/>
                <w:szCs w:val="22"/>
                <w:lang w:val="fr-CH"/>
              </w:rPr>
              <w:t>2017</w:t>
            </w:r>
          </w:p>
        </w:tc>
        <w:tc>
          <w:tcPr>
            <w:tcW w:w="1905" w:type="dxa"/>
          </w:tcPr>
          <w:p w:rsidR="00DD7399" w:rsidRPr="007E1C53" w:rsidRDefault="00C6094E" w:rsidP="00A62E11">
            <w:pPr>
              <w:rPr>
                <w:rFonts w:eastAsia="Malgun Gothic"/>
                <w:szCs w:val="22"/>
                <w:lang w:val="fr-CH"/>
              </w:rPr>
            </w:pPr>
            <w:r w:rsidRPr="007E1C53">
              <w:rPr>
                <w:rFonts w:eastAsia="Malgun Gothic"/>
                <w:szCs w:val="22"/>
                <w:lang w:val="fr-CH"/>
              </w:rPr>
              <w:t xml:space="preserve">Formation </w:t>
            </w:r>
            <w:r w:rsidR="00C50D69" w:rsidRPr="007E1C53">
              <w:rPr>
                <w:rFonts w:eastAsia="Malgun Gothic"/>
                <w:szCs w:val="22"/>
                <w:lang w:val="fr-CH"/>
              </w:rPr>
              <w:t xml:space="preserve">sur </w:t>
            </w:r>
            <w:proofErr w:type="spellStart"/>
            <w:r w:rsidRPr="007E1C53">
              <w:rPr>
                <w:rFonts w:eastAsia="Malgun Gothic"/>
                <w:szCs w:val="22"/>
                <w:lang w:val="fr-CH"/>
              </w:rPr>
              <w:t>IPAS</w:t>
            </w:r>
            <w:proofErr w:type="spellEnd"/>
            <w:r w:rsidRPr="007E1C53">
              <w:rPr>
                <w:rFonts w:eastAsia="Malgun Gothic"/>
                <w:szCs w:val="22"/>
                <w:lang w:val="fr-CH"/>
              </w:rPr>
              <w:t xml:space="preserve"> pour PH, ID, KH</w:t>
            </w:r>
          </w:p>
        </w:tc>
        <w:tc>
          <w:tcPr>
            <w:tcW w:w="2795" w:type="dxa"/>
          </w:tcPr>
          <w:p w:rsidR="00DD7399" w:rsidRPr="007E1C53" w:rsidRDefault="00C6094E" w:rsidP="00A62E11">
            <w:pPr>
              <w:rPr>
                <w:rFonts w:eastAsia="Malgun Gothic"/>
                <w:szCs w:val="22"/>
                <w:lang w:val="fr-CH"/>
              </w:rPr>
            </w:pPr>
            <w:r w:rsidRPr="007E1C53">
              <w:rPr>
                <w:rFonts w:eastAsia="Malgun Gothic"/>
                <w:szCs w:val="22"/>
                <w:lang w:val="fr-CH"/>
              </w:rPr>
              <w:t>Appro</w:t>
            </w:r>
            <w:r w:rsidR="002A74A6" w:rsidRPr="007E1C53">
              <w:rPr>
                <w:rFonts w:eastAsia="Malgun Gothic"/>
                <w:szCs w:val="22"/>
                <w:lang w:val="fr-CH"/>
              </w:rPr>
              <w:t>fondissement de la connaissance</w:t>
            </w:r>
            <w:r w:rsidRPr="007E1C53">
              <w:rPr>
                <w:rFonts w:eastAsia="Malgun Gothic"/>
                <w:szCs w:val="22"/>
                <w:lang w:val="fr-CH"/>
              </w:rPr>
              <w:t xml:space="preserve"> et de l</w:t>
            </w:r>
            <w:r w:rsidR="00940BD3">
              <w:rPr>
                <w:rFonts w:eastAsia="Malgun Gothic"/>
                <w:szCs w:val="22"/>
                <w:lang w:val="fr-CH"/>
              </w:rPr>
              <w:t>’</w:t>
            </w:r>
            <w:r w:rsidRPr="007E1C53">
              <w:rPr>
                <w:rFonts w:eastAsia="Malgun Gothic"/>
                <w:szCs w:val="22"/>
                <w:lang w:val="fr-CH"/>
              </w:rPr>
              <w:t>utilisation d</w:t>
            </w:r>
            <w:r w:rsidR="00940BD3">
              <w:rPr>
                <w:rFonts w:eastAsia="Malgun Gothic"/>
                <w:szCs w:val="22"/>
                <w:lang w:val="fr-CH"/>
              </w:rPr>
              <w:t>’</w:t>
            </w:r>
            <w:proofErr w:type="spellStart"/>
            <w:r w:rsidRPr="007E1C53">
              <w:rPr>
                <w:rFonts w:eastAsia="Malgun Gothic"/>
                <w:szCs w:val="22"/>
                <w:lang w:val="fr-CH"/>
              </w:rPr>
              <w:t>IPAS</w:t>
            </w:r>
            <w:proofErr w:type="spellEnd"/>
            <w:r w:rsidRPr="007E1C53">
              <w:rPr>
                <w:rFonts w:eastAsia="Malgun Gothic"/>
                <w:szCs w:val="22"/>
                <w:lang w:val="fr-CH"/>
              </w:rPr>
              <w:t xml:space="preserve"> grâce à une formation pratique intensive</w:t>
            </w:r>
          </w:p>
        </w:tc>
      </w:tr>
      <w:tr w:rsidR="007E1C53" w:rsidRPr="007E1C53" w:rsidTr="00A62E11">
        <w:trPr>
          <w:cantSplit/>
        </w:trPr>
        <w:tc>
          <w:tcPr>
            <w:tcW w:w="908" w:type="dxa"/>
            <w:vMerge/>
          </w:tcPr>
          <w:p w:rsidR="00DD7399" w:rsidRPr="007E1C53" w:rsidRDefault="00DD7399" w:rsidP="00A62E11">
            <w:pPr>
              <w:rPr>
                <w:rFonts w:eastAsia="Malgun Gothic"/>
                <w:szCs w:val="22"/>
                <w:lang w:val="fr-CH"/>
              </w:rPr>
            </w:pPr>
          </w:p>
        </w:tc>
        <w:tc>
          <w:tcPr>
            <w:tcW w:w="1905" w:type="dxa"/>
          </w:tcPr>
          <w:p w:rsidR="00DD7399" w:rsidRPr="007E1C53" w:rsidRDefault="00C6094E" w:rsidP="00A62E11">
            <w:pPr>
              <w:rPr>
                <w:rFonts w:eastAsia="Malgun Gothic"/>
                <w:szCs w:val="22"/>
                <w:lang w:val="fr-CH"/>
              </w:rPr>
            </w:pPr>
            <w:r w:rsidRPr="007E1C53">
              <w:rPr>
                <w:rFonts w:eastAsia="Malgun Gothic"/>
                <w:szCs w:val="22"/>
                <w:lang w:val="fr-CH"/>
              </w:rPr>
              <w:t xml:space="preserve">Atelier </w:t>
            </w:r>
            <w:r w:rsidR="00C50D69" w:rsidRPr="007E1C53">
              <w:rPr>
                <w:rFonts w:eastAsia="Malgun Gothic"/>
                <w:szCs w:val="22"/>
                <w:lang w:val="fr-CH"/>
              </w:rPr>
              <w:t>sur les technologies de l</w:t>
            </w:r>
            <w:r w:rsidR="00940BD3">
              <w:rPr>
                <w:rFonts w:eastAsia="Malgun Gothic"/>
                <w:szCs w:val="22"/>
                <w:lang w:val="fr-CH"/>
              </w:rPr>
              <w:t>’</w:t>
            </w:r>
            <w:r w:rsidR="00C50D69" w:rsidRPr="007E1C53">
              <w:rPr>
                <w:rFonts w:eastAsia="Malgun Gothic"/>
                <w:szCs w:val="22"/>
                <w:lang w:val="fr-CH"/>
              </w:rPr>
              <w:t>information</w:t>
            </w:r>
            <w:r w:rsidRPr="007E1C53">
              <w:rPr>
                <w:rFonts w:eastAsia="Malgun Gothic"/>
                <w:szCs w:val="22"/>
                <w:lang w:val="fr-CH"/>
              </w:rPr>
              <w:t xml:space="preserve"> pour</w:t>
            </w:r>
            <w:r w:rsidR="00B61EE9" w:rsidRPr="007E1C53">
              <w:rPr>
                <w:rFonts w:eastAsia="Malgun Gothic"/>
                <w:szCs w:val="22"/>
                <w:lang w:val="fr-CH"/>
              </w:rPr>
              <w:t xml:space="preserve"> les pays de</w:t>
            </w:r>
            <w:r w:rsidRPr="007E1C53">
              <w:rPr>
                <w:rFonts w:eastAsia="Malgun Gothic"/>
                <w:szCs w:val="22"/>
                <w:lang w:val="fr-CH"/>
              </w:rPr>
              <w:t xml:space="preserve"> l</w:t>
            </w:r>
            <w:r w:rsidR="00940BD3">
              <w:rPr>
                <w:rFonts w:eastAsia="Malgun Gothic"/>
                <w:szCs w:val="22"/>
                <w:lang w:val="fr-CH"/>
              </w:rPr>
              <w:t>’</w:t>
            </w:r>
            <w:r w:rsidRPr="007E1C53">
              <w:rPr>
                <w:rFonts w:eastAsia="Malgun Gothic"/>
                <w:szCs w:val="22"/>
                <w:lang w:val="fr-CH"/>
              </w:rPr>
              <w:t>ASEAN à PH</w:t>
            </w:r>
          </w:p>
        </w:tc>
        <w:tc>
          <w:tcPr>
            <w:tcW w:w="2795" w:type="dxa"/>
          </w:tcPr>
          <w:p w:rsidR="00DD7399" w:rsidRPr="007E1C53" w:rsidRDefault="00B45CD0" w:rsidP="00A62E11">
            <w:pPr>
              <w:rPr>
                <w:rFonts w:eastAsia="Malgun Gothic"/>
                <w:szCs w:val="22"/>
                <w:lang w:val="fr-CH"/>
              </w:rPr>
            </w:pPr>
            <w:r w:rsidRPr="007E1C53">
              <w:rPr>
                <w:rFonts w:eastAsia="Malgun Gothic"/>
                <w:szCs w:val="22"/>
                <w:lang w:val="fr-CH"/>
              </w:rPr>
              <w:t>Présentation des solutions de l</w:t>
            </w:r>
            <w:r w:rsidR="00940BD3">
              <w:rPr>
                <w:rFonts w:eastAsia="Malgun Gothic"/>
                <w:szCs w:val="22"/>
                <w:lang w:val="fr-CH"/>
              </w:rPr>
              <w:t>’</w:t>
            </w:r>
            <w:proofErr w:type="spellStart"/>
            <w:r w:rsidRPr="007E1C53">
              <w:rPr>
                <w:rFonts w:eastAsia="Malgun Gothic"/>
                <w:szCs w:val="22"/>
                <w:lang w:val="fr-CH"/>
              </w:rPr>
              <w:t>OMPI</w:t>
            </w:r>
            <w:proofErr w:type="spellEnd"/>
            <w:r w:rsidRPr="007E1C53">
              <w:rPr>
                <w:rFonts w:eastAsia="Malgun Gothic"/>
                <w:szCs w:val="22"/>
                <w:lang w:val="fr-CH"/>
              </w:rPr>
              <w:t xml:space="preserve"> pour aider </w:t>
            </w:r>
            <w:r w:rsidR="00B61EE9" w:rsidRPr="007E1C53">
              <w:rPr>
                <w:rFonts w:eastAsia="Malgun Gothic"/>
                <w:szCs w:val="22"/>
                <w:lang w:val="fr-CH"/>
              </w:rPr>
              <w:t xml:space="preserve">les pays de </w:t>
            </w:r>
            <w:r w:rsidRPr="007E1C53">
              <w:rPr>
                <w:rFonts w:eastAsia="Malgun Gothic"/>
                <w:szCs w:val="22"/>
                <w:lang w:val="fr-CH"/>
              </w:rPr>
              <w:t>l</w:t>
            </w:r>
            <w:r w:rsidR="00940BD3">
              <w:rPr>
                <w:rFonts w:eastAsia="Malgun Gothic"/>
                <w:szCs w:val="22"/>
                <w:lang w:val="fr-CH"/>
              </w:rPr>
              <w:t>’</w:t>
            </w:r>
            <w:r w:rsidRPr="007E1C53">
              <w:rPr>
                <w:rFonts w:eastAsia="Malgun Gothic"/>
                <w:szCs w:val="22"/>
                <w:lang w:val="fr-CH"/>
              </w:rPr>
              <w:t>ASEAN à évoluer vers des services en ligne et renforcer le</w:t>
            </w:r>
            <w:r w:rsidR="00347ACC" w:rsidRPr="007E1C53">
              <w:rPr>
                <w:rFonts w:eastAsia="Malgun Gothic"/>
                <w:szCs w:val="22"/>
                <w:lang w:val="fr-CH"/>
              </w:rPr>
              <w:t xml:space="preserve">urs </w:t>
            </w:r>
            <w:r w:rsidRPr="007E1C53">
              <w:rPr>
                <w:rFonts w:eastAsia="Malgun Gothic"/>
                <w:szCs w:val="22"/>
                <w:lang w:val="fr-CH"/>
              </w:rPr>
              <w:t>capacités pour l</w:t>
            </w:r>
            <w:r w:rsidR="00940BD3">
              <w:rPr>
                <w:rFonts w:eastAsia="Malgun Gothic"/>
                <w:szCs w:val="22"/>
                <w:lang w:val="fr-CH"/>
              </w:rPr>
              <w:t>’</w:t>
            </w:r>
            <w:r w:rsidRPr="007E1C53">
              <w:rPr>
                <w:rFonts w:eastAsia="Malgun Gothic"/>
                <w:szCs w:val="22"/>
                <w:lang w:val="fr-CH"/>
              </w:rPr>
              <w:t>utilisation d</w:t>
            </w:r>
            <w:r w:rsidR="00940BD3">
              <w:rPr>
                <w:rFonts w:eastAsia="Malgun Gothic"/>
                <w:szCs w:val="22"/>
                <w:lang w:val="fr-CH"/>
              </w:rPr>
              <w:t>’</w:t>
            </w:r>
            <w:proofErr w:type="spellStart"/>
            <w:r w:rsidRPr="007E1C53">
              <w:rPr>
                <w:rFonts w:eastAsia="Malgun Gothic"/>
                <w:szCs w:val="22"/>
                <w:lang w:val="fr-CH"/>
              </w:rPr>
              <w:t>IPAS</w:t>
            </w:r>
            <w:proofErr w:type="spellEnd"/>
            <w:r w:rsidRPr="007E1C53">
              <w:rPr>
                <w:rFonts w:eastAsia="Malgun Gothic"/>
                <w:szCs w:val="22"/>
                <w:lang w:val="fr-CH"/>
              </w:rPr>
              <w:t xml:space="preserve">, de WIPO File et de WIPO </w:t>
            </w:r>
            <w:proofErr w:type="spellStart"/>
            <w:r w:rsidRPr="007E1C53">
              <w:rPr>
                <w:rFonts w:eastAsia="Malgun Gothic"/>
                <w:szCs w:val="22"/>
                <w:lang w:val="fr-CH"/>
              </w:rPr>
              <w:t>Publish</w:t>
            </w:r>
            <w:proofErr w:type="spellEnd"/>
          </w:p>
        </w:tc>
      </w:tr>
      <w:tr w:rsidR="007E1C53" w:rsidRPr="007E1C53" w:rsidTr="00A62E11">
        <w:trPr>
          <w:cantSplit/>
        </w:trPr>
        <w:tc>
          <w:tcPr>
            <w:tcW w:w="908" w:type="dxa"/>
            <w:vMerge/>
          </w:tcPr>
          <w:p w:rsidR="00DD7399" w:rsidRPr="007E1C53" w:rsidRDefault="00DD7399" w:rsidP="00A62E11">
            <w:pPr>
              <w:rPr>
                <w:rFonts w:eastAsia="Malgun Gothic"/>
                <w:szCs w:val="22"/>
                <w:lang w:val="fr-CH"/>
              </w:rPr>
            </w:pPr>
          </w:p>
        </w:tc>
        <w:tc>
          <w:tcPr>
            <w:tcW w:w="1905" w:type="dxa"/>
          </w:tcPr>
          <w:p w:rsidR="00DD7399" w:rsidRPr="007E1C53" w:rsidRDefault="00B45CD0" w:rsidP="00A62E11">
            <w:pPr>
              <w:rPr>
                <w:rFonts w:eastAsia="Malgun Gothic"/>
                <w:szCs w:val="22"/>
                <w:lang w:val="fr-CH"/>
              </w:rPr>
            </w:pPr>
            <w:r w:rsidRPr="007E1C53">
              <w:rPr>
                <w:rFonts w:eastAsia="Malgun Gothic"/>
                <w:szCs w:val="22"/>
                <w:lang w:val="fr-CH"/>
              </w:rPr>
              <w:t>Atelier axé sur les opérations à l</w:t>
            </w:r>
            <w:r w:rsidR="00940BD3">
              <w:rPr>
                <w:rFonts w:eastAsia="Malgun Gothic"/>
                <w:szCs w:val="22"/>
                <w:lang w:val="fr-CH"/>
              </w:rPr>
              <w:t>’</w:t>
            </w:r>
            <w:r w:rsidRPr="007E1C53">
              <w:rPr>
                <w:rFonts w:eastAsia="Malgun Gothic"/>
                <w:szCs w:val="22"/>
                <w:lang w:val="fr-CH"/>
              </w:rPr>
              <w:t>intention de</w:t>
            </w:r>
            <w:r w:rsidR="00B61EE9" w:rsidRPr="007E1C53">
              <w:rPr>
                <w:rFonts w:eastAsia="Malgun Gothic"/>
                <w:szCs w:val="22"/>
                <w:lang w:val="fr-CH"/>
              </w:rPr>
              <w:t>s pays de</w:t>
            </w:r>
            <w:r w:rsidRPr="007E1C53">
              <w:rPr>
                <w:rFonts w:eastAsia="Malgun Gothic"/>
                <w:szCs w:val="22"/>
                <w:lang w:val="fr-CH"/>
              </w:rPr>
              <w:t xml:space="preserve"> l</w:t>
            </w:r>
            <w:r w:rsidR="00940BD3">
              <w:rPr>
                <w:rFonts w:eastAsia="Malgun Gothic"/>
                <w:szCs w:val="22"/>
                <w:lang w:val="fr-CH"/>
              </w:rPr>
              <w:t>’</w:t>
            </w:r>
            <w:r w:rsidRPr="007E1C53">
              <w:rPr>
                <w:rFonts w:eastAsia="Malgun Gothic"/>
                <w:szCs w:val="22"/>
                <w:lang w:val="fr-CH"/>
              </w:rPr>
              <w:t xml:space="preserve">ASEAN </w:t>
            </w:r>
          </w:p>
        </w:tc>
        <w:tc>
          <w:tcPr>
            <w:tcW w:w="2795" w:type="dxa"/>
          </w:tcPr>
          <w:p w:rsidR="00DD7399" w:rsidRPr="007E1C53" w:rsidRDefault="00B45CD0" w:rsidP="00A62E11">
            <w:pPr>
              <w:rPr>
                <w:rFonts w:eastAsia="Malgun Gothic"/>
                <w:szCs w:val="22"/>
                <w:lang w:val="fr-CH"/>
              </w:rPr>
            </w:pPr>
            <w:r w:rsidRPr="007E1C53">
              <w:rPr>
                <w:rFonts w:eastAsia="Malgun Gothic"/>
                <w:szCs w:val="22"/>
                <w:lang w:val="fr-CH"/>
              </w:rPr>
              <w:t xml:space="preserve">Promotion du partage du travail en matière de brevets et augmentation du nombre de membres participant à </w:t>
            </w:r>
            <w:r w:rsidR="00940BD3">
              <w:rPr>
                <w:rFonts w:eastAsia="Malgun Gothic"/>
                <w:szCs w:val="22"/>
                <w:lang w:val="fr-CH"/>
              </w:rPr>
              <w:t>WIPO CASE</w:t>
            </w:r>
            <w:r w:rsidRPr="007E1C53">
              <w:rPr>
                <w:rFonts w:eastAsia="Malgun Gothic"/>
                <w:szCs w:val="22"/>
                <w:lang w:val="fr-CH"/>
              </w:rPr>
              <w:t xml:space="preserve"> afin de réduire la répétition des activités d</w:t>
            </w:r>
            <w:r w:rsidR="00940BD3">
              <w:rPr>
                <w:rFonts w:eastAsia="Malgun Gothic"/>
                <w:szCs w:val="22"/>
                <w:lang w:val="fr-CH"/>
              </w:rPr>
              <w:t>’</w:t>
            </w:r>
            <w:r w:rsidRPr="007E1C53">
              <w:rPr>
                <w:rFonts w:eastAsia="Malgun Gothic"/>
                <w:szCs w:val="22"/>
                <w:lang w:val="fr-CH"/>
              </w:rPr>
              <w:t>examen et d</w:t>
            </w:r>
            <w:r w:rsidR="00940BD3">
              <w:rPr>
                <w:rFonts w:eastAsia="Malgun Gothic"/>
                <w:szCs w:val="22"/>
                <w:lang w:val="fr-CH"/>
              </w:rPr>
              <w:t>’</w:t>
            </w:r>
            <w:r w:rsidRPr="007E1C53">
              <w:rPr>
                <w:rFonts w:eastAsia="Malgun Gothic"/>
                <w:szCs w:val="22"/>
                <w:lang w:val="fr-CH"/>
              </w:rPr>
              <w:t>augmenter la productivité</w:t>
            </w:r>
          </w:p>
        </w:tc>
      </w:tr>
      <w:tr w:rsidR="007E1C53" w:rsidRPr="007E1C53" w:rsidTr="00A62E11">
        <w:trPr>
          <w:cantSplit/>
        </w:trPr>
        <w:tc>
          <w:tcPr>
            <w:tcW w:w="908" w:type="dxa"/>
            <w:vMerge/>
          </w:tcPr>
          <w:p w:rsidR="00DD7399" w:rsidRPr="007E1C53" w:rsidRDefault="00DD7399" w:rsidP="00A62E11">
            <w:pPr>
              <w:rPr>
                <w:rFonts w:eastAsia="Malgun Gothic"/>
                <w:szCs w:val="22"/>
                <w:lang w:val="fr-CH"/>
              </w:rPr>
            </w:pPr>
          </w:p>
        </w:tc>
        <w:tc>
          <w:tcPr>
            <w:tcW w:w="1905" w:type="dxa"/>
          </w:tcPr>
          <w:p w:rsidR="00DD7399" w:rsidRPr="007E1C53" w:rsidRDefault="00B45CD0" w:rsidP="00A62E11">
            <w:pPr>
              <w:rPr>
                <w:rFonts w:eastAsia="Malgun Gothic"/>
                <w:szCs w:val="22"/>
                <w:lang w:val="fr-CH"/>
              </w:rPr>
            </w:pPr>
            <w:r w:rsidRPr="007E1C53">
              <w:rPr>
                <w:rFonts w:eastAsia="Malgun Gothic"/>
                <w:szCs w:val="22"/>
                <w:lang w:val="fr-CH"/>
              </w:rPr>
              <w:t xml:space="preserve">Formation </w:t>
            </w:r>
            <w:r w:rsidR="00C50D69" w:rsidRPr="007E1C53">
              <w:rPr>
                <w:rFonts w:eastAsia="Malgun Gothic"/>
                <w:szCs w:val="22"/>
                <w:lang w:val="fr-CH"/>
              </w:rPr>
              <w:t xml:space="preserve">sur </w:t>
            </w:r>
            <w:proofErr w:type="spellStart"/>
            <w:r w:rsidRPr="007E1C53">
              <w:rPr>
                <w:rFonts w:eastAsia="Malgun Gothic"/>
                <w:szCs w:val="22"/>
                <w:lang w:val="fr-CH"/>
              </w:rPr>
              <w:t>IPAS</w:t>
            </w:r>
            <w:proofErr w:type="spellEnd"/>
            <w:r w:rsidRPr="007E1C53">
              <w:rPr>
                <w:rFonts w:eastAsia="Malgun Gothic"/>
                <w:szCs w:val="22"/>
                <w:lang w:val="fr-CH"/>
              </w:rPr>
              <w:t xml:space="preserve"> au Bureau de l</w:t>
            </w:r>
            <w:r w:rsidR="00940BD3">
              <w:rPr>
                <w:rFonts w:eastAsia="Malgun Gothic"/>
                <w:szCs w:val="22"/>
                <w:lang w:val="fr-CH"/>
              </w:rPr>
              <w:t>’</w:t>
            </w:r>
            <w:proofErr w:type="spellStart"/>
            <w:r w:rsidRPr="007E1C53">
              <w:rPr>
                <w:rFonts w:eastAsia="Malgun Gothic"/>
                <w:szCs w:val="22"/>
                <w:lang w:val="fr-CH"/>
              </w:rPr>
              <w:t>OMPI</w:t>
            </w:r>
            <w:proofErr w:type="spellEnd"/>
            <w:r w:rsidRPr="007E1C53">
              <w:rPr>
                <w:rFonts w:eastAsia="Malgun Gothic"/>
                <w:szCs w:val="22"/>
                <w:lang w:val="fr-CH"/>
              </w:rPr>
              <w:t xml:space="preserve"> à Singapour pour ID </w:t>
            </w:r>
            <w:proofErr w:type="spellStart"/>
            <w:r w:rsidRPr="007E1C53">
              <w:rPr>
                <w:rFonts w:eastAsia="Malgun Gothic"/>
                <w:szCs w:val="22"/>
                <w:lang w:val="fr-CH"/>
              </w:rPr>
              <w:t>NP</w:t>
            </w:r>
            <w:proofErr w:type="spellEnd"/>
            <w:r w:rsidRPr="007E1C53">
              <w:rPr>
                <w:rFonts w:eastAsia="Malgun Gothic"/>
                <w:szCs w:val="22"/>
                <w:lang w:val="fr-CH"/>
              </w:rPr>
              <w:t xml:space="preserve"> </w:t>
            </w:r>
            <w:proofErr w:type="spellStart"/>
            <w:r w:rsidRPr="007E1C53">
              <w:rPr>
                <w:rFonts w:eastAsia="Malgun Gothic"/>
                <w:szCs w:val="22"/>
                <w:lang w:val="fr-CH"/>
              </w:rPr>
              <w:t>PNG</w:t>
            </w:r>
            <w:proofErr w:type="spellEnd"/>
            <w:r w:rsidRPr="007E1C53">
              <w:rPr>
                <w:rFonts w:eastAsia="Malgun Gothic"/>
                <w:szCs w:val="22"/>
                <w:lang w:val="fr-CH"/>
              </w:rPr>
              <w:t xml:space="preserve"> </w:t>
            </w:r>
            <w:proofErr w:type="spellStart"/>
            <w:r w:rsidRPr="007E1C53">
              <w:rPr>
                <w:rFonts w:eastAsia="Malgun Gothic"/>
                <w:szCs w:val="22"/>
                <w:lang w:val="fr-CH"/>
              </w:rPr>
              <w:t>LK</w:t>
            </w:r>
            <w:proofErr w:type="spellEnd"/>
          </w:p>
        </w:tc>
        <w:tc>
          <w:tcPr>
            <w:tcW w:w="2795" w:type="dxa"/>
          </w:tcPr>
          <w:p w:rsidR="00DD7399" w:rsidRPr="007E1C53" w:rsidRDefault="00B45CD0" w:rsidP="00A62E11">
            <w:pPr>
              <w:rPr>
                <w:rFonts w:eastAsia="Malgun Gothic"/>
                <w:szCs w:val="22"/>
                <w:lang w:val="fr-CH"/>
              </w:rPr>
            </w:pPr>
            <w:r w:rsidRPr="007E1C53">
              <w:rPr>
                <w:rFonts w:eastAsia="Malgun Gothic"/>
                <w:szCs w:val="22"/>
                <w:lang w:val="fr-CH"/>
              </w:rPr>
              <w:t>Formation aux technologies de l</w:t>
            </w:r>
            <w:r w:rsidR="00940BD3">
              <w:rPr>
                <w:rFonts w:eastAsia="Malgun Gothic"/>
                <w:szCs w:val="22"/>
                <w:lang w:val="fr-CH"/>
              </w:rPr>
              <w:t>’</w:t>
            </w:r>
            <w:r w:rsidRPr="007E1C53">
              <w:rPr>
                <w:rFonts w:eastAsia="Malgun Gothic"/>
                <w:szCs w:val="22"/>
                <w:lang w:val="fr-CH"/>
              </w:rPr>
              <w:t>information axée sur la mise en place, l</w:t>
            </w:r>
            <w:r w:rsidR="00940BD3">
              <w:rPr>
                <w:rFonts w:eastAsia="Malgun Gothic"/>
                <w:szCs w:val="22"/>
                <w:lang w:val="fr-CH"/>
              </w:rPr>
              <w:t>’</w:t>
            </w:r>
            <w:r w:rsidRPr="007E1C53">
              <w:rPr>
                <w:rFonts w:eastAsia="Malgun Gothic"/>
                <w:szCs w:val="22"/>
                <w:lang w:val="fr-CH"/>
              </w:rPr>
              <w:t>adaptation, et l</w:t>
            </w:r>
            <w:r w:rsidR="00940BD3">
              <w:rPr>
                <w:rFonts w:eastAsia="Malgun Gothic"/>
                <w:szCs w:val="22"/>
                <w:lang w:val="fr-CH"/>
              </w:rPr>
              <w:t>’</w:t>
            </w:r>
            <w:r w:rsidRPr="007E1C53">
              <w:rPr>
                <w:rFonts w:eastAsia="Malgun Gothic"/>
                <w:szCs w:val="22"/>
                <w:lang w:val="fr-CH"/>
              </w:rPr>
              <w:t xml:space="preserve">administration de WIPO </w:t>
            </w:r>
            <w:proofErr w:type="spellStart"/>
            <w:r w:rsidRPr="007E1C53">
              <w:rPr>
                <w:rFonts w:eastAsia="Malgun Gothic"/>
                <w:szCs w:val="22"/>
                <w:lang w:val="fr-CH"/>
              </w:rPr>
              <w:t>IPAS</w:t>
            </w:r>
            <w:proofErr w:type="spellEnd"/>
            <w:r w:rsidRPr="007E1C53">
              <w:rPr>
                <w:rFonts w:eastAsia="Malgun Gothic"/>
                <w:szCs w:val="22"/>
                <w:lang w:val="fr-CH"/>
              </w:rPr>
              <w:t>, de ses modules d</w:t>
            </w:r>
            <w:r w:rsidR="00940BD3">
              <w:rPr>
                <w:rFonts w:eastAsia="Malgun Gothic"/>
                <w:szCs w:val="22"/>
                <w:lang w:val="fr-CH"/>
              </w:rPr>
              <w:t>’</w:t>
            </w:r>
            <w:r w:rsidRPr="007E1C53">
              <w:rPr>
                <w:rFonts w:eastAsia="Malgun Gothic"/>
                <w:szCs w:val="22"/>
                <w:lang w:val="fr-CH"/>
              </w:rPr>
              <w:t xml:space="preserve">appui et de WIPO </w:t>
            </w:r>
            <w:proofErr w:type="spellStart"/>
            <w:r w:rsidRPr="007E1C53">
              <w:rPr>
                <w:rFonts w:eastAsia="Malgun Gothic"/>
                <w:szCs w:val="22"/>
                <w:lang w:val="fr-CH"/>
              </w:rPr>
              <w:t>Publish</w:t>
            </w:r>
            <w:proofErr w:type="spellEnd"/>
          </w:p>
        </w:tc>
      </w:tr>
      <w:tr w:rsidR="007E1C53" w:rsidRPr="007E1C53" w:rsidTr="00A62E11">
        <w:trPr>
          <w:cantSplit/>
        </w:trPr>
        <w:tc>
          <w:tcPr>
            <w:tcW w:w="908" w:type="dxa"/>
            <w:vMerge/>
          </w:tcPr>
          <w:p w:rsidR="00DD7399" w:rsidRPr="007E1C53" w:rsidRDefault="00DD7399" w:rsidP="00A62E11">
            <w:pPr>
              <w:rPr>
                <w:rFonts w:eastAsia="Malgun Gothic"/>
                <w:szCs w:val="22"/>
                <w:lang w:val="fr-CH"/>
              </w:rPr>
            </w:pPr>
          </w:p>
        </w:tc>
        <w:tc>
          <w:tcPr>
            <w:tcW w:w="1905" w:type="dxa"/>
          </w:tcPr>
          <w:p w:rsidR="00DD7399" w:rsidRPr="007E1C53" w:rsidRDefault="00B45CD0" w:rsidP="00A62E11">
            <w:pPr>
              <w:rPr>
                <w:rFonts w:eastAsia="Malgun Gothic"/>
                <w:szCs w:val="22"/>
                <w:lang w:val="fr-CH"/>
              </w:rPr>
            </w:pPr>
            <w:r w:rsidRPr="007E1C53">
              <w:rPr>
                <w:rFonts w:eastAsia="Malgun Gothic"/>
                <w:szCs w:val="22"/>
                <w:lang w:val="fr-CH"/>
              </w:rPr>
              <w:t xml:space="preserve">Atelier de formation </w:t>
            </w:r>
            <w:r w:rsidR="00C50D69" w:rsidRPr="007E1C53">
              <w:rPr>
                <w:rFonts w:eastAsia="Malgun Gothic"/>
                <w:szCs w:val="22"/>
                <w:lang w:val="fr-CH"/>
              </w:rPr>
              <w:t xml:space="preserve">sur </w:t>
            </w:r>
            <w:proofErr w:type="spellStart"/>
            <w:r w:rsidRPr="007E1C53">
              <w:rPr>
                <w:rFonts w:eastAsia="Malgun Gothic"/>
                <w:szCs w:val="22"/>
                <w:lang w:val="fr-CH"/>
              </w:rPr>
              <w:t>IPAS</w:t>
            </w:r>
            <w:proofErr w:type="spellEnd"/>
            <w:r w:rsidRPr="007E1C53">
              <w:rPr>
                <w:rFonts w:eastAsia="Malgun Gothic"/>
                <w:szCs w:val="22"/>
                <w:lang w:val="fr-CH"/>
              </w:rPr>
              <w:t xml:space="preserve"> </w:t>
            </w:r>
            <w:r w:rsidR="0067438A" w:rsidRPr="007E1C53">
              <w:rPr>
                <w:rFonts w:eastAsia="Malgun Gothic"/>
                <w:szCs w:val="22"/>
                <w:lang w:val="fr-CH"/>
              </w:rPr>
              <w:t xml:space="preserve">à </w:t>
            </w:r>
            <w:r w:rsidRPr="007E1C53">
              <w:rPr>
                <w:rFonts w:eastAsia="Malgun Gothic"/>
                <w:szCs w:val="22"/>
                <w:lang w:val="fr-CH"/>
              </w:rPr>
              <w:t>Antigua</w:t>
            </w:r>
          </w:p>
        </w:tc>
        <w:tc>
          <w:tcPr>
            <w:tcW w:w="2795" w:type="dxa"/>
          </w:tcPr>
          <w:p w:rsidR="00DD7399" w:rsidRPr="007E1C53" w:rsidRDefault="00DC23DB" w:rsidP="00A62E11">
            <w:pPr>
              <w:rPr>
                <w:rFonts w:eastAsia="Malgun Gothic"/>
                <w:szCs w:val="22"/>
                <w:lang w:val="fr-CH"/>
              </w:rPr>
            </w:pPr>
            <w:r w:rsidRPr="007E1C53">
              <w:rPr>
                <w:rFonts w:eastAsia="Malgun Gothic"/>
                <w:szCs w:val="22"/>
                <w:lang w:val="fr-CH"/>
              </w:rPr>
              <w:t>Amélioration des compétences techniques en matière de technologies de l</w:t>
            </w:r>
            <w:r w:rsidR="00940BD3">
              <w:rPr>
                <w:rFonts w:eastAsia="Malgun Gothic"/>
                <w:szCs w:val="22"/>
                <w:lang w:val="fr-CH"/>
              </w:rPr>
              <w:t>’</w:t>
            </w:r>
            <w:r w:rsidRPr="007E1C53">
              <w:rPr>
                <w:rFonts w:eastAsia="Malgun Gothic"/>
                <w:szCs w:val="22"/>
                <w:lang w:val="fr-CH"/>
              </w:rPr>
              <w:t>information concernant l</w:t>
            </w:r>
            <w:r w:rsidR="00940BD3">
              <w:rPr>
                <w:rFonts w:eastAsia="Malgun Gothic"/>
                <w:szCs w:val="22"/>
                <w:lang w:val="fr-CH"/>
              </w:rPr>
              <w:t>’</w:t>
            </w:r>
            <w:r w:rsidRPr="007E1C53">
              <w:rPr>
                <w:rFonts w:eastAsia="Malgun Gothic"/>
                <w:szCs w:val="22"/>
                <w:lang w:val="fr-CH"/>
              </w:rPr>
              <w:t>adaptation, la mise en place et l</w:t>
            </w:r>
            <w:r w:rsidR="00940BD3">
              <w:rPr>
                <w:rFonts w:eastAsia="Malgun Gothic"/>
                <w:szCs w:val="22"/>
                <w:lang w:val="fr-CH"/>
              </w:rPr>
              <w:t>’</w:t>
            </w:r>
            <w:r w:rsidRPr="007E1C53">
              <w:rPr>
                <w:rFonts w:eastAsia="Malgun Gothic"/>
                <w:szCs w:val="22"/>
                <w:lang w:val="fr-CH"/>
              </w:rPr>
              <w:t xml:space="preserve">administration de WIPO </w:t>
            </w:r>
            <w:proofErr w:type="spellStart"/>
            <w:r w:rsidRPr="007E1C53">
              <w:rPr>
                <w:rFonts w:eastAsia="Malgun Gothic"/>
                <w:szCs w:val="22"/>
                <w:lang w:val="fr-CH"/>
              </w:rPr>
              <w:t>IPAS</w:t>
            </w:r>
            <w:proofErr w:type="spellEnd"/>
            <w:r w:rsidRPr="007E1C53">
              <w:rPr>
                <w:rFonts w:eastAsia="Malgun Gothic"/>
                <w:szCs w:val="22"/>
                <w:lang w:val="fr-CH"/>
              </w:rPr>
              <w:t xml:space="preserve"> et de ses modules connexes d</w:t>
            </w:r>
            <w:r w:rsidR="00940BD3">
              <w:rPr>
                <w:rFonts w:eastAsia="Malgun Gothic"/>
                <w:szCs w:val="22"/>
                <w:lang w:val="fr-CH"/>
              </w:rPr>
              <w:t>’</w:t>
            </w:r>
            <w:r w:rsidRPr="007E1C53">
              <w:rPr>
                <w:rFonts w:eastAsia="Malgun Gothic"/>
                <w:szCs w:val="22"/>
                <w:lang w:val="fr-CH"/>
              </w:rPr>
              <w:t>automatisation</w:t>
            </w:r>
          </w:p>
        </w:tc>
      </w:tr>
      <w:tr w:rsidR="007E1C53" w:rsidRPr="007E1C53" w:rsidTr="00A62E11">
        <w:trPr>
          <w:cantSplit/>
        </w:trPr>
        <w:tc>
          <w:tcPr>
            <w:tcW w:w="908" w:type="dxa"/>
            <w:vMerge/>
          </w:tcPr>
          <w:p w:rsidR="00DD7399" w:rsidRPr="007E1C53" w:rsidRDefault="00DD7399" w:rsidP="00A62E11">
            <w:pPr>
              <w:rPr>
                <w:rFonts w:eastAsia="Malgun Gothic"/>
                <w:szCs w:val="22"/>
                <w:lang w:val="fr-CH"/>
              </w:rPr>
            </w:pPr>
          </w:p>
        </w:tc>
        <w:tc>
          <w:tcPr>
            <w:tcW w:w="1905" w:type="dxa"/>
          </w:tcPr>
          <w:p w:rsidR="00DD7399" w:rsidRPr="007E1C53" w:rsidRDefault="00DC23DB" w:rsidP="00A62E11">
            <w:pPr>
              <w:rPr>
                <w:rFonts w:eastAsia="Malgun Gothic"/>
                <w:szCs w:val="22"/>
                <w:lang w:val="fr-CH"/>
              </w:rPr>
            </w:pPr>
            <w:r w:rsidRPr="007E1C53">
              <w:rPr>
                <w:rFonts w:eastAsia="Malgun Gothic"/>
                <w:szCs w:val="22"/>
                <w:lang w:val="fr-CH"/>
              </w:rPr>
              <w:t xml:space="preserve">Formation régionale </w:t>
            </w:r>
            <w:r w:rsidR="00235B24" w:rsidRPr="007E1C53">
              <w:rPr>
                <w:rFonts w:eastAsia="Malgun Gothic"/>
                <w:szCs w:val="22"/>
                <w:lang w:val="fr-CH"/>
              </w:rPr>
              <w:t xml:space="preserve">limitée </w:t>
            </w:r>
            <w:r w:rsidR="00C50D69" w:rsidRPr="007E1C53">
              <w:rPr>
                <w:rFonts w:eastAsia="Malgun Gothic"/>
                <w:szCs w:val="22"/>
                <w:lang w:val="fr-CH"/>
              </w:rPr>
              <w:t xml:space="preserve">sur </w:t>
            </w:r>
            <w:proofErr w:type="spellStart"/>
            <w:r w:rsidRPr="007E1C53">
              <w:rPr>
                <w:rFonts w:eastAsia="Malgun Gothic"/>
                <w:szCs w:val="22"/>
                <w:lang w:val="fr-CH"/>
              </w:rPr>
              <w:t>IPAS</w:t>
            </w:r>
            <w:proofErr w:type="spellEnd"/>
            <w:r w:rsidRPr="007E1C53">
              <w:rPr>
                <w:rFonts w:eastAsia="Malgun Gothic"/>
                <w:szCs w:val="22"/>
                <w:lang w:val="fr-CH"/>
              </w:rPr>
              <w:t xml:space="preserve"> à Genève</w:t>
            </w:r>
          </w:p>
        </w:tc>
        <w:tc>
          <w:tcPr>
            <w:tcW w:w="2795" w:type="dxa"/>
          </w:tcPr>
          <w:p w:rsidR="00DD7399" w:rsidRPr="007E1C53" w:rsidRDefault="00A7463E" w:rsidP="00A62E11">
            <w:pPr>
              <w:rPr>
                <w:rFonts w:eastAsia="Malgun Gothic"/>
                <w:szCs w:val="22"/>
                <w:lang w:val="fr-CH"/>
              </w:rPr>
            </w:pPr>
            <w:r w:rsidRPr="007E1C53">
              <w:rPr>
                <w:rFonts w:eastAsia="Malgun Gothic"/>
                <w:szCs w:val="22"/>
                <w:lang w:val="fr-CH"/>
              </w:rPr>
              <w:t xml:space="preserve">Meilleure compréhension </w:t>
            </w:r>
            <w:r w:rsidR="0047254D" w:rsidRPr="007E1C53">
              <w:rPr>
                <w:rFonts w:eastAsia="Malgun Gothic"/>
                <w:szCs w:val="22"/>
                <w:lang w:val="fr-CH"/>
              </w:rPr>
              <w:t>de</w:t>
            </w:r>
            <w:r w:rsidRPr="007E1C53">
              <w:rPr>
                <w:rFonts w:eastAsia="Malgun Gothic"/>
                <w:szCs w:val="22"/>
                <w:lang w:val="fr-CH"/>
              </w:rPr>
              <w:t xml:space="preserve"> la mise en place, </w:t>
            </w:r>
            <w:r w:rsidR="0047254D" w:rsidRPr="007E1C53">
              <w:rPr>
                <w:rFonts w:eastAsia="Malgun Gothic"/>
                <w:szCs w:val="22"/>
                <w:lang w:val="fr-CH"/>
              </w:rPr>
              <w:t xml:space="preserve">de </w:t>
            </w:r>
            <w:r w:rsidRPr="007E1C53">
              <w:rPr>
                <w:rFonts w:eastAsia="Malgun Gothic"/>
                <w:szCs w:val="22"/>
                <w:lang w:val="fr-CH"/>
              </w:rPr>
              <w:t>l</w:t>
            </w:r>
            <w:r w:rsidR="00940BD3">
              <w:rPr>
                <w:rFonts w:eastAsia="Malgun Gothic"/>
                <w:szCs w:val="22"/>
                <w:lang w:val="fr-CH"/>
              </w:rPr>
              <w:t>’</w:t>
            </w:r>
            <w:r w:rsidRPr="007E1C53">
              <w:rPr>
                <w:rFonts w:eastAsia="Malgun Gothic"/>
                <w:szCs w:val="22"/>
                <w:lang w:val="fr-CH"/>
              </w:rPr>
              <w:t>adaptation et</w:t>
            </w:r>
            <w:r w:rsidR="0047254D" w:rsidRPr="007E1C53">
              <w:rPr>
                <w:rFonts w:eastAsia="Malgun Gothic"/>
                <w:szCs w:val="22"/>
                <w:lang w:val="fr-CH"/>
              </w:rPr>
              <w:t xml:space="preserve"> de</w:t>
            </w:r>
            <w:r w:rsidRPr="007E1C53">
              <w:rPr>
                <w:rFonts w:eastAsia="Malgun Gothic"/>
                <w:szCs w:val="22"/>
                <w:lang w:val="fr-CH"/>
              </w:rPr>
              <w:t xml:space="preserve"> l</w:t>
            </w:r>
            <w:r w:rsidR="00940BD3">
              <w:rPr>
                <w:rFonts w:eastAsia="Malgun Gothic"/>
                <w:szCs w:val="22"/>
                <w:lang w:val="fr-CH"/>
              </w:rPr>
              <w:t>’</w:t>
            </w:r>
            <w:r w:rsidRPr="007E1C53">
              <w:rPr>
                <w:rFonts w:eastAsia="Malgun Gothic"/>
                <w:szCs w:val="22"/>
                <w:lang w:val="fr-CH"/>
              </w:rPr>
              <w:t xml:space="preserve">administration de WIPO </w:t>
            </w:r>
            <w:proofErr w:type="spellStart"/>
            <w:r w:rsidRPr="007E1C53">
              <w:rPr>
                <w:rFonts w:eastAsia="Malgun Gothic"/>
                <w:szCs w:val="22"/>
                <w:lang w:val="fr-CH"/>
              </w:rPr>
              <w:t>IPAS</w:t>
            </w:r>
            <w:proofErr w:type="spellEnd"/>
            <w:r w:rsidRPr="007E1C53">
              <w:rPr>
                <w:rFonts w:eastAsia="Malgun Gothic"/>
                <w:szCs w:val="22"/>
                <w:lang w:val="fr-CH"/>
              </w:rPr>
              <w:t xml:space="preserve"> et de ses modules d</w:t>
            </w:r>
            <w:r w:rsidR="00940BD3">
              <w:rPr>
                <w:rFonts w:eastAsia="Malgun Gothic"/>
                <w:szCs w:val="22"/>
                <w:lang w:val="fr-CH"/>
              </w:rPr>
              <w:t>’</w:t>
            </w:r>
            <w:r w:rsidRPr="007E1C53">
              <w:rPr>
                <w:rFonts w:eastAsia="Malgun Gothic"/>
                <w:szCs w:val="22"/>
                <w:lang w:val="fr-CH"/>
              </w:rPr>
              <w:t xml:space="preserve">appui </w:t>
            </w:r>
          </w:p>
        </w:tc>
      </w:tr>
      <w:tr w:rsidR="007E1C53" w:rsidRPr="007E1C53" w:rsidTr="00A62E11">
        <w:trPr>
          <w:cantSplit/>
        </w:trPr>
        <w:tc>
          <w:tcPr>
            <w:tcW w:w="908" w:type="dxa"/>
            <w:vMerge/>
          </w:tcPr>
          <w:p w:rsidR="00DD7399" w:rsidRPr="007E1C53" w:rsidRDefault="00DD7399" w:rsidP="00A62E11">
            <w:pPr>
              <w:rPr>
                <w:rFonts w:eastAsia="Malgun Gothic"/>
                <w:szCs w:val="22"/>
                <w:lang w:val="fr-CH"/>
              </w:rPr>
            </w:pPr>
          </w:p>
        </w:tc>
        <w:tc>
          <w:tcPr>
            <w:tcW w:w="1905" w:type="dxa"/>
          </w:tcPr>
          <w:p w:rsidR="00DD7399" w:rsidRPr="007E1C53" w:rsidRDefault="00A7463E" w:rsidP="00A62E11">
            <w:pPr>
              <w:rPr>
                <w:rFonts w:eastAsia="Malgun Gothic"/>
                <w:szCs w:val="22"/>
                <w:lang w:val="fr-CH"/>
              </w:rPr>
            </w:pPr>
            <w:r w:rsidRPr="007E1C53">
              <w:rPr>
                <w:rFonts w:eastAsia="Malgun Gothic"/>
                <w:szCs w:val="22"/>
                <w:lang w:val="fr-CH"/>
              </w:rPr>
              <w:t xml:space="preserve">Formation régionale </w:t>
            </w:r>
            <w:r w:rsidR="00C50D69" w:rsidRPr="007E1C53">
              <w:rPr>
                <w:rFonts w:eastAsia="Malgun Gothic"/>
                <w:szCs w:val="22"/>
                <w:lang w:val="fr-CH"/>
              </w:rPr>
              <w:t xml:space="preserve">sur </w:t>
            </w:r>
            <w:proofErr w:type="spellStart"/>
            <w:r w:rsidRPr="007E1C53">
              <w:rPr>
                <w:rFonts w:eastAsia="Malgun Gothic"/>
                <w:szCs w:val="22"/>
                <w:lang w:val="fr-CH"/>
              </w:rPr>
              <w:t>IPAS</w:t>
            </w:r>
            <w:proofErr w:type="spellEnd"/>
            <w:r w:rsidRPr="007E1C53">
              <w:rPr>
                <w:rFonts w:eastAsia="Malgun Gothic"/>
                <w:szCs w:val="22"/>
                <w:lang w:val="fr-CH"/>
              </w:rPr>
              <w:t xml:space="preserve"> </w:t>
            </w:r>
            <w:r w:rsidR="0067438A" w:rsidRPr="007E1C53">
              <w:rPr>
                <w:rFonts w:eastAsia="Malgun Gothic"/>
                <w:szCs w:val="22"/>
                <w:lang w:val="fr-CH"/>
              </w:rPr>
              <w:t xml:space="preserve">au </w:t>
            </w:r>
            <w:r w:rsidRPr="007E1C53">
              <w:rPr>
                <w:rFonts w:eastAsia="Malgun Gothic"/>
                <w:szCs w:val="22"/>
                <w:lang w:val="fr-CH"/>
              </w:rPr>
              <w:t>Botswana</w:t>
            </w:r>
          </w:p>
        </w:tc>
        <w:tc>
          <w:tcPr>
            <w:tcW w:w="2795" w:type="dxa"/>
          </w:tcPr>
          <w:p w:rsidR="00DD7399" w:rsidRPr="007E1C53" w:rsidRDefault="00A7463E" w:rsidP="00A62E11">
            <w:pPr>
              <w:rPr>
                <w:rFonts w:eastAsia="Malgun Gothic"/>
                <w:szCs w:val="22"/>
                <w:lang w:val="fr-CH"/>
              </w:rPr>
            </w:pPr>
            <w:r w:rsidRPr="007E1C53">
              <w:rPr>
                <w:rFonts w:eastAsia="Malgun Gothic"/>
                <w:szCs w:val="22"/>
                <w:lang w:val="fr-CH"/>
              </w:rPr>
              <w:t>Renforcement de la capacité des examinateurs de</w:t>
            </w:r>
            <w:r w:rsidR="0047254D" w:rsidRPr="007E1C53">
              <w:rPr>
                <w:rFonts w:eastAsia="Malgun Gothic"/>
                <w:szCs w:val="22"/>
                <w:lang w:val="fr-CH"/>
              </w:rPr>
              <w:t xml:space="preserve">s marques à </w:t>
            </w:r>
            <w:r w:rsidR="002A74A6" w:rsidRPr="007E1C53">
              <w:rPr>
                <w:rFonts w:eastAsia="Malgun Gothic"/>
                <w:szCs w:val="22"/>
                <w:lang w:val="fr-CH"/>
              </w:rPr>
              <w:t xml:space="preserve">utiliser </w:t>
            </w:r>
            <w:proofErr w:type="spellStart"/>
            <w:r w:rsidRPr="007E1C53">
              <w:rPr>
                <w:rFonts w:eastAsia="Malgun Gothic"/>
                <w:szCs w:val="22"/>
                <w:lang w:val="fr-CH"/>
              </w:rPr>
              <w:t>IPAS</w:t>
            </w:r>
            <w:proofErr w:type="spellEnd"/>
            <w:r w:rsidRPr="007E1C53">
              <w:rPr>
                <w:rFonts w:eastAsia="Malgun Gothic"/>
                <w:szCs w:val="22"/>
                <w:lang w:val="fr-CH"/>
              </w:rPr>
              <w:t xml:space="preserve"> pour la recherche et l</w:t>
            </w:r>
            <w:r w:rsidR="00940BD3">
              <w:rPr>
                <w:rFonts w:eastAsia="Malgun Gothic"/>
                <w:szCs w:val="22"/>
                <w:lang w:val="fr-CH"/>
              </w:rPr>
              <w:t>’</w:t>
            </w:r>
            <w:r w:rsidRPr="007E1C53">
              <w:rPr>
                <w:rFonts w:eastAsia="Malgun Gothic"/>
                <w:szCs w:val="22"/>
                <w:lang w:val="fr-CH"/>
              </w:rPr>
              <w:t>examen</w:t>
            </w:r>
          </w:p>
        </w:tc>
      </w:tr>
      <w:tr w:rsidR="007E1C53" w:rsidRPr="007E1C53" w:rsidTr="00A62E11">
        <w:trPr>
          <w:cantSplit/>
        </w:trPr>
        <w:tc>
          <w:tcPr>
            <w:tcW w:w="908" w:type="dxa"/>
            <w:vMerge/>
          </w:tcPr>
          <w:p w:rsidR="00DD7399" w:rsidRPr="007E1C53" w:rsidRDefault="00DD7399" w:rsidP="00A62E11">
            <w:pPr>
              <w:rPr>
                <w:rFonts w:eastAsia="Malgun Gothic"/>
                <w:szCs w:val="22"/>
                <w:lang w:val="fr-CH"/>
              </w:rPr>
            </w:pPr>
          </w:p>
        </w:tc>
        <w:tc>
          <w:tcPr>
            <w:tcW w:w="1905" w:type="dxa"/>
          </w:tcPr>
          <w:p w:rsidR="00DD7399" w:rsidRPr="007E1C53" w:rsidRDefault="00A7463E" w:rsidP="00A62E11">
            <w:pPr>
              <w:rPr>
                <w:rFonts w:eastAsia="Malgun Gothic"/>
                <w:szCs w:val="22"/>
                <w:lang w:val="fr-CH"/>
              </w:rPr>
            </w:pPr>
            <w:r w:rsidRPr="007E1C53">
              <w:rPr>
                <w:rFonts w:eastAsia="Malgun Gothic"/>
                <w:szCs w:val="22"/>
                <w:lang w:val="fr-CH"/>
              </w:rPr>
              <w:t xml:space="preserve">Formation </w:t>
            </w:r>
            <w:r w:rsidR="00C50D69" w:rsidRPr="007E1C53">
              <w:rPr>
                <w:rFonts w:eastAsia="Malgun Gothic"/>
                <w:szCs w:val="22"/>
                <w:lang w:val="fr-CH"/>
              </w:rPr>
              <w:t xml:space="preserve">sur </w:t>
            </w:r>
            <w:proofErr w:type="spellStart"/>
            <w:r w:rsidRPr="007E1C53">
              <w:rPr>
                <w:rFonts w:eastAsia="Malgun Gothic"/>
                <w:szCs w:val="22"/>
                <w:lang w:val="fr-CH"/>
              </w:rPr>
              <w:t>IPAS</w:t>
            </w:r>
            <w:proofErr w:type="spellEnd"/>
            <w:r w:rsidRPr="007E1C53">
              <w:rPr>
                <w:rFonts w:eastAsia="Malgun Gothic"/>
                <w:szCs w:val="22"/>
                <w:lang w:val="fr-CH"/>
              </w:rPr>
              <w:t xml:space="preserve"> pour les îles du Pacifique à Canberra</w:t>
            </w:r>
          </w:p>
        </w:tc>
        <w:tc>
          <w:tcPr>
            <w:tcW w:w="2795" w:type="dxa"/>
          </w:tcPr>
          <w:p w:rsidR="00DD7399" w:rsidRPr="007E1C53" w:rsidRDefault="00037AE5" w:rsidP="00A62E11">
            <w:pPr>
              <w:rPr>
                <w:rFonts w:eastAsia="Malgun Gothic"/>
                <w:szCs w:val="22"/>
                <w:lang w:val="fr-CH"/>
              </w:rPr>
            </w:pPr>
            <w:r w:rsidRPr="007E1C53">
              <w:rPr>
                <w:rFonts w:eastAsia="Malgun Gothic"/>
                <w:szCs w:val="22"/>
                <w:lang w:val="fr-CH"/>
              </w:rPr>
              <w:t>Amélioration des capacités des techniciens des offices de propriété intellectuelle en ce qui concerne l</w:t>
            </w:r>
            <w:r w:rsidR="00940BD3">
              <w:rPr>
                <w:rFonts w:eastAsia="Malgun Gothic"/>
                <w:szCs w:val="22"/>
                <w:lang w:val="fr-CH"/>
              </w:rPr>
              <w:t>’</w:t>
            </w:r>
            <w:r w:rsidRPr="007E1C53">
              <w:rPr>
                <w:rFonts w:eastAsia="Malgun Gothic"/>
                <w:szCs w:val="22"/>
                <w:lang w:val="fr-CH"/>
              </w:rPr>
              <w:t>installation, la configuration et l</w:t>
            </w:r>
            <w:r w:rsidR="00940BD3">
              <w:rPr>
                <w:rFonts w:eastAsia="Malgun Gothic"/>
                <w:szCs w:val="22"/>
                <w:lang w:val="fr-CH"/>
              </w:rPr>
              <w:t>’</w:t>
            </w:r>
            <w:r w:rsidRPr="007E1C53">
              <w:rPr>
                <w:rFonts w:eastAsia="Malgun Gothic"/>
                <w:szCs w:val="22"/>
                <w:lang w:val="fr-CH"/>
              </w:rPr>
              <w:t>appui des solutions de l</w:t>
            </w:r>
            <w:r w:rsidR="00940BD3">
              <w:rPr>
                <w:rFonts w:eastAsia="Malgun Gothic"/>
                <w:szCs w:val="22"/>
                <w:lang w:val="fr-CH"/>
              </w:rPr>
              <w:t>’</w:t>
            </w:r>
            <w:proofErr w:type="spellStart"/>
            <w:r w:rsidRPr="007E1C53">
              <w:rPr>
                <w:rFonts w:eastAsia="Malgun Gothic"/>
                <w:szCs w:val="22"/>
                <w:lang w:val="fr-CH"/>
              </w:rPr>
              <w:t>OMPI</w:t>
            </w:r>
            <w:proofErr w:type="spellEnd"/>
            <w:r w:rsidRPr="007E1C53">
              <w:rPr>
                <w:rFonts w:eastAsia="Malgun Gothic"/>
                <w:szCs w:val="22"/>
                <w:lang w:val="fr-CH"/>
              </w:rPr>
              <w:t xml:space="preserve"> à l</w:t>
            </w:r>
            <w:r w:rsidR="00940BD3">
              <w:rPr>
                <w:rFonts w:eastAsia="Malgun Gothic"/>
                <w:szCs w:val="22"/>
                <w:lang w:val="fr-CH"/>
              </w:rPr>
              <w:t>’</w:t>
            </w:r>
            <w:r w:rsidRPr="007E1C53">
              <w:rPr>
                <w:rFonts w:eastAsia="Malgun Gothic"/>
                <w:szCs w:val="22"/>
                <w:lang w:val="fr-CH"/>
              </w:rPr>
              <w:t>intention des offices de propriété intellectuelle pour l</w:t>
            </w:r>
            <w:r w:rsidR="00940BD3">
              <w:rPr>
                <w:rFonts w:eastAsia="Malgun Gothic"/>
                <w:szCs w:val="22"/>
                <w:lang w:val="fr-CH"/>
              </w:rPr>
              <w:t>’</w:t>
            </w:r>
            <w:r w:rsidRPr="007E1C53">
              <w:rPr>
                <w:rFonts w:eastAsia="Malgun Gothic"/>
                <w:szCs w:val="22"/>
                <w:lang w:val="fr-CH"/>
              </w:rPr>
              <w:t>administration de</w:t>
            </w:r>
            <w:r w:rsidR="00347ACC" w:rsidRPr="007E1C53">
              <w:rPr>
                <w:rFonts w:eastAsia="Malgun Gothic"/>
                <w:szCs w:val="22"/>
                <w:lang w:val="fr-CH"/>
              </w:rPr>
              <w:t xml:space="preserve"> la </w:t>
            </w:r>
            <w:r w:rsidRPr="007E1C53">
              <w:rPr>
                <w:rFonts w:eastAsia="Malgun Gothic"/>
                <w:szCs w:val="22"/>
                <w:lang w:val="fr-CH"/>
              </w:rPr>
              <w:t>propriété intellectuelle et les services en ligne</w:t>
            </w:r>
          </w:p>
        </w:tc>
      </w:tr>
      <w:tr w:rsidR="007E1C53" w:rsidRPr="007E1C53" w:rsidTr="00A62E11">
        <w:trPr>
          <w:cantSplit/>
        </w:trPr>
        <w:tc>
          <w:tcPr>
            <w:tcW w:w="908" w:type="dxa"/>
            <w:vMerge/>
          </w:tcPr>
          <w:p w:rsidR="00DD7399" w:rsidRPr="007E1C53" w:rsidRDefault="00DD7399" w:rsidP="00A62E11">
            <w:pPr>
              <w:rPr>
                <w:rFonts w:eastAsia="Malgun Gothic"/>
                <w:szCs w:val="22"/>
                <w:lang w:val="fr-CH"/>
              </w:rPr>
            </w:pPr>
          </w:p>
        </w:tc>
        <w:tc>
          <w:tcPr>
            <w:tcW w:w="1905" w:type="dxa"/>
          </w:tcPr>
          <w:p w:rsidR="00DD7399" w:rsidRPr="007E1C53" w:rsidRDefault="00037AE5" w:rsidP="00A62E11">
            <w:pPr>
              <w:rPr>
                <w:rFonts w:eastAsia="Malgun Gothic"/>
                <w:szCs w:val="22"/>
                <w:lang w:val="fr-CH"/>
              </w:rPr>
            </w:pPr>
            <w:r w:rsidRPr="007E1C53">
              <w:rPr>
                <w:rFonts w:eastAsia="Malgun Gothic"/>
                <w:szCs w:val="22"/>
                <w:lang w:val="fr-CH"/>
              </w:rPr>
              <w:t xml:space="preserve">Atelier régional </w:t>
            </w:r>
            <w:r w:rsidR="00C50D69" w:rsidRPr="007E1C53">
              <w:rPr>
                <w:rFonts w:eastAsia="Malgun Gothic"/>
                <w:szCs w:val="22"/>
                <w:lang w:val="fr-CH"/>
              </w:rPr>
              <w:t>sur les technologies de l</w:t>
            </w:r>
            <w:r w:rsidR="00940BD3">
              <w:rPr>
                <w:rFonts w:eastAsia="Malgun Gothic"/>
                <w:szCs w:val="22"/>
                <w:lang w:val="fr-CH"/>
              </w:rPr>
              <w:t>’</w:t>
            </w:r>
            <w:r w:rsidR="00C50D69" w:rsidRPr="007E1C53">
              <w:rPr>
                <w:rFonts w:eastAsia="Malgun Gothic"/>
                <w:szCs w:val="22"/>
                <w:lang w:val="fr-CH"/>
              </w:rPr>
              <w:t xml:space="preserve">information </w:t>
            </w:r>
            <w:r w:rsidRPr="007E1C53">
              <w:rPr>
                <w:rFonts w:eastAsia="Malgun Gothic"/>
                <w:szCs w:val="22"/>
                <w:lang w:val="fr-CH"/>
              </w:rPr>
              <w:t>pour les pays arabes</w:t>
            </w:r>
          </w:p>
        </w:tc>
        <w:tc>
          <w:tcPr>
            <w:tcW w:w="2795" w:type="dxa"/>
          </w:tcPr>
          <w:p w:rsidR="00DD7399" w:rsidRPr="007E1C53" w:rsidRDefault="00037AE5" w:rsidP="00A62E11">
            <w:pPr>
              <w:rPr>
                <w:rFonts w:eastAsia="Malgun Gothic"/>
                <w:szCs w:val="22"/>
                <w:lang w:val="fr-CH"/>
              </w:rPr>
            </w:pPr>
            <w:r w:rsidRPr="007E1C53">
              <w:rPr>
                <w:rFonts w:eastAsia="Malgun Gothic"/>
                <w:szCs w:val="22"/>
                <w:lang w:val="fr-CH"/>
              </w:rPr>
              <w:t>Démonstration pour les personnes intéressées des systèmes et outils en ligne utilisés dans le cadre des services électroniques des offices</w:t>
            </w:r>
          </w:p>
        </w:tc>
      </w:tr>
      <w:tr w:rsidR="007E1C53" w:rsidRPr="007E1C53" w:rsidTr="00A62E11">
        <w:trPr>
          <w:cantSplit/>
        </w:trPr>
        <w:tc>
          <w:tcPr>
            <w:tcW w:w="908" w:type="dxa"/>
            <w:vMerge/>
          </w:tcPr>
          <w:p w:rsidR="00DD7399" w:rsidRPr="007E1C53" w:rsidRDefault="00DD7399" w:rsidP="00A62E11">
            <w:pPr>
              <w:rPr>
                <w:rFonts w:eastAsia="Malgun Gothic"/>
                <w:szCs w:val="22"/>
                <w:lang w:val="fr-CH"/>
              </w:rPr>
            </w:pPr>
          </w:p>
        </w:tc>
        <w:tc>
          <w:tcPr>
            <w:tcW w:w="1905" w:type="dxa"/>
          </w:tcPr>
          <w:p w:rsidR="00DD7399" w:rsidRPr="007E1C53" w:rsidRDefault="00037AE5" w:rsidP="00A62E11">
            <w:pPr>
              <w:rPr>
                <w:rFonts w:eastAsia="Malgun Gothic"/>
                <w:szCs w:val="22"/>
                <w:lang w:val="fr-CH"/>
              </w:rPr>
            </w:pPr>
            <w:r w:rsidRPr="007E1C53">
              <w:rPr>
                <w:rFonts w:eastAsia="Malgun Gothic"/>
                <w:szCs w:val="22"/>
                <w:lang w:val="fr-CH"/>
              </w:rPr>
              <w:t>Atelier</w:t>
            </w:r>
            <w:r w:rsidR="00C50D69" w:rsidRPr="007E1C53">
              <w:rPr>
                <w:rFonts w:eastAsia="Malgun Gothic"/>
                <w:szCs w:val="22"/>
                <w:lang w:val="fr-CH"/>
              </w:rPr>
              <w:t xml:space="preserve"> sur</w:t>
            </w:r>
            <w:r w:rsidRPr="007E1C53">
              <w:rPr>
                <w:rFonts w:eastAsia="Malgun Gothic"/>
                <w:szCs w:val="22"/>
                <w:lang w:val="fr-CH"/>
              </w:rPr>
              <w:t xml:space="preserve"> WIPO File à Genève</w:t>
            </w:r>
          </w:p>
        </w:tc>
        <w:tc>
          <w:tcPr>
            <w:tcW w:w="2795" w:type="dxa"/>
          </w:tcPr>
          <w:p w:rsidR="00DD7399" w:rsidRPr="007E1C53" w:rsidRDefault="00C50D69" w:rsidP="00A62E11">
            <w:pPr>
              <w:rPr>
                <w:rFonts w:eastAsia="Malgun Gothic"/>
                <w:szCs w:val="22"/>
                <w:lang w:val="fr-CH"/>
              </w:rPr>
            </w:pPr>
            <w:r w:rsidRPr="007E1C53">
              <w:rPr>
                <w:rFonts w:eastAsia="Malgun Gothic"/>
                <w:szCs w:val="22"/>
                <w:lang w:val="fr-CH"/>
              </w:rPr>
              <w:t>Amélioration des compétences techniques concernant l</w:t>
            </w:r>
            <w:r w:rsidR="00940BD3">
              <w:rPr>
                <w:rFonts w:eastAsia="Malgun Gothic"/>
                <w:szCs w:val="22"/>
                <w:lang w:val="fr-CH"/>
              </w:rPr>
              <w:t>’</w:t>
            </w:r>
            <w:r w:rsidRPr="007E1C53">
              <w:rPr>
                <w:rFonts w:eastAsia="Malgun Gothic"/>
                <w:szCs w:val="22"/>
                <w:lang w:val="fr-CH"/>
              </w:rPr>
              <w:t>adaptation, la mise en place et l</w:t>
            </w:r>
            <w:r w:rsidR="00940BD3">
              <w:rPr>
                <w:rFonts w:eastAsia="Malgun Gothic"/>
                <w:szCs w:val="22"/>
                <w:lang w:val="fr-CH"/>
              </w:rPr>
              <w:t>’</w:t>
            </w:r>
            <w:r w:rsidRPr="007E1C53">
              <w:rPr>
                <w:rFonts w:eastAsia="Malgun Gothic"/>
                <w:szCs w:val="22"/>
                <w:lang w:val="fr-CH"/>
              </w:rPr>
              <w:t xml:space="preserve">administration du système WIPO File </w:t>
            </w:r>
          </w:p>
        </w:tc>
      </w:tr>
      <w:tr w:rsidR="007E1C53" w:rsidRPr="007E1C53" w:rsidTr="00A62E11">
        <w:trPr>
          <w:cantSplit/>
        </w:trPr>
        <w:tc>
          <w:tcPr>
            <w:tcW w:w="908" w:type="dxa"/>
            <w:vMerge w:val="restart"/>
          </w:tcPr>
          <w:p w:rsidR="00DD7399" w:rsidRPr="007E1C53" w:rsidRDefault="00DD7399" w:rsidP="00A62E11">
            <w:pPr>
              <w:rPr>
                <w:rFonts w:eastAsia="Malgun Gothic"/>
                <w:szCs w:val="22"/>
                <w:lang w:val="fr-CH"/>
              </w:rPr>
            </w:pPr>
            <w:r w:rsidRPr="007E1C53">
              <w:rPr>
                <w:rFonts w:eastAsia="Malgun Gothic"/>
                <w:szCs w:val="22"/>
                <w:lang w:val="fr-CH"/>
              </w:rPr>
              <w:t>2018</w:t>
            </w:r>
          </w:p>
        </w:tc>
        <w:tc>
          <w:tcPr>
            <w:tcW w:w="1905" w:type="dxa"/>
          </w:tcPr>
          <w:p w:rsidR="00DD7399" w:rsidRPr="007E1C53" w:rsidRDefault="00C50D69" w:rsidP="00A62E11">
            <w:pPr>
              <w:rPr>
                <w:rFonts w:eastAsia="Malgun Gothic"/>
                <w:szCs w:val="22"/>
                <w:lang w:val="fr-CH"/>
              </w:rPr>
            </w:pPr>
            <w:r w:rsidRPr="007E1C53">
              <w:rPr>
                <w:rFonts w:eastAsia="Malgun Gothic"/>
                <w:szCs w:val="22"/>
                <w:lang w:val="fr-CH"/>
              </w:rPr>
              <w:t>Atelier régional de formation sur les technologies de l</w:t>
            </w:r>
            <w:r w:rsidR="00940BD3">
              <w:rPr>
                <w:rFonts w:eastAsia="Malgun Gothic"/>
                <w:szCs w:val="22"/>
                <w:lang w:val="fr-CH"/>
              </w:rPr>
              <w:t>’</w:t>
            </w:r>
            <w:r w:rsidRPr="007E1C53">
              <w:rPr>
                <w:rFonts w:eastAsia="Malgun Gothic"/>
                <w:szCs w:val="22"/>
                <w:lang w:val="fr-CH"/>
              </w:rPr>
              <w:t>information à l</w:t>
            </w:r>
            <w:r w:rsidR="00940BD3">
              <w:rPr>
                <w:rFonts w:eastAsia="Malgun Gothic"/>
                <w:szCs w:val="22"/>
                <w:lang w:val="fr-CH"/>
              </w:rPr>
              <w:t>’</w:t>
            </w:r>
            <w:r w:rsidR="0047254D" w:rsidRPr="007E1C53">
              <w:rPr>
                <w:rFonts w:eastAsia="Malgun Gothic"/>
                <w:szCs w:val="22"/>
                <w:lang w:val="fr-CH"/>
              </w:rPr>
              <w:t>intention des pays de</w:t>
            </w:r>
            <w:r w:rsidRPr="007E1C53">
              <w:rPr>
                <w:rFonts w:eastAsia="Malgun Gothic"/>
                <w:szCs w:val="22"/>
                <w:lang w:val="fr-CH"/>
              </w:rPr>
              <w:t xml:space="preserve"> l</w:t>
            </w:r>
            <w:r w:rsidR="00940BD3">
              <w:rPr>
                <w:rFonts w:eastAsia="Malgun Gothic"/>
                <w:szCs w:val="22"/>
                <w:lang w:val="fr-CH"/>
              </w:rPr>
              <w:t>’</w:t>
            </w:r>
            <w:r w:rsidRPr="007E1C53">
              <w:rPr>
                <w:rFonts w:eastAsia="Malgun Gothic"/>
                <w:szCs w:val="22"/>
                <w:lang w:val="fr-CH"/>
              </w:rPr>
              <w:t>ASEAN et des pays voisins</w:t>
            </w:r>
          </w:p>
        </w:tc>
        <w:tc>
          <w:tcPr>
            <w:tcW w:w="2795" w:type="dxa"/>
          </w:tcPr>
          <w:p w:rsidR="00DD7399" w:rsidRPr="007E1C53" w:rsidRDefault="00235B24" w:rsidP="00A62E11">
            <w:pPr>
              <w:rPr>
                <w:rFonts w:eastAsia="Malgun Gothic"/>
                <w:szCs w:val="22"/>
                <w:lang w:val="fr-CH"/>
              </w:rPr>
            </w:pPr>
            <w:r w:rsidRPr="007E1C53">
              <w:rPr>
                <w:rFonts w:eastAsia="Malgun Gothic"/>
                <w:szCs w:val="22"/>
                <w:lang w:val="fr-CH"/>
              </w:rPr>
              <w:t>Meilleure</w:t>
            </w:r>
            <w:r w:rsidR="00E0101A" w:rsidRPr="007E1C53">
              <w:rPr>
                <w:rFonts w:eastAsia="Malgun Gothic"/>
                <w:szCs w:val="22"/>
                <w:lang w:val="fr-CH"/>
              </w:rPr>
              <w:t xml:space="preserve"> compréhension des services en ligne grâce à l</w:t>
            </w:r>
            <w:r w:rsidR="00940BD3">
              <w:rPr>
                <w:rFonts w:eastAsia="Malgun Gothic"/>
                <w:szCs w:val="22"/>
                <w:lang w:val="fr-CH"/>
              </w:rPr>
              <w:t>’</w:t>
            </w:r>
            <w:r w:rsidR="00E0101A" w:rsidRPr="007E1C53">
              <w:rPr>
                <w:rFonts w:eastAsia="Malgun Gothic"/>
                <w:szCs w:val="22"/>
                <w:lang w:val="fr-CH"/>
              </w:rPr>
              <w:t>utilisation des solutions opérationnelles de l</w:t>
            </w:r>
            <w:r w:rsidR="00940BD3">
              <w:rPr>
                <w:rFonts w:eastAsia="Malgun Gothic"/>
                <w:szCs w:val="22"/>
                <w:lang w:val="fr-CH"/>
              </w:rPr>
              <w:t>’</w:t>
            </w:r>
            <w:proofErr w:type="spellStart"/>
            <w:r w:rsidR="00E0101A" w:rsidRPr="007E1C53">
              <w:rPr>
                <w:rFonts w:eastAsia="Malgun Gothic"/>
                <w:szCs w:val="22"/>
                <w:lang w:val="fr-CH"/>
              </w:rPr>
              <w:t>OMPI</w:t>
            </w:r>
            <w:proofErr w:type="spellEnd"/>
            <w:r w:rsidR="00E0101A" w:rsidRPr="007E1C53">
              <w:rPr>
                <w:rFonts w:eastAsia="Malgun Gothic"/>
                <w:szCs w:val="22"/>
                <w:lang w:val="fr-CH"/>
              </w:rPr>
              <w:t xml:space="preserve"> à l</w:t>
            </w:r>
            <w:r w:rsidR="00940BD3">
              <w:rPr>
                <w:rFonts w:eastAsia="Malgun Gothic"/>
                <w:szCs w:val="22"/>
                <w:lang w:val="fr-CH"/>
              </w:rPr>
              <w:t>’</w:t>
            </w:r>
            <w:r w:rsidR="00E0101A" w:rsidRPr="007E1C53">
              <w:rPr>
                <w:rFonts w:eastAsia="Malgun Gothic"/>
                <w:szCs w:val="22"/>
                <w:lang w:val="fr-CH"/>
              </w:rPr>
              <w:t xml:space="preserve">intention des offices de propriété intellectuelle </w:t>
            </w:r>
          </w:p>
        </w:tc>
      </w:tr>
      <w:tr w:rsidR="007E1C53" w:rsidRPr="007E1C53" w:rsidTr="00A62E11">
        <w:trPr>
          <w:cantSplit/>
        </w:trPr>
        <w:tc>
          <w:tcPr>
            <w:tcW w:w="908" w:type="dxa"/>
            <w:vMerge/>
          </w:tcPr>
          <w:p w:rsidR="00DD7399" w:rsidRPr="007E1C53" w:rsidRDefault="00DD7399" w:rsidP="00A62E11">
            <w:pPr>
              <w:rPr>
                <w:rFonts w:eastAsia="Malgun Gothic"/>
                <w:szCs w:val="22"/>
                <w:lang w:val="fr-CH"/>
              </w:rPr>
            </w:pPr>
          </w:p>
        </w:tc>
        <w:tc>
          <w:tcPr>
            <w:tcW w:w="1905" w:type="dxa"/>
          </w:tcPr>
          <w:p w:rsidR="00DD7399" w:rsidRPr="007E1C53" w:rsidRDefault="00E0101A" w:rsidP="00A62E11">
            <w:pPr>
              <w:rPr>
                <w:rFonts w:eastAsia="Malgun Gothic"/>
                <w:szCs w:val="22"/>
                <w:lang w:val="fr-CH"/>
              </w:rPr>
            </w:pPr>
            <w:r w:rsidRPr="007E1C53">
              <w:rPr>
                <w:rFonts w:eastAsia="Malgun Gothic"/>
                <w:szCs w:val="22"/>
                <w:lang w:val="fr-CH"/>
              </w:rPr>
              <w:t>Atelier sur les technologies de l</w:t>
            </w:r>
            <w:r w:rsidR="00940BD3">
              <w:rPr>
                <w:rFonts w:eastAsia="Malgun Gothic"/>
                <w:szCs w:val="22"/>
                <w:lang w:val="fr-CH"/>
              </w:rPr>
              <w:t>’</w:t>
            </w:r>
            <w:r w:rsidRPr="007E1C53">
              <w:rPr>
                <w:rFonts w:eastAsia="Malgun Gothic"/>
                <w:szCs w:val="22"/>
                <w:lang w:val="fr-CH"/>
              </w:rPr>
              <w:t>information à l</w:t>
            </w:r>
            <w:r w:rsidR="00940BD3">
              <w:rPr>
                <w:rFonts w:eastAsia="Malgun Gothic"/>
                <w:szCs w:val="22"/>
                <w:lang w:val="fr-CH"/>
              </w:rPr>
              <w:t>’</w:t>
            </w:r>
            <w:r w:rsidR="0047254D" w:rsidRPr="007E1C53">
              <w:rPr>
                <w:rFonts w:eastAsia="Malgun Gothic"/>
                <w:szCs w:val="22"/>
                <w:lang w:val="fr-CH"/>
              </w:rPr>
              <w:t xml:space="preserve">intention des pays de </w:t>
            </w:r>
            <w:r w:rsidRPr="007E1C53">
              <w:rPr>
                <w:rFonts w:eastAsia="Malgun Gothic"/>
                <w:szCs w:val="22"/>
                <w:lang w:val="fr-CH"/>
              </w:rPr>
              <w:t>l</w:t>
            </w:r>
            <w:r w:rsidR="00940BD3">
              <w:rPr>
                <w:rFonts w:eastAsia="Malgun Gothic"/>
                <w:szCs w:val="22"/>
                <w:lang w:val="fr-CH"/>
              </w:rPr>
              <w:t>’</w:t>
            </w:r>
            <w:r w:rsidRPr="007E1C53">
              <w:rPr>
                <w:rFonts w:eastAsia="Malgun Gothic"/>
                <w:szCs w:val="22"/>
                <w:lang w:val="fr-CH"/>
              </w:rPr>
              <w:t>ASEAN en Malaisie</w:t>
            </w:r>
          </w:p>
        </w:tc>
        <w:tc>
          <w:tcPr>
            <w:tcW w:w="2795" w:type="dxa"/>
          </w:tcPr>
          <w:p w:rsidR="00DD7399" w:rsidRPr="007E1C53" w:rsidRDefault="00235B24" w:rsidP="00A62E11">
            <w:pPr>
              <w:rPr>
                <w:rFonts w:eastAsia="Malgun Gothic"/>
                <w:szCs w:val="22"/>
                <w:lang w:val="fr-CH"/>
              </w:rPr>
            </w:pPr>
            <w:r w:rsidRPr="007E1C53">
              <w:rPr>
                <w:rFonts w:eastAsia="Malgun Gothic"/>
                <w:szCs w:val="22"/>
                <w:lang w:val="fr-CH"/>
              </w:rPr>
              <w:t>Présentation des solutions de l</w:t>
            </w:r>
            <w:r w:rsidR="00940BD3">
              <w:rPr>
                <w:rFonts w:eastAsia="Malgun Gothic"/>
                <w:szCs w:val="22"/>
                <w:lang w:val="fr-CH"/>
              </w:rPr>
              <w:t>’</w:t>
            </w:r>
            <w:proofErr w:type="spellStart"/>
            <w:r w:rsidRPr="007E1C53">
              <w:rPr>
                <w:rFonts w:eastAsia="Malgun Gothic"/>
                <w:szCs w:val="22"/>
                <w:lang w:val="fr-CH"/>
              </w:rPr>
              <w:t>OMPI</w:t>
            </w:r>
            <w:proofErr w:type="spellEnd"/>
            <w:r w:rsidRPr="007E1C53">
              <w:rPr>
                <w:rFonts w:eastAsia="Malgun Gothic"/>
                <w:szCs w:val="22"/>
                <w:lang w:val="fr-CH"/>
              </w:rPr>
              <w:t xml:space="preserve"> pour aider </w:t>
            </w:r>
            <w:r w:rsidR="0047254D" w:rsidRPr="007E1C53">
              <w:rPr>
                <w:rFonts w:eastAsia="Malgun Gothic"/>
                <w:szCs w:val="22"/>
                <w:lang w:val="fr-CH"/>
              </w:rPr>
              <w:t xml:space="preserve">les pays de </w:t>
            </w:r>
            <w:r w:rsidRPr="007E1C53">
              <w:rPr>
                <w:rFonts w:eastAsia="Malgun Gothic"/>
                <w:szCs w:val="22"/>
                <w:lang w:val="fr-CH"/>
              </w:rPr>
              <w:t>l</w:t>
            </w:r>
            <w:r w:rsidR="00940BD3">
              <w:rPr>
                <w:rFonts w:eastAsia="Malgun Gothic"/>
                <w:szCs w:val="22"/>
                <w:lang w:val="fr-CH"/>
              </w:rPr>
              <w:t>’</w:t>
            </w:r>
            <w:r w:rsidRPr="007E1C53">
              <w:rPr>
                <w:rFonts w:eastAsia="Malgun Gothic"/>
                <w:szCs w:val="22"/>
                <w:lang w:val="fr-CH"/>
              </w:rPr>
              <w:t xml:space="preserve">ASEAN à évoluer vers des services en ligne et renforcer </w:t>
            </w:r>
            <w:r w:rsidR="00347ACC" w:rsidRPr="007E1C53">
              <w:rPr>
                <w:rFonts w:eastAsia="Malgun Gothic"/>
                <w:szCs w:val="22"/>
                <w:lang w:val="fr-CH"/>
              </w:rPr>
              <w:t xml:space="preserve">leurs </w:t>
            </w:r>
            <w:r w:rsidRPr="007E1C53">
              <w:rPr>
                <w:rFonts w:eastAsia="Malgun Gothic"/>
                <w:szCs w:val="22"/>
                <w:lang w:val="fr-CH"/>
              </w:rPr>
              <w:t>capacités pour l</w:t>
            </w:r>
            <w:r w:rsidR="00940BD3">
              <w:rPr>
                <w:rFonts w:eastAsia="Malgun Gothic"/>
                <w:szCs w:val="22"/>
                <w:lang w:val="fr-CH"/>
              </w:rPr>
              <w:t>’</w:t>
            </w:r>
            <w:r w:rsidRPr="007E1C53">
              <w:rPr>
                <w:rFonts w:eastAsia="Malgun Gothic"/>
                <w:szCs w:val="22"/>
                <w:lang w:val="fr-CH"/>
              </w:rPr>
              <w:t>utilisation d</w:t>
            </w:r>
            <w:r w:rsidR="00940BD3">
              <w:rPr>
                <w:rFonts w:eastAsia="Malgun Gothic"/>
                <w:szCs w:val="22"/>
                <w:lang w:val="fr-CH"/>
              </w:rPr>
              <w:t>’</w:t>
            </w:r>
            <w:proofErr w:type="spellStart"/>
            <w:r w:rsidRPr="007E1C53">
              <w:rPr>
                <w:rFonts w:eastAsia="Malgun Gothic"/>
                <w:szCs w:val="22"/>
                <w:lang w:val="fr-CH"/>
              </w:rPr>
              <w:t>IPAS</w:t>
            </w:r>
            <w:proofErr w:type="spellEnd"/>
            <w:r w:rsidRPr="007E1C53">
              <w:rPr>
                <w:rFonts w:eastAsia="Malgun Gothic"/>
                <w:szCs w:val="22"/>
                <w:lang w:val="fr-CH"/>
              </w:rPr>
              <w:t xml:space="preserve">, de WIPO File et de WIPO </w:t>
            </w:r>
            <w:proofErr w:type="spellStart"/>
            <w:r w:rsidRPr="007E1C53">
              <w:rPr>
                <w:rFonts w:eastAsia="Malgun Gothic"/>
                <w:szCs w:val="22"/>
                <w:lang w:val="fr-CH"/>
              </w:rPr>
              <w:t>Publish</w:t>
            </w:r>
            <w:proofErr w:type="spellEnd"/>
          </w:p>
        </w:tc>
      </w:tr>
      <w:tr w:rsidR="007E1C53" w:rsidRPr="007E1C53" w:rsidTr="00A62E11">
        <w:trPr>
          <w:cantSplit/>
        </w:trPr>
        <w:tc>
          <w:tcPr>
            <w:tcW w:w="908" w:type="dxa"/>
            <w:vMerge/>
          </w:tcPr>
          <w:p w:rsidR="00DD7399" w:rsidRPr="007E1C53" w:rsidRDefault="00DD7399" w:rsidP="00A62E11">
            <w:pPr>
              <w:rPr>
                <w:rFonts w:eastAsia="Malgun Gothic"/>
                <w:szCs w:val="22"/>
                <w:lang w:val="fr-CH"/>
              </w:rPr>
            </w:pPr>
          </w:p>
        </w:tc>
        <w:tc>
          <w:tcPr>
            <w:tcW w:w="1905" w:type="dxa"/>
          </w:tcPr>
          <w:p w:rsidR="00DD7399" w:rsidRPr="007E1C53" w:rsidRDefault="00235B24" w:rsidP="00A62E11">
            <w:pPr>
              <w:rPr>
                <w:rFonts w:eastAsia="Malgun Gothic"/>
                <w:szCs w:val="22"/>
                <w:lang w:val="fr-CH"/>
              </w:rPr>
            </w:pPr>
            <w:r w:rsidRPr="007E1C53">
              <w:rPr>
                <w:rFonts w:eastAsia="Malgun Gothic"/>
                <w:szCs w:val="22"/>
                <w:lang w:val="fr-CH"/>
              </w:rPr>
              <w:t xml:space="preserve">Atelier de formation sur </w:t>
            </w:r>
            <w:proofErr w:type="spellStart"/>
            <w:r w:rsidRPr="007E1C53">
              <w:rPr>
                <w:rFonts w:eastAsia="Malgun Gothic"/>
                <w:szCs w:val="22"/>
                <w:lang w:val="fr-CH"/>
              </w:rPr>
              <w:t>IPAS</w:t>
            </w:r>
            <w:proofErr w:type="spellEnd"/>
            <w:r w:rsidRPr="007E1C53">
              <w:rPr>
                <w:rFonts w:eastAsia="Malgun Gothic"/>
                <w:szCs w:val="22"/>
                <w:lang w:val="fr-CH"/>
              </w:rPr>
              <w:t xml:space="preserve"> à l</w:t>
            </w:r>
            <w:r w:rsidR="00940BD3">
              <w:rPr>
                <w:rFonts w:eastAsia="Malgun Gothic"/>
                <w:szCs w:val="22"/>
                <w:lang w:val="fr-CH"/>
              </w:rPr>
              <w:t>’</w:t>
            </w:r>
            <w:r w:rsidRPr="007E1C53">
              <w:rPr>
                <w:rFonts w:eastAsia="Malgun Gothic"/>
                <w:szCs w:val="22"/>
                <w:lang w:val="fr-CH"/>
              </w:rPr>
              <w:t>intention de l</w:t>
            </w:r>
            <w:r w:rsidR="00940BD3">
              <w:rPr>
                <w:rFonts w:eastAsia="Malgun Gothic"/>
                <w:szCs w:val="22"/>
                <w:lang w:val="fr-CH"/>
              </w:rPr>
              <w:t>’</w:t>
            </w:r>
            <w:proofErr w:type="spellStart"/>
            <w:r w:rsidRPr="007E1C53">
              <w:rPr>
                <w:rFonts w:eastAsia="Malgun Gothic"/>
                <w:szCs w:val="22"/>
                <w:lang w:val="fr-CH"/>
              </w:rPr>
              <w:t>ASPAC</w:t>
            </w:r>
            <w:proofErr w:type="spellEnd"/>
          </w:p>
        </w:tc>
        <w:tc>
          <w:tcPr>
            <w:tcW w:w="2795" w:type="dxa"/>
          </w:tcPr>
          <w:p w:rsidR="00DD7399" w:rsidRPr="007E1C53" w:rsidRDefault="00235B24" w:rsidP="00A62E11">
            <w:pPr>
              <w:rPr>
                <w:rFonts w:eastAsia="Malgun Gothic"/>
                <w:szCs w:val="22"/>
                <w:lang w:val="fr-CH"/>
              </w:rPr>
            </w:pPr>
            <w:r w:rsidRPr="007E1C53">
              <w:rPr>
                <w:rFonts w:eastAsia="Malgun Gothic"/>
                <w:szCs w:val="22"/>
                <w:lang w:val="fr-CH"/>
              </w:rPr>
              <w:t>Amélioration des compétences techniques en matière de technologies de l</w:t>
            </w:r>
            <w:r w:rsidR="00940BD3">
              <w:rPr>
                <w:rFonts w:eastAsia="Malgun Gothic"/>
                <w:szCs w:val="22"/>
                <w:lang w:val="fr-CH"/>
              </w:rPr>
              <w:t>’</w:t>
            </w:r>
            <w:r w:rsidRPr="007E1C53">
              <w:rPr>
                <w:rFonts w:eastAsia="Malgun Gothic"/>
                <w:szCs w:val="22"/>
                <w:lang w:val="fr-CH"/>
              </w:rPr>
              <w:t>information concernant l</w:t>
            </w:r>
            <w:r w:rsidR="00940BD3">
              <w:rPr>
                <w:rFonts w:eastAsia="Malgun Gothic"/>
                <w:szCs w:val="22"/>
                <w:lang w:val="fr-CH"/>
              </w:rPr>
              <w:t>’</w:t>
            </w:r>
            <w:r w:rsidRPr="007E1C53">
              <w:rPr>
                <w:rFonts w:eastAsia="Malgun Gothic"/>
                <w:szCs w:val="22"/>
                <w:lang w:val="fr-CH"/>
              </w:rPr>
              <w:t>adaptation, la mise en place et l</w:t>
            </w:r>
            <w:r w:rsidR="00940BD3">
              <w:rPr>
                <w:rFonts w:eastAsia="Malgun Gothic"/>
                <w:szCs w:val="22"/>
                <w:lang w:val="fr-CH"/>
              </w:rPr>
              <w:t>’</w:t>
            </w:r>
            <w:r w:rsidRPr="007E1C53">
              <w:rPr>
                <w:rFonts w:eastAsia="Malgun Gothic"/>
                <w:szCs w:val="22"/>
                <w:lang w:val="fr-CH"/>
              </w:rPr>
              <w:t xml:space="preserve">administration de WIPO </w:t>
            </w:r>
            <w:proofErr w:type="spellStart"/>
            <w:r w:rsidRPr="007E1C53">
              <w:rPr>
                <w:rFonts w:eastAsia="Malgun Gothic"/>
                <w:szCs w:val="22"/>
                <w:lang w:val="fr-CH"/>
              </w:rPr>
              <w:t>IPAS</w:t>
            </w:r>
            <w:proofErr w:type="spellEnd"/>
            <w:r w:rsidRPr="007E1C53">
              <w:rPr>
                <w:rFonts w:eastAsia="Malgun Gothic"/>
                <w:szCs w:val="22"/>
                <w:lang w:val="fr-CH"/>
              </w:rPr>
              <w:t xml:space="preserve"> et de ses modules connexes d</w:t>
            </w:r>
            <w:r w:rsidR="00940BD3">
              <w:rPr>
                <w:rFonts w:eastAsia="Malgun Gothic"/>
                <w:szCs w:val="22"/>
                <w:lang w:val="fr-CH"/>
              </w:rPr>
              <w:t>’</w:t>
            </w:r>
            <w:r w:rsidRPr="007E1C53">
              <w:rPr>
                <w:rFonts w:eastAsia="Malgun Gothic"/>
                <w:szCs w:val="22"/>
                <w:lang w:val="fr-CH"/>
              </w:rPr>
              <w:t>automatisation</w:t>
            </w:r>
          </w:p>
        </w:tc>
      </w:tr>
      <w:tr w:rsidR="007E1C53" w:rsidRPr="007E1C53" w:rsidTr="00A62E11">
        <w:trPr>
          <w:cantSplit/>
        </w:trPr>
        <w:tc>
          <w:tcPr>
            <w:tcW w:w="908" w:type="dxa"/>
            <w:vMerge/>
          </w:tcPr>
          <w:p w:rsidR="00DD7399" w:rsidRPr="007E1C53" w:rsidRDefault="00DD7399" w:rsidP="00A62E11">
            <w:pPr>
              <w:rPr>
                <w:rFonts w:eastAsia="Malgun Gothic"/>
                <w:szCs w:val="22"/>
                <w:lang w:val="fr-CH"/>
              </w:rPr>
            </w:pPr>
          </w:p>
        </w:tc>
        <w:tc>
          <w:tcPr>
            <w:tcW w:w="1905" w:type="dxa"/>
          </w:tcPr>
          <w:p w:rsidR="00DD7399" w:rsidRPr="007E1C53" w:rsidRDefault="005B2BD2" w:rsidP="00A62E11">
            <w:pPr>
              <w:rPr>
                <w:rFonts w:eastAsia="Malgun Gothic"/>
                <w:szCs w:val="22"/>
                <w:lang w:val="fr-CH"/>
              </w:rPr>
            </w:pPr>
            <w:r w:rsidRPr="007E1C53">
              <w:rPr>
                <w:rFonts w:eastAsia="Malgun Gothic"/>
                <w:szCs w:val="22"/>
                <w:lang w:val="fr-CH"/>
              </w:rPr>
              <w:t xml:space="preserve">Formation régionale limitée sur </w:t>
            </w:r>
            <w:proofErr w:type="spellStart"/>
            <w:r w:rsidRPr="007E1C53">
              <w:rPr>
                <w:rFonts w:eastAsia="Malgun Gothic"/>
                <w:szCs w:val="22"/>
                <w:lang w:val="fr-CH"/>
              </w:rPr>
              <w:t>IPAS</w:t>
            </w:r>
            <w:proofErr w:type="spellEnd"/>
            <w:r w:rsidRPr="007E1C53">
              <w:rPr>
                <w:rFonts w:eastAsia="Malgun Gothic"/>
                <w:szCs w:val="22"/>
                <w:lang w:val="fr-CH"/>
              </w:rPr>
              <w:t xml:space="preserve"> en Jordanie</w:t>
            </w:r>
          </w:p>
        </w:tc>
        <w:tc>
          <w:tcPr>
            <w:tcW w:w="2795" w:type="dxa"/>
          </w:tcPr>
          <w:p w:rsidR="00DD7399" w:rsidRPr="007E1C53" w:rsidRDefault="005B2BD2" w:rsidP="00A62E11">
            <w:pPr>
              <w:rPr>
                <w:rFonts w:eastAsia="Malgun Gothic"/>
                <w:szCs w:val="22"/>
                <w:lang w:val="fr-CH"/>
              </w:rPr>
            </w:pPr>
            <w:r w:rsidRPr="007E1C53">
              <w:rPr>
                <w:rFonts w:eastAsia="Malgun Gothic"/>
                <w:szCs w:val="22"/>
                <w:lang w:val="fr-CH"/>
              </w:rPr>
              <w:t xml:space="preserve">Meilleure compréhension </w:t>
            </w:r>
            <w:r w:rsidR="0047254D" w:rsidRPr="007E1C53">
              <w:rPr>
                <w:rFonts w:eastAsia="Malgun Gothic"/>
                <w:szCs w:val="22"/>
                <w:lang w:val="fr-CH"/>
              </w:rPr>
              <w:t>de</w:t>
            </w:r>
            <w:r w:rsidRPr="007E1C53">
              <w:rPr>
                <w:rFonts w:eastAsia="Malgun Gothic"/>
                <w:szCs w:val="22"/>
                <w:lang w:val="fr-CH"/>
              </w:rPr>
              <w:t xml:space="preserve"> la mise en place, </w:t>
            </w:r>
            <w:r w:rsidR="0047254D" w:rsidRPr="007E1C53">
              <w:rPr>
                <w:rFonts w:eastAsia="Malgun Gothic"/>
                <w:szCs w:val="22"/>
                <w:lang w:val="fr-CH"/>
              </w:rPr>
              <w:t xml:space="preserve">de </w:t>
            </w:r>
            <w:r w:rsidRPr="007E1C53">
              <w:rPr>
                <w:rFonts w:eastAsia="Malgun Gothic"/>
                <w:szCs w:val="22"/>
                <w:lang w:val="fr-CH"/>
              </w:rPr>
              <w:t>l</w:t>
            </w:r>
            <w:r w:rsidR="00940BD3">
              <w:rPr>
                <w:rFonts w:eastAsia="Malgun Gothic"/>
                <w:szCs w:val="22"/>
                <w:lang w:val="fr-CH"/>
              </w:rPr>
              <w:t>’</w:t>
            </w:r>
            <w:r w:rsidR="0047254D" w:rsidRPr="007E1C53">
              <w:rPr>
                <w:rFonts w:eastAsia="Malgun Gothic"/>
                <w:szCs w:val="22"/>
                <w:lang w:val="fr-CH"/>
              </w:rPr>
              <w:t>adaptation</w:t>
            </w:r>
            <w:r w:rsidRPr="007E1C53">
              <w:rPr>
                <w:rFonts w:eastAsia="Malgun Gothic"/>
                <w:szCs w:val="22"/>
                <w:lang w:val="fr-CH"/>
              </w:rPr>
              <w:t xml:space="preserve"> et</w:t>
            </w:r>
            <w:r w:rsidR="0047254D" w:rsidRPr="007E1C53">
              <w:rPr>
                <w:rFonts w:eastAsia="Malgun Gothic"/>
                <w:szCs w:val="22"/>
                <w:lang w:val="fr-CH"/>
              </w:rPr>
              <w:t xml:space="preserve"> de</w:t>
            </w:r>
            <w:r w:rsidRPr="007E1C53">
              <w:rPr>
                <w:rFonts w:eastAsia="Malgun Gothic"/>
                <w:szCs w:val="22"/>
                <w:lang w:val="fr-CH"/>
              </w:rPr>
              <w:t xml:space="preserve"> l</w:t>
            </w:r>
            <w:r w:rsidR="00940BD3">
              <w:rPr>
                <w:rFonts w:eastAsia="Malgun Gothic"/>
                <w:szCs w:val="22"/>
                <w:lang w:val="fr-CH"/>
              </w:rPr>
              <w:t>’</w:t>
            </w:r>
            <w:r w:rsidRPr="007E1C53">
              <w:rPr>
                <w:rFonts w:eastAsia="Malgun Gothic"/>
                <w:szCs w:val="22"/>
                <w:lang w:val="fr-CH"/>
              </w:rPr>
              <w:t xml:space="preserve">administration de WIPO </w:t>
            </w:r>
            <w:proofErr w:type="spellStart"/>
            <w:r w:rsidRPr="007E1C53">
              <w:rPr>
                <w:rFonts w:eastAsia="Malgun Gothic"/>
                <w:szCs w:val="22"/>
                <w:lang w:val="fr-CH"/>
              </w:rPr>
              <w:t>IPAS</w:t>
            </w:r>
            <w:proofErr w:type="spellEnd"/>
            <w:r w:rsidRPr="007E1C53">
              <w:rPr>
                <w:rFonts w:eastAsia="Malgun Gothic"/>
                <w:szCs w:val="22"/>
                <w:lang w:val="fr-CH"/>
              </w:rPr>
              <w:t xml:space="preserve"> et de ses modules d</w:t>
            </w:r>
            <w:r w:rsidR="00940BD3">
              <w:rPr>
                <w:rFonts w:eastAsia="Malgun Gothic"/>
                <w:szCs w:val="22"/>
                <w:lang w:val="fr-CH"/>
              </w:rPr>
              <w:t>’</w:t>
            </w:r>
            <w:r w:rsidRPr="007E1C53">
              <w:rPr>
                <w:rFonts w:eastAsia="Malgun Gothic"/>
                <w:szCs w:val="22"/>
                <w:lang w:val="fr-CH"/>
              </w:rPr>
              <w:t>appui</w:t>
            </w:r>
          </w:p>
        </w:tc>
      </w:tr>
      <w:tr w:rsidR="007E1C53" w:rsidRPr="007E1C53" w:rsidTr="00A62E11">
        <w:trPr>
          <w:cantSplit/>
        </w:trPr>
        <w:tc>
          <w:tcPr>
            <w:tcW w:w="908" w:type="dxa"/>
            <w:vMerge/>
          </w:tcPr>
          <w:p w:rsidR="00DD7399" w:rsidRPr="007E1C53" w:rsidRDefault="00DD7399" w:rsidP="00A62E11">
            <w:pPr>
              <w:rPr>
                <w:rFonts w:eastAsia="Malgun Gothic"/>
                <w:szCs w:val="22"/>
                <w:lang w:val="fr-CH"/>
              </w:rPr>
            </w:pPr>
          </w:p>
        </w:tc>
        <w:tc>
          <w:tcPr>
            <w:tcW w:w="1905" w:type="dxa"/>
          </w:tcPr>
          <w:p w:rsidR="00DD7399" w:rsidRPr="007E1C53" w:rsidRDefault="005B2BD2" w:rsidP="00A62E11">
            <w:pPr>
              <w:rPr>
                <w:rFonts w:eastAsia="Malgun Gothic"/>
                <w:szCs w:val="22"/>
                <w:lang w:val="fr-CH"/>
              </w:rPr>
            </w:pPr>
            <w:r w:rsidRPr="007E1C53">
              <w:rPr>
                <w:rFonts w:eastAsia="Malgun Gothic"/>
                <w:szCs w:val="22"/>
                <w:lang w:val="fr-CH"/>
              </w:rPr>
              <w:t xml:space="preserve">Atelier sur </w:t>
            </w:r>
            <w:proofErr w:type="spellStart"/>
            <w:r w:rsidRPr="007E1C53">
              <w:rPr>
                <w:rFonts w:eastAsia="Malgun Gothic"/>
                <w:szCs w:val="22"/>
                <w:lang w:val="fr-CH"/>
              </w:rPr>
              <w:t>IPAS</w:t>
            </w:r>
            <w:proofErr w:type="spellEnd"/>
            <w:r w:rsidRPr="007E1C53">
              <w:rPr>
                <w:rFonts w:eastAsia="Malgun Gothic"/>
                <w:szCs w:val="22"/>
                <w:lang w:val="fr-CH"/>
              </w:rPr>
              <w:t xml:space="preserve"> pour les Caraïbes</w:t>
            </w:r>
          </w:p>
        </w:tc>
        <w:tc>
          <w:tcPr>
            <w:tcW w:w="2795" w:type="dxa"/>
          </w:tcPr>
          <w:p w:rsidR="00DD7399" w:rsidRPr="007E1C53" w:rsidRDefault="005B2BD2" w:rsidP="00A62E11">
            <w:pPr>
              <w:rPr>
                <w:rFonts w:eastAsia="Malgun Gothic"/>
                <w:szCs w:val="22"/>
                <w:lang w:val="fr-CH"/>
              </w:rPr>
            </w:pPr>
            <w:r w:rsidRPr="007E1C53">
              <w:rPr>
                <w:rFonts w:eastAsia="Malgun Gothic"/>
                <w:szCs w:val="22"/>
                <w:lang w:val="fr-CH"/>
              </w:rPr>
              <w:t>Formation aux technologies de l</w:t>
            </w:r>
            <w:r w:rsidR="00940BD3">
              <w:rPr>
                <w:rFonts w:eastAsia="Malgun Gothic"/>
                <w:szCs w:val="22"/>
                <w:lang w:val="fr-CH"/>
              </w:rPr>
              <w:t>’</w:t>
            </w:r>
            <w:r w:rsidRPr="007E1C53">
              <w:rPr>
                <w:rFonts w:eastAsia="Malgun Gothic"/>
                <w:szCs w:val="22"/>
                <w:lang w:val="fr-CH"/>
              </w:rPr>
              <w:t>information axée sur la mise en place, l</w:t>
            </w:r>
            <w:r w:rsidR="00940BD3">
              <w:rPr>
                <w:rFonts w:eastAsia="Malgun Gothic"/>
                <w:szCs w:val="22"/>
                <w:lang w:val="fr-CH"/>
              </w:rPr>
              <w:t>’</w:t>
            </w:r>
            <w:r w:rsidRPr="007E1C53">
              <w:rPr>
                <w:rFonts w:eastAsia="Malgun Gothic"/>
                <w:szCs w:val="22"/>
                <w:lang w:val="fr-CH"/>
              </w:rPr>
              <w:t>adaptation, et l</w:t>
            </w:r>
            <w:r w:rsidR="00940BD3">
              <w:rPr>
                <w:rFonts w:eastAsia="Malgun Gothic"/>
                <w:szCs w:val="22"/>
                <w:lang w:val="fr-CH"/>
              </w:rPr>
              <w:t>’</w:t>
            </w:r>
            <w:r w:rsidRPr="007E1C53">
              <w:rPr>
                <w:rFonts w:eastAsia="Malgun Gothic"/>
                <w:szCs w:val="22"/>
                <w:lang w:val="fr-CH"/>
              </w:rPr>
              <w:t xml:space="preserve">administration de WIPO </w:t>
            </w:r>
            <w:proofErr w:type="spellStart"/>
            <w:r w:rsidRPr="007E1C53">
              <w:rPr>
                <w:rFonts w:eastAsia="Malgun Gothic"/>
                <w:szCs w:val="22"/>
                <w:lang w:val="fr-CH"/>
              </w:rPr>
              <w:t>IPAS</w:t>
            </w:r>
            <w:proofErr w:type="spellEnd"/>
            <w:r w:rsidRPr="007E1C53">
              <w:rPr>
                <w:rFonts w:eastAsia="Malgun Gothic"/>
                <w:szCs w:val="22"/>
                <w:lang w:val="fr-CH"/>
              </w:rPr>
              <w:t>, de ses modules d</w:t>
            </w:r>
            <w:r w:rsidR="00940BD3">
              <w:rPr>
                <w:rFonts w:eastAsia="Malgun Gothic"/>
                <w:szCs w:val="22"/>
                <w:lang w:val="fr-CH"/>
              </w:rPr>
              <w:t>’</w:t>
            </w:r>
            <w:r w:rsidRPr="007E1C53">
              <w:rPr>
                <w:rFonts w:eastAsia="Malgun Gothic"/>
                <w:szCs w:val="22"/>
                <w:lang w:val="fr-CH"/>
              </w:rPr>
              <w:t xml:space="preserve">appui et de WIPO </w:t>
            </w:r>
            <w:proofErr w:type="spellStart"/>
            <w:r w:rsidRPr="007E1C53">
              <w:rPr>
                <w:rFonts w:eastAsia="Malgun Gothic"/>
                <w:szCs w:val="22"/>
                <w:lang w:val="fr-CH"/>
              </w:rPr>
              <w:t>Publish</w:t>
            </w:r>
            <w:proofErr w:type="spellEnd"/>
          </w:p>
        </w:tc>
      </w:tr>
      <w:tr w:rsidR="007E1C53" w:rsidRPr="007E1C53" w:rsidTr="00A62E11">
        <w:trPr>
          <w:cantSplit/>
        </w:trPr>
        <w:tc>
          <w:tcPr>
            <w:tcW w:w="908" w:type="dxa"/>
            <w:vMerge/>
          </w:tcPr>
          <w:p w:rsidR="00DD7399" w:rsidRPr="007E1C53" w:rsidRDefault="00DD7399" w:rsidP="00A62E11">
            <w:pPr>
              <w:rPr>
                <w:rFonts w:eastAsia="Malgun Gothic"/>
                <w:szCs w:val="22"/>
                <w:lang w:val="fr-CH"/>
              </w:rPr>
            </w:pPr>
          </w:p>
        </w:tc>
        <w:tc>
          <w:tcPr>
            <w:tcW w:w="1905" w:type="dxa"/>
          </w:tcPr>
          <w:p w:rsidR="00DD7399" w:rsidRPr="007E1C53" w:rsidRDefault="005B2BD2" w:rsidP="00A62E11">
            <w:pPr>
              <w:rPr>
                <w:rFonts w:eastAsia="Malgun Gothic"/>
                <w:szCs w:val="22"/>
                <w:lang w:val="fr-CH"/>
              </w:rPr>
            </w:pPr>
            <w:r w:rsidRPr="007E1C53">
              <w:rPr>
                <w:rFonts w:eastAsia="Malgun Gothic"/>
                <w:szCs w:val="22"/>
                <w:lang w:val="fr-CH"/>
              </w:rPr>
              <w:t xml:space="preserve">Atelier régional </w:t>
            </w:r>
            <w:r w:rsidR="00347ACC" w:rsidRPr="007E1C53">
              <w:rPr>
                <w:rFonts w:eastAsia="Malgun Gothic"/>
                <w:szCs w:val="22"/>
                <w:lang w:val="fr-CH"/>
              </w:rPr>
              <w:t>de l</w:t>
            </w:r>
            <w:r w:rsidR="00940BD3">
              <w:rPr>
                <w:rFonts w:eastAsia="Malgun Gothic"/>
                <w:szCs w:val="22"/>
                <w:lang w:val="fr-CH"/>
              </w:rPr>
              <w:t>’</w:t>
            </w:r>
            <w:proofErr w:type="spellStart"/>
            <w:r w:rsidRPr="007E1C53">
              <w:rPr>
                <w:rFonts w:eastAsia="Malgun Gothic"/>
                <w:szCs w:val="22"/>
                <w:lang w:val="fr-CH"/>
              </w:rPr>
              <w:t>OMPI</w:t>
            </w:r>
            <w:proofErr w:type="spellEnd"/>
            <w:r w:rsidRPr="007E1C53">
              <w:rPr>
                <w:rFonts w:eastAsia="Malgun Gothic"/>
                <w:szCs w:val="22"/>
                <w:lang w:val="fr-CH"/>
              </w:rPr>
              <w:t xml:space="preserve"> au Zimbabwe</w:t>
            </w:r>
          </w:p>
        </w:tc>
        <w:tc>
          <w:tcPr>
            <w:tcW w:w="2795" w:type="dxa"/>
          </w:tcPr>
          <w:p w:rsidR="00DD7399" w:rsidRPr="007E1C53" w:rsidRDefault="005B2BD2" w:rsidP="00A62E11">
            <w:pPr>
              <w:rPr>
                <w:rFonts w:eastAsia="Malgun Gothic"/>
                <w:szCs w:val="22"/>
                <w:lang w:val="fr-CH"/>
              </w:rPr>
            </w:pPr>
            <w:r w:rsidRPr="007E1C53">
              <w:rPr>
                <w:rFonts w:eastAsia="Malgun Gothic"/>
                <w:szCs w:val="22"/>
                <w:lang w:val="fr-CH"/>
              </w:rPr>
              <w:t xml:space="preserve">Renforcement de la capacité des examinateurs de brevets à </w:t>
            </w:r>
            <w:r w:rsidR="002A74A6" w:rsidRPr="007E1C53">
              <w:rPr>
                <w:rFonts w:eastAsia="Malgun Gothic"/>
                <w:szCs w:val="22"/>
                <w:lang w:val="fr-CH"/>
              </w:rPr>
              <w:t xml:space="preserve">utiliser </w:t>
            </w:r>
            <w:proofErr w:type="spellStart"/>
            <w:r w:rsidRPr="007E1C53">
              <w:rPr>
                <w:rFonts w:eastAsia="Malgun Gothic"/>
                <w:szCs w:val="22"/>
                <w:lang w:val="fr-CH"/>
              </w:rPr>
              <w:t>IPAS</w:t>
            </w:r>
            <w:proofErr w:type="spellEnd"/>
            <w:r w:rsidRPr="007E1C53">
              <w:rPr>
                <w:rFonts w:eastAsia="Malgun Gothic"/>
                <w:szCs w:val="22"/>
                <w:lang w:val="fr-CH"/>
              </w:rPr>
              <w:t xml:space="preserve"> pour la recherche et l</w:t>
            </w:r>
            <w:r w:rsidR="00940BD3">
              <w:rPr>
                <w:rFonts w:eastAsia="Malgun Gothic"/>
                <w:szCs w:val="22"/>
                <w:lang w:val="fr-CH"/>
              </w:rPr>
              <w:t>’</w:t>
            </w:r>
            <w:r w:rsidRPr="007E1C53">
              <w:rPr>
                <w:rFonts w:eastAsia="Malgun Gothic"/>
                <w:szCs w:val="22"/>
                <w:lang w:val="fr-CH"/>
              </w:rPr>
              <w:t>examen</w:t>
            </w:r>
          </w:p>
        </w:tc>
      </w:tr>
      <w:tr w:rsidR="007E1C53" w:rsidRPr="007E1C53" w:rsidTr="00A62E11">
        <w:trPr>
          <w:cantSplit/>
        </w:trPr>
        <w:tc>
          <w:tcPr>
            <w:tcW w:w="908" w:type="dxa"/>
            <w:vMerge/>
          </w:tcPr>
          <w:p w:rsidR="00DD7399" w:rsidRPr="007E1C53" w:rsidRDefault="00DD7399" w:rsidP="00A62E11">
            <w:pPr>
              <w:rPr>
                <w:rFonts w:eastAsia="Malgun Gothic"/>
                <w:szCs w:val="22"/>
                <w:lang w:val="fr-CH"/>
              </w:rPr>
            </w:pPr>
          </w:p>
        </w:tc>
        <w:tc>
          <w:tcPr>
            <w:tcW w:w="1905" w:type="dxa"/>
          </w:tcPr>
          <w:p w:rsidR="00DD7399" w:rsidRPr="007E1C53" w:rsidRDefault="005B2BD2" w:rsidP="00A62E11">
            <w:pPr>
              <w:rPr>
                <w:rFonts w:eastAsia="Malgun Gothic"/>
                <w:szCs w:val="22"/>
                <w:lang w:val="fr-CH"/>
              </w:rPr>
            </w:pPr>
            <w:r w:rsidRPr="007E1C53">
              <w:rPr>
                <w:rFonts w:eastAsia="Malgun Gothic"/>
                <w:szCs w:val="22"/>
                <w:lang w:val="fr-CH"/>
              </w:rPr>
              <w:t>Atelier régional sur les technologies de l</w:t>
            </w:r>
            <w:r w:rsidR="00940BD3">
              <w:rPr>
                <w:rFonts w:eastAsia="Malgun Gothic"/>
                <w:szCs w:val="22"/>
                <w:lang w:val="fr-CH"/>
              </w:rPr>
              <w:t>’</w:t>
            </w:r>
            <w:r w:rsidRPr="007E1C53">
              <w:rPr>
                <w:rFonts w:eastAsia="Malgun Gothic"/>
                <w:szCs w:val="22"/>
                <w:lang w:val="fr-CH"/>
              </w:rPr>
              <w:t>information pour les pays arabes</w:t>
            </w:r>
          </w:p>
        </w:tc>
        <w:tc>
          <w:tcPr>
            <w:tcW w:w="2795" w:type="dxa"/>
          </w:tcPr>
          <w:p w:rsidR="00DD7399" w:rsidRPr="007E1C53" w:rsidRDefault="005B2BD2" w:rsidP="00A62E11">
            <w:pPr>
              <w:rPr>
                <w:rFonts w:eastAsia="Malgun Gothic"/>
                <w:szCs w:val="22"/>
                <w:lang w:val="fr-CH"/>
              </w:rPr>
            </w:pPr>
            <w:r w:rsidRPr="007E1C53">
              <w:rPr>
                <w:rFonts w:eastAsia="Malgun Gothic"/>
                <w:szCs w:val="22"/>
                <w:lang w:val="fr-CH"/>
              </w:rPr>
              <w:t>Démonstration pour les personnes intéressées des systèmes et outils en ligne utilisés dans le cadre des services électroniques des offices</w:t>
            </w:r>
          </w:p>
        </w:tc>
      </w:tr>
      <w:tr w:rsidR="007E1C53" w:rsidRPr="007E1C53" w:rsidTr="00A62E11">
        <w:trPr>
          <w:cantSplit/>
        </w:trPr>
        <w:tc>
          <w:tcPr>
            <w:tcW w:w="908" w:type="dxa"/>
            <w:vMerge w:val="restart"/>
          </w:tcPr>
          <w:p w:rsidR="00DD7399" w:rsidRPr="007E1C53" w:rsidRDefault="00DD7399" w:rsidP="00A62E11">
            <w:pPr>
              <w:rPr>
                <w:rFonts w:eastAsia="Malgun Gothic"/>
                <w:szCs w:val="22"/>
                <w:lang w:val="fr-CH"/>
              </w:rPr>
            </w:pPr>
            <w:r w:rsidRPr="007E1C53">
              <w:rPr>
                <w:rFonts w:eastAsia="Malgun Gothic"/>
                <w:szCs w:val="22"/>
                <w:lang w:val="fr-CH"/>
              </w:rPr>
              <w:t>2019</w:t>
            </w:r>
          </w:p>
        </w:tc>
        <w:tc>
          <w:tcPr>
            <w:tcW w:w="1905" w:type="dxa"/>
          </w:tcPr>
          <w:p w:rsidR="00DD7399" w:rsidRPr="007E1C53" w:rsidRDefault="0097329E" w:rsidP="00A62E11">
            <w:pPr>
              <w:rPr>
                <w:rFonts w:eastAsia="Malgun Gothic"/>
                <w:szCs w:val="22"/>
                <w:lang w:val="fr-CH"/>
              </w:rPr>
            </w:pPr>
            <w:r w:rsidRPr="007E1C53">
              <w:rPr>
                <w:rFonts w:eastAsia="Malgun Gothic"/>
                <w:szCs w:val="22"/>
                <w:lang w:val="fr-CH"/>
              </w:rPr>
              <w:t xml:space="preserve">Atelier </w:t>
            </w:r>
            <w:proofErr w:type="spellStart"/>
            <w:r w:rsidRPr="007E1C53">
              <w:rPr>
                <w:rFonts w:eastAsia="Malgun Gothic"/>
                <w:szCs w:val="22"/>
                <w:lang w:val="fr-CH"/>
              </w:rPr>
              <w:t>sous</w:t>
            </w:r>
            <w:r w:rsidR="00940BD3">
              <w:rPr>
                <w:rFonts w:eastAsia="Malgun Gothic"/>
                <w:szCs w:val="22"/>
                <w:lang w:val="fr-CH"/>
              </w:rPr>
              <w:t>-</w:t>
            </w:r>
            <w:r w:rsidRPr="007E1C53">
              <w:rPr>
                <w:rFonts w:eastAsia="Malgun Gothic"/>
                <w:szCs w:val="22"/>
                <w:lang w:val="fr-CH"/>
              </w:rPr>
              <w:t>régional</w:t>
            </w:r>
            <w:proofErr w:type="spellEnd"/>
            <w:r w:rsidRPr="007E1C53">
              <w:rPr>
                <w:rFonts w:eastAsia="Malgun Gothic"/>
                <w:szCs w:val="22"/>
                <w:lang w:val="fr-CH"/>
              </w:rPr>
              <w:t xml:space="preserve"> de l</w:t>
            </w:r>
            <w:r w:rsidR="00940BD3">
              <w:rPr>
                <w:rFonts w:eastAsia="Malgun Gothic"/>
                <w:szCs w:val="22"/>
                <w:lang w:val="fr-CH"/>
              </w:rPr>
              <w:t>’</w:t>
            </w:r>
            <w:proofErr w:type="spellStart"/>
            <w:r w:rsidRPr="007E1C53">
              <w:rPr>
                <w:rFonts w:eastAsia="Malgun Gothic"/>
                <w:szCs w:val="22"/>
                <w:lang w:val="fr-CH"/>
              </w:rPr>
              <w:t>OMPI</w:t>
            </w:r>
            <w:proofErr w:type="spellEnd"/>
            <w:r w:rsidRPr="007E1C53">
              <w:rPr>
                <w:rFonts w:eastAsia="Malgun Gothic"/>
                <w:szCs w:val="22"/>
                <w:lang w:val="fr-CH"/>
              </w:rPr>
              <w:t xml:space="preserve"> sur les technologies de l</w:t>
            </w:r>
            <w:r w:rsidR="00940BD3">
              <w:rPr>
                <w:rFonts w:eastAsia="Malgun Gothic"/>
                <w:szCs w:val="22"/>
                <w:lang w:val="fr-CH"/>
              </w:rPr>
              <w:t>’</w:t>
            </w:r>
            <w:r w:rsidRPr="007E1C53">
              <w:rPr>
                <w:rFonts w:eastAsia="Malgun Gothic"/>
                <w:szCs w:val="22"/>
                <w:lang w:val="fr-CH"/>
              </w:rPr>
              <w:t>information et formation axée sur les opérations</w:t>
            </w:r>
          </w:p>
        </w:tc>
        <w:tc>
          <w:tcPr>
            <w:tcW w:w="2795" w:type="dxa"/>
          </w:tcPr>
          <w:p w:rsidR="00DD7399" w:rsidRPr="007E1C53" w:rsidRDefault="0097329E" w:rsidP="00A62E11">
            <w:pPr>
              <w:rPr>
                <w:rFonts w:eastAsia="Malgun Gothic"/>
                <w:szCs w:val="22"/>
                <w:lang w:val="fr-CH"/>
              </w:rPr>
            </w:pPr>
            <w:r w:rsidRPr="007E1C53">
              <w:rPr>
                <w:rFonts w:eastAsia="Malgun Gothic"/>
                <w:szCs w:val="22"/>
                <w:lang w:val="fr-CH"/>
              </w:rPr>
              <w:t>Meilleure compréhension des services en ligne grâce à l</w:t>
            </w:r>
            <w:r w:rsidR="00940BD3">
              <w:rPr>
                <w:rFonts w:eastAsia="Malgun Gothic"/>
                <w:szCs w:val="22"/>
                <w:lang w:val="fr-CH"/>
              </w:rPr>
              <w:t>’</w:t>
            </w:r>
            <w:r w:rsidRPr="007E1C53">
              <w:rPr>
                <w:rFonts w:eastAsia="Malgun Gothic"/>
                <w:szCs w:val="22"/>
                <w:lang w:val="fr-CH"/>
              </w:rPr>
              <w:t>utilisation des solutions opérationnelles de l</w:t>
            </w:r>
            <w:r w:rsidR="00940BD3">
              <w:rPr>
                <w:rFonts w:eastAsia="Malgun Gothic"/>
                <w:szCs w:val="22"/>
                <w:lang w:val="fr-CH"/>
              </w:rPr>
              <w:t>’</w:t>
            </w:r>
            <w:proofErr w:type="spellStart"/>
            <w:r w:rsidRPr="007E1C53">
              <w:rPr>
                <w:rFonts w:eastAsia="Malgun Gothic"/>
                <w:szCs w:val="22"/>
                <w:lang w:val="fr-CH"/>
              </w:rPr>
              <w:t>OMPI</w:t>
            </w:r>
            <w:proofErr w:type="spellEnd"/>
            <w:r w:rsidRPr="007E1C53">
              <w:rPr>
                <w:rFonts w:eastAsia="Malgun Gothic"/>
                <w:szCs w:val="22"/>
                <w:lang w:val="fr-CH"/>
              </w:rPr>
              <w:t xml:space="preserve"> à l</w:t>
            </w:r>
            <w:r w:rsidR="00940BD3">
              <w:rPr>
                <w:rFonts w:eastAsia="Malgun Gothic"/>
                <w:szCs w:val="22"/>
                <w:lang w:val="fr-CH"/>
              </w:rPr>
              <w:t>’</w:t>
            </w:r>
            <w:r w:rsidRPr="007E1C53">
              <w:rPr>
                <w:rFonts w:eastAsia="Malgun Gothic"/>
                <w:szCs w:val="22"/>
                <w:lang w:val="fr-CH"/>
              </w:rPr>
              <w:t>intention des offices de propriété intellectuelle</w:t>
            </w:r>
          </w:p>
        </w:tc>
      </w:tr>
      <w:tr w:rsidR="007E1C53" w:rsidRPr="007E1C53" w:rsidTr="00A62E11">
        <w:trPr>
          <w:cantSplit/>
        </w:trPr>
        <w:tc>
          <w:tcPr>
            <w:tcW w:w="908" w:type="dxa"/>
            <w:vMerge/>
          </w:tcPr>
          <w:p w:rsidR="00DD7399" w:rsidRPr="007E1C53" w:rsidRDefault="00DD7399" w:rsidP="00A62E11">
            <w:pPr>
              <w:rPr>
                <w:rFonts w:eastAsia="Malgun Gothic"/>
                <w:szCs w:val="22"/>
                <w:lang w:val="fr-CH"/>
              </w:rPr>
            </w:pPr>
          </w:p>
        </w:tc>
        <w:tc>
          <w:tcPr>
            <w:tcW w:w="1905" w:type="dxa"/>
          </w:tcPr>
          <w:p w:rsidR="00DD7399" w:rsidRPr="007E1C53" w:rsidRDefault="0097329E" w:rsidP="00A62E11">
            <w:pPr>
              <w:rPr>
                <w:rFonts w:eastAsia="Malgun Gothic"/>
                <w:szCs w:val="22"/>
                <w:lang w:val="fr-CH"/>
              </w:rPr>
            </w:pPr>
            <w:r w:rsidRPr="007E1C53">
              <w:rPr>
                <w:rFonts w:eastAsia="Malgun Gothic"/>
                <w:szCs w:val="22"/>
                <w:lang w:val="fr-CH"/>
              </w:rPr>
              <w:t>Atelier sur les technologies de l</w:t>
            </w:r>
            <w:r w:rsidR="00940BD3">
              <w:rPr>
                <w:rFonts w:eastAsia="Malgun Gothic"/>
                <w:szCs w:val="22"/>
                <w:lang w:val="fr-CH"/>
              </w:rPr>
              <w:t>’</w:t>
            </w:r>
            <w:r w:rsidRPr="007E1C53">
              <w:rPr>
                <w:rFonts w:eastAsia="Malgun Gothic"/>
                <w:szCs w:val="22"/>
                <w:lang w:val="fr-CH"/>
              </w:rPr>
              <w:t>information à l</w:t>
            </w:r>
            <w:r w:rsidR="00940BD3">
              <w:rPr>
                <w:rFonts w:eastAsia="Malgun Gothic"/>
                <w:szCs w:val="22"/>
                <w:lang w:val="fr-CH"/>
              </w:rPr>
              <w:t>’</w:t>
            </w:r>
            <w:r w:rsidR="0047254D" w:rsidRPr="007E1C53">
              <w:rPr>
                <w:rFonts w:eastAsia="Malgun Gothic"/>
                <w:szCs w:val="22"/>
                <w:lang w:val="fr-CH"/>
              </w:rPr>
              <w:t xml:space="preserve">intention des pays de </w:t>
            </w:r>
            <w:r w:rsidRPr="007E1C53">
              <w:rPr>
                <w:rFonts w:eastAsia="Malgun Gothic"/>
                <w:szCs w:val="22"/>
                <w:lang w:val="fr-CH"/>
              </w:rPr>
              <w:t>l</w:t>
            </w:r>
            <w:r w:rsidR="00940BD3">
              <w:rPr>
                <w:rFonts w:eastAsia="Malgun Gothic"/>
                <w:szCs w:val="22"/>
                <w:lang w:val="fr-CH"/>
              </w:rPr>
              <w:t>’</w:t>
            </w:r>
            <w:r w:rsidRPr="007E1C53">
              <w:rPr>
                <w:rFonts w:eastAsia="Malgun Gothic"/>
                <w:szCs w:val="22"/>
                <w:lang w:val="fr-CH"/>
              </w:rPr>
              <w:t>ASEAN au Viet</w:t>
            </w:r>
            <w:r w:rsidR="005274F0">
              <w:rPr>
                <w:rFonts w:eastAsia="Malgun Gothic"/>
                <w:szCs w:val="22"/>
                <w:lang w:val="fr-CH"/>
              </w:rPr>
              <w:t> </w:t>
            </w:r>
            <w:r w:rsidRPr="007E1C53">
              <w:rPr>
                <w:rFonts w:eastAsia="Malgun Gothic"/>
                <w:szCs w:val="22"/>
                <w:lang w:val="fr-CH"/>
              </w:rPr>
              <w:t>Nam</w:t>
            </w:r>
          </w:p>
        </w:tc>
        <w:tc>
          <w:tcPr>
            <w:tcW w:w="2795" w:type="dxa"/>
          </w:tcPr>
          <w:p w:rsidR="00DD7399" w:rsidRPr="007E1C53" w:rsidRDefault="008D1B77" w:rsidP="00A62E11">
            <w:pPr>
              <w:rPr>
                <w:rFonts w:eastAsia="Malgun Gothic"/>
                <w:szCs w:val="22"/>
                <w:lang w:val="fr-CH"/>
              </w:rPr>
            </w:pPr>
            <w:r w:rsidRPr="007E1C53">
              <w:rPr>
                <w:rFonts w:eastAsia="Malgun Gothic"/>
                <w:szCs w:val="22"/>
                <w:lang w:val="fr-CH"/>
              </w:rPr>
              <w:t>Renforcement des connaissances et des compétences techniques concernant l</w:t>
            </w:r>
            <w:r w:rsidR="00940BD3">
              <w:rPr>
                <w:rFonts w:eastAsia="Malgun Gothic"/>
                <w:szCs w:val="22"/>
                <w:lang w:val="fr-CH"/>
              </w:rPr>
              <w:t>’</w:t>
            </w:r>
            <w:r w:rsidRPr="007E1C53">
              <w:rPr>
                <w:rFonts w:eastAsia="Malgun Gothic"/>
                <w:szCs w:val="22"/>
                <w:lang w:val="fr-CH"/>
              </w:rPr>
              <w:t xml:space="preserve">utilisation de WIPO </w:t>
            </w:r>
            <w:proofErr w:type="spellStart"/>
            <w:r w:rsidRPr="007E1C53">
              <w:rPr>
                <w:rFonts w:eastAsia="Malgun Gothic"/>
                <w:szCs w:val="22"/>
                <w:lang w:val="fr-CH"/>
              </w:rPr>
              <w:t>IPAS</w:t>
            </w:r>
            <w:proofErr w:type="spellEnd"/>
            <w:r w:rsidRPr="007E1C53">
              <w:rPr>
                <w:rFonts w:eastAsia="Malgun Gothic"/>
                <w:szCs w:val="22"/>
                <w:lang w:val="fr-CH"/>
              </w:rPr>
              <w:t xml:space="preserve"> en vue de la fourniture de services en ligne aux clients</w:t>
            </w:r>
          </w:p>
        </w:tc>
      </w:tr>
      <w:tr w:rsidR="007E1C53" w:rsidRPr="007E1C53" w:rsidTr="00A62E11">
        <w:trPr>
          <w:cantSplit/>
        </w:trPr>
        <w:tc>
          <w:tcPr>
            <w:tcW w:w="908" w:type="dxa"/>
            <w:vMerge/>
          </w:tcPr>
          <w:p w:rsidR="00DD7399" w:rsidRPr="007E1C53" w:rsidRDefault="00DD7399" w:rsidP="00A62E11">
            <w:pPr>
              <w:rPr>
                <w:rFonts w:eastAsia="Malgun Gothic"/>
                <w:szCs w:val="22"/>
                <w:lang w:val="fr-CH"/>
              </w:rPr>
            </w:pPr>
          </w:p>
        </w:tc>
        <w:tc>
          <w:tcPr>
            <w:tcW w:w="1905" w:type="dxa"/>
          </w:tcPr>
          <w:p w:rsidR="00DD7399" w:rsidRPr="007E1C53" w:rsidRDefault="008D1B77" w:rsidP="00A62E11">
            <w:pPr>
              <w:rPr>
                <w:rFonts w:eastAsia="Malgun Gothic"/>
                <w:szCs w:val="22"/>
                <w:lang w:val="fr-CH"/>
              </w:rPr>
            </w:pPr>
            <w:r w:rsidRPr="007E1C53">
              <w:rPr>
                <w:rFonts w:eastAsia="Malgun Gothic"/>
                <w:szCs w:val="22"/>
                <w:lang w:val="fr-CH"/>
              </w:rPr>
              <w:t>Atelier pour les pays insulaires du Pacifique à Canberra</w:t>
            </w:r>
          </w:p>
        </w:tc>
        <w:tc>
          <w:tcPr>
            <w:tcW w:w="2795" w:type="dxa"/>
          </w:tcPr>
          <w:p w:rsidR="00DD7399" w:rsidRPr="007E1C53" w:rsidRDefault="008D1B77" w:rsidP="00A62E11">
            <w:pPr>
              <w:rPr>
                <w:rFonts w:eastAsia="Malgun Gothic"/>
                <w:szCs w:val="22"/>
                <w:lang w:val="fr-CH"/>
              </w:rPr>
            </w:pPr>
            <w:r w:rsidRPr="007E1C53">
              <w:rPr>
                <w:rFonts w:eastAsia="Malgun Gothic"/>
                <w:szCs w:val="22"/>
                <w:lang w:val="fr-CH"/>
              </w:rPr>
              <w:t>Amélioration des capacités des techniciens des offices de propriété intellectuelle en ce qui concerne l</w:t>
            </w:r>
            <w:r w:rsidR="00940BD3">
              <w:rPr>
                <w:rFonts w:eastAsia="Malgun Gothic"/>
                <w:szCs w:val="22"/>
                <w:lang w:val="fr-CH"/>
              </w:rPr>
              <w:t>’</w:t>
            </w:r>
            <w:r w:rsidRPr="007E1C53">
              <w:rPr>
                <w:rFonts w:eastAsia="Malgun Gothic"/>
                <w:szCs w:val="22"/>
                <w:lang w:val="fr-CH"/>
              </w:rPr>
              <w:t>installation, la configuration et l</w:t>
            </w:r>
            <w:r w:rsidR="00940BD3">
              <w:rPr>
                <w:rFonts w:eastAsia="Malgun Gothic"/>
                <w:szCs w:val="22"/>
                <w:lang w:val="fr-CH"/>
              </w:rPr>
              <w:t>’</w:t>
            </w:r>
            <w:r w:rsidRPr="007E1C53">
              <w:rPr>
                <w:rFonts w:eastAsia="Malgun Gothic"/>
                <w:szCs w:val="22"/>
                <w:lang w:val="fr-CH"/>
              </w:rPr>
              <w:t>appui des solutions de l</w:t>
            </w:r>
            <w:r w:rsidR="00940BD3">
              <w:rPr>
                <w:rFonts w:eastAsia="Malgun Gothic"/>
                <w:szCs w:val="22"/>
                <w:lang w:val="fr-CH"/>
              </w:rPr>
              <w:t>’</w:t>
            </w:r>
            <w:proofErr w:type="spellStart"/>
            <w:r w:rsidRPr="007E1C53">
              <w:rPr>
                <w:rFonts w:eastAsia="Malgun Gothic"/>
                <w:szCs w:val="22"/>
                <w:lang w:val="fr-CH"/>
              </w:rPr>
              <w:t>OMPI</w:t>
            </w:r>
            <w:proofErr w:type="spellEnd"/>
            <w:r w:rsidRPr="007E1C53">
              <w:rPr>
                <w:rFonts w:eastAsia="Malgun Gothic"/>
                <w:szCs w:val="22"/>
                <w:lang w:val="fr-CH"/>
              </w:rPr>
              <w:t xml:space="preserve"> à l</w:t>
            </w:r>
            <w:r w:rsidR="00940BD3">
              <w:rPr>
                <w:rFonts w:eastAsia="Malgun Gothic"/>
                <w:szCs w:val="22"/>
                <w:lang w:val="fr-CH"/>
              </w:rPr>
              <w:t>’</w:t>
            </w:r>
            <w:r w:rsidRPr="007E1C53">
              <w:rPr>
                <w:rFonts w:eastAsia="Malgun Gothic"/>
                <w:szCs w:val="22"/>
                <w:lang w:val="fr-CH"/>
              </w:rPr>
              <w:t>intention des offices de propriété intellectuelle pour l</w:t>
            </w:r>
            <w:r w:rsidR="00940BD3">
              <w:rPr>
                <w:rFonts w:eastAsia="Malgun Gothic"/>
                <w:szCs w:val="22"/>
                <w:lang w:val="fr-CH"/>
              </w:rPr>
              <w:t>’</w:t>
            </w:r>
            <w:r w:rsidRPr="007E1C53">
              <w:rPr>
                <w:rFonts w:eastAsia="Malgun Gothic"/>
                <w:szCs w:val="22"/>
                <w:lang w:val="fr-CH"/>
              </w:rPr>
              <w:t>administration de</w:t>
            </w:r>
            <w:r w:rsidR="00347ACC" w:rsidRPr="007E1C53">
              <w:rPr>
                <w:rFonts w:eastAsia="Malgun Gothic"/>
                <w:szCs w:val="22"/>
                <w:lang w:val="fr-CH"/>
              </w:rPr>
              <w:t xml:space="preserve"> la </w:t>
            </w:r>
            <w:r w:rsidRPr="007E1C53">
              <w:rPr>
                <w:rFonts w:eastAsia="Malgun Gothic"/>
                <w:szCs w:val="22"/>
                <w:lang w:val="fr-CH"/>
              </w:rPr>
              <w:t>propriété intellectuelle et les services en ligne</w:t>
            </w:r>
          </w:p>
        </w:tc>
      </w:tr>
      <w:tr w:rsidR="007E1C53" w:rsidRPr="007E1C53" w:rsidTr="00A62E11">
        <w:trPr>
          <w:cantSplit/>
        </w:trPr>
        <w:tc>
          <w:tcPr>
            <w:tcW w:w="908" w:type="dxa"/>
            <w:vMerge/>
          </w:tcPr>
          <w:p w:rsidR="00DD7399" w:rsidRPr="007E1C53" w:rsidRDefault="00DD7399" w:rsidP="00A62E11">
            <w:pPr>
              <w:rPr>
                <w:rFonts w:eastAsia="Malgun Gothic"/>
                <w:szCs w:val="22"/>
                <w:lang w:val="fr-CH"/>
              </w:rPr>
            </w:pPr>
          </w:p>
        </w:tc>
        <w:tc>
          <w:tcPr>
            <w:tcW w:w="1905" w:type="dxa"/>
          </w:tcPr>
          <w:p w:rsidR="00DD7399" w:rsidRPr="007E1C53" w:rsidRDefault="008D1B77" w:rsidP="00A62E11">
            <w:pPr>
              <w:rPr>
                <w:rFonts w:eastAsia="Malgun Gothic"/>
                <w:szCs w:val="22"/>
                <w:lang w:val="fr-CH"/>
              </w:rPr>
            </w:pPr>
            <w:r w:rsidRPr="007E1C53">
              <w:rPr>
                <w:rFonts w:eastAsia="Malgun Gothic"/>
                <w:szCs w:val="22"/>
                <w:lang w:val="fr-CH"/>
              </w:rPr>
              <w:t xml:space="preserve">Formation régionale limitée sur </w:t>
            </w:r>
            <w:proofErr w:type="spellStart"/>
            <w:r w:rsidRPr="007E1C53">
              <w:rPr>
                <w:rFonts w:eastAsia="Malgun Gothic"/>
                <w:szCs w:val="22"/>
                <w:lang w:val="fr-CH"/>
              </w:rPr>
              <w:t>IPAS</w:t>
            </w:r>
            <w:proofErr w:type="spellEnd"/>
            <w:r w:rsidRPr="007E1C53">
              <w:rPr>
                <w:rFonts w:eastAsia="Malgun Gothic"/>
                <w:szCs w:val="22"/>
                <w:lang w:val="fr-CH"/>
              </w:rPr>
              <w:t xml:space="preserve"> en Jordanie</w:t>
            </w:r>
          </w:p>
        </w:tc>
        <w:tc>
          <w:tcPr>
            <w:tcW w:w="2795" w:type="dxa"/>
          </w:tcPr>
          <w:p w:rsidR="00DD7399" w:rsidRPr="007E1C53" w:rsidRDefault="008D1B77" w:rsidP="00A62E11">
            <w:pPr>
              <w:rPr>
                <w:rFonts w:eastAsia="Malgun Gothic"/>
                <w:szCs w:val="22"/>
                <w:lang w:val="fr-CH"/>
              </w:rPr>
            </w:pPr>
            <w:r w:rsidRPr="007E1C53">
              <w:rPr>
                <w:rFonts w:eastAsia="Malgun Gothic"/>
                <w:szCs w:val="22"/>
                <w:lang w:val="fr-CH"/>
              </w:rPr>
              <w:t>Meilleure compréhension concernant la mise en place, l</w:t>
            </w:r>
            <w:r w:rsidR="00940BD3">
              <w:rPr>
                <w:rFonts w:eastAsia="Malgun Gothic"/>
                <w:szCs w:val="22"/>
                <w:lang w:val="fr-CH"/>
              </w:rPr>
              <w:t>’</w:t>
            </w:r>
            <w:r w:rsidRPr="007E1C53">
              <w:rPr>
                <w:rFonts w:eastAsia="Malgun Gothic"/>
                <w:szCs w:val="22"/>
                <w:lang w:val="fr-CH"/>
              </w:rPr>
              <w:t>adaptation et l</w:t>
            </w:r>
            <w:r w:rsidR="00940BD3">
              <w:rPr>
                <w:rFonts w:eastAsia="Malgun Gothic"/>
                <w:szCs w:val="22"/>
                <w:lang w:val="fr-CH"/>
              </w:rPr>
              <w:t>’</w:t>
            </w:r>
            <w:r w:rsidRPr="007E1C53">
              <w:rPr>
                <w:rFonts w:eastAsia="Malgun Gothic"/>
                <w:szCs w:val="22"/>
                <w:lang w:val="fr-CH"/>
              </w:rPr>
              <w:t xml:space="preserve">administration de WIPO </w:t>
            </w:r>
            <w:proofErr w:type="spellStart"/>
            <w:r w:rsidRPr="007E1C53">
              <w:rPr>
                <w:rFonts w:eastAsia="Malgun Gothic"/>
                <w:szCs w:val="22"/>
                <w:lang w:val="fr-CH"/>
              </w:rPr>
              <w:t>IPAS</w:t>
            </w:r>
            <w:proofErr w:type="spellEnd"/>
            <w:r w:rsidRPr="007E1C53">
              <w:rPr>
                <w:rFonts w:eastAsia="Malgun Gothic"/>
                <w:szCs w:val="22"/>
                <w:lang w:val="fr-CH"/>
              </w:rPr>
              <w:t xml:space="preserve"> et de ses modules d</w:t>
            </w:r>
            <w:r w:rsidR="00940BD3">
              <w:rPr>
                <w:rFonts w:eastAsia="Malgun Gothic"/>
                <w:szCs w:val="22"/>
                <w:lang w:val="fr-CH"/>
              </w:rPr>
              <w:t>’</w:t>
            </w:r>
            <w:r w:rsidRPr="007E1C53">
              <w:rPr>
                <w:rFonts w:eastAsia="Malgun Gothic"/>
                <w:szCs w:val="22"/>
                <w:lang w:val="fr-CH"/>
              </w:rPr>
              <w:t>appui</w:t>
            </w:r>
          </w:p>
        </w:tc>
      </w:tr>
      <w:tr w:rsidR="007E1C53" w:rsidRPr="007E1C53" w:rsidTr="00A62E11">
        <w:trPr>
          <w:cantSplit/>
        </w:trPr>
        <w:tc>
          <w:tcPr>
            <w:tcW w:w="908" w:type="dxa"/>
            <w:vMerge/>
          </w:tcPr>
          <w:p w:rsidR="00DD7399" w:rsidRPr="007E1C53" w:rsidRDefault="00DD7399" w:rsidP="00A62E11">
            <w:pPr>
              <w:rPr>
                <w:rFonts w:eastAsia="Malgun Gothic"/>
                <w:szCs w:val="22"/>
                <w:lang w:val="fr-CH"/>
              </w:rPr>
            </w:pPr>
          </w:p>
        </w:tc>
        <w:tc>
          <w:tcPr>
            <w:tcW w:w="1905" w:type="dxa"/>
          </w:tcPr>
          <w:p w:rsidR="00DD7399" w:rsidRPr="007E1C53" w:rsidRDefault="008D1B77" w:rsidP="00A62E11">
            <w:pPr>
              <w:rPr>
                <w:rFonts w:eastAsia="Malgun Gothic"/>
                <w:szCs w:val="22"/>
                <w:lang w:val="fr-CH"/>
              </w:rPr>
            </w:pPr>
            <w:r w:rsidRPr="007E1C53">
              <w:rPr>
                <w:rFonts w:eastAsia="Malgun Gothic"/>
                <w:szCs w:val="22"/>
                <w:lang w:val="fr-CH"/>
              </w:rPr>
              <w:t>Atelier régional pour les Caraïbes en Jamaïque</w:t>
            </w:r>
          </w:p>
        </w:tc>
        <w:tc>
          <w:tcPr>
            <w:tcW w:w="2795" w:type="dxa"/>
          </w:tcPr>
          <w:p w:rsidR="00DD7399" w:rsidRPr="007E1C53" w:rsidRDefault="008D1B77" w:rsidP="00A62E11">
            <w:pPr>
              <w:rPr>
                <w:rFonts w:eastAsia="Malgun Gothic"/>
                <w:szCs w:val="22"/>
                <w:lang w:val="fr-CH"/>
              </w:rPr>
            </w:pPr>
            <w:r w:rsidRPr="007E1C53">
              <w:rPr>
                <w:rFonts w:eastAsia="Malgun Gothic"/>
                <w:szCs w:val="22"/>
                <w:lang w:val="fr-CH"/>
              </w:rPr>
              <w:t>Approfondissement de la connaissance et de l</w:t>
            </w:r>
            <w:r w:rsidR="00940BD3">
              <w:rPr>
                <w:rFonts w:eastAsia="Malgun Gothic"/>
                <w:szCs w:val="22"/>
                <w:lang w:val="fr-CH"/>
              </w:rPr>
              <w:t>’</w:t>
            </w:r>
            <w:r w:rsidRPr="007E1C53">
              <w:rPr>
                <w:rFonts w:eastAsia="Malgun Gothic"/>
                <w:szCs w:val="22"/>
                <w:lang w:val="fr-CH"/>
              </w:rPr>
              <w:t>utilisation d</w:t>
            </w:r>
            <w:r w:rsidR="00940BD3">
              <w:rPr>
                <w:rFonts w:eastAsia="Malgun Gothic"/>
                <w:szCs w:val="22"/>
                <w:lang w:val="fr-CH"/>
              </w:rPr>
              <w:t>’</w:t>
            </w:r>
            <w:proofErr w:type="spellStart"/>
            <w:r w:rsidRPr="007E1C53">
              <w:rPr>
                <w:rFonts w:eastAsia="Malgun Gothic"/>
                <w:szCs w:val="22"/>
                <w:lang w:val="fr-CH"/>
              </w:rPr>
              <w:t>IPAS</w:t>
            </w:r>
            <w:proofErr w:type="spellEnd"/>
            <w:r w:rsidRPr="007E1C53">
              <w:rPr>
                <w:rFonts w:eastAsia="Malgun Gothic"/>
                <w:szCs w:val="22"/>
                <w:lang w:val="fr-CH"/>
              </w:rPr>
              <w:t xml:space="preserve"> grâce à une formation pratique intensive</w:t>
            </w:r>
          </w:p>
        </w:tc>
      </w:tr>
      <w:tr w:rsidR="007E1C53" w:rsidRPr="007E1C53" w:rsidTr="00A62E11">
        <w:trPr>
          <w:cantSplit/>
        </w:trPr>
        <w:tc>
          <w:tcPr>
            <w:tcW w:w="908" w:type="dxa"/>
            <w:vMerge/>
          </w:tcPr>
          <w:p w:rsidR="00DD7399" w:rsidRPr="007E1C53" w:rsidRDefault="00DD7399" w:rsidP="00A62E11">
            <w:pPr>
              <w:rPr>
                <w:rFonts w:eastAsia="Malgun Gothic"/>
                <w:szCs w:val="22"/>
                <w:lang w:val="fr-CH"/>
              </w:rPr>
            </w:pPr>
          </w:p>
        </w:tc>
        <w:tc>
          <w:tcPr>
            <w:tcW w:w="1905" w:type="dxa"/>
          </w:tcPr>
          <w:p w:rsidR="00DD7399" w:rsidRPr="007E1C53" w:rsidRDefault="008D1B77" w:rsidP="00A62E11">
            <w:pPr>
              <w:rPr>
                <w:rFonts w:eastAsia="Malgun Gothic"/>
                <w:szCs w:val="22"/>
                <w:lang w:val="fr-CH"/>
              </w:rPr>
            </w:pPr>
            <w:r w:rsidRPr="007E1C53">
              <w:rPr>
                <w:rFonts w:eastAsia="Malgun Gothic"/>
                <w:szCs w:val="22"/>
                <w:lang w:val="fr-CH"/>
              </w:rPr>
              <w:t xml:space="preserve">Atelier régional en </w:t>
            </w:r>
            <w:r w:rsidR="005274F0">
              <w:rPr>
                <w:rFonts w:eastAsia="Malgun Gothic"/>
                <w:szCs w:val="22"/>
                <w:lang w:val="fr-CH"/>
              </w:rPr>
              <w:t xml:space="preserve">République-Unie de </w:t>
            </w:r>
            <w:r w:rsidRPr="007E1C53">
              <w:rPr>
                <w:rFonts w:eastAsia="Malgun Gothic"/>
                <w:szCs w:val="22"/>
                <w:lang w:val="fr-CH"/>
              </w:rPr>
              <w:t>Tanzanie</w:t>
            </w:r>
          </w:p>
        </w:tc>
        <w:tc>
          <w:tcPr>
            <w:tcW w:w="2795" w:type="dxa"/>
          </w:tcPr>
          <w:p w:rsidR="00DD7399" w:rsidRPr="007E1C53" w:rsidRDefault="008D1B77" w:rsidP="00A62E11">
            <w:pPr>
              <w:rPr>
                <w:rFonts w:eastAsia="Malgun Gothic"/>
                <w:szCs w:val="22"/>
                <w:lang w:val="fr-CH"/>
              </w:rPr>
            </w:pPr>
            <w:r w:rsidRPr="007E1C53">
              <w:rPr>
                <w:rFonts w:eastAsia="Malgun Gothic"/>
                <w:szCs w:val="22"/>
                <w:lang w:val="fr-CH"/>
              </w:rPr>
              <w:t xml:space="preserve">Renforcement de la capacité des examinateurs de brevets à utiliser </w:t>
            </w:r>
            <w:proofErr w:type="spellStart"/>
            <w:r w:rsidRPr="007E1C53">
              <w:rPr>
                <w:rFonts w:eastAsia="Malgun Gothic"/>
                <w:szCs w:val="22"/>
                <w:lang w:val="fr-CH"/>
              </w:rPr>
              <w:t>IPAS</w:t>
            </w:r>
            <w:proofErr w:type="spellEnd"/>
            <w:r w:rsidRPr="007E1C53">
              <w:rPr>
                <w:rFonts w:eastAsia="Malgun Gothic"/>
                <w:szCs w:val="22"/>
                <w:lang w:val="fr-CH"/>
              </w:rPr>
              <w:t xml:space="preserve"> pour la recherche et l</w:t>
            </w:r>
            <w:r w:rsidR="00940BD3">
              <w:rPr>
                <w:rFonts w:eastAsia="Malgun Gothic"/>
                <w:szCs w:val="22"/>
                <w:lang w:val="fr-CH"/>
              </w:rPr>
              <w:t>’</w:t>
            </w:r>
            <w:r w:rsidRPr="007E1C53">
              <w:rPr>
                <w:rFonts w:eastAsia="Malgun Gothic"/>
                <w:szCs w:val="22"/>
                <w:lang w:val="fr-CH"/>
              </w:rPr>
              <w:t>examen</w:t>
            </w:r>
          </w:p>
        </w:tc>
      </w:tr>
      <w:tr w:rsidR="007E1C53" w:rsidRPr="007E1C53" w:rsidTr="00A62E11">
        <w:trPr>
          <w:cantSplit/>
        </w:trPr>
        <w:tc>
          <w:tcPr>
            <w:tcW w:w="908" w:type="dxa"/>
            <w:vMerge/>
          </w:tcPr>
          <w:p w:rsidR="00DD7399" w:rsidRPr="007E1C53" w:rsidRDefault="00DD7399" w:rsidP="00A62E11">
            <w:pPr>
              <w:rPr>
                <w:rFonts w:eastAsia="Malgun Gothic"/>
                <w:szCs w:val="22"/>
                <w:lang w:val="fr-CH"/>
              </w:rPr>
            </w:pPr>
          </w:p>
        </w:tc>
        <w:tc>
          <w:tcPr>
            <w:tcW w:w="1905" w:type="dxa"/>
          </w:tcPr>
          <w:p w:rsidR="00DD7399" w:rsidRPr="007E1C53" w:rsidRDefault="005C3489" w:rsidP="00A62E11">
            <w:pPr>
              <w:rPr>
                <w:rFonts w:eastAsia="Malgun Gothic"/>
                <w:szCs w:val="22"/>
                <w:lang w:val="fr-CH"/>
              </w:rPr>
            </w:pPr>
            <w:r w:rsidRPr="007E1C53">
              <w:rPr>
                <w:rFonts w:eastAsia="Malgun Gothic"/>
                <w:szCs w:val="22"/>
                <w:lang w:val="fr-CH"/>
              </w:rPr>
              <w:t>Atelier régional de l</w:t>
            </w:r>
            <w:r w:rsidR="00940BD3">
              <w:rPr>
                <w:rFonts w:eastAsia="Malgun Gothic"/>
                <w:szCs w:val="22"/>
                <w:lang w:val="fr-CH"/>
              </w:rPr>
              <w:t>’</w:t>
            </w:r>
            <w:proofErr w:type="spellStart"/>
            <w:r w:rsidRPr="007E1C53">
              <w:rPr>
                <w:rFonts w:eastAsia="Malgun Gothic"/>
                <w:szCs w:val="22"/>
                <w:lang w:val="fr-CH"/>
              </w:rPr>
              <w:t>OMPI</w:t>
            </w:r>
            <w:proofErr w:type="spellEnd"/>
            <w:r w:rsidRPr="007E1C53">
              <w:rPr>
                <w:rFonts w:eastAsia="Malgun Gothic"/>
                <w:szCs w:val="22"/>
                <w:lang w:val="fr-CH"/>
              </w:rPr>
              <w:t xml:space="preserve"> sur les technologies de l</w:t>
            </w:r>
            <w:r w:rsidR="00940BD3">
              <w:rPr>
                <w:rFonts w:eastAsia="Malgun Gothic"/>
                <w:szCs w:val="22"/>
                <w:lang w:val="fr-CH"/>
              </w:rPr>
              <w:t>’</w:t>
            </w:r>
            <w:r w:rsidRPr="007E1C53">
              <w:rPr>
                <w:rFonts w:eastAsia="Malgun Gothic"/>
                <w:szCs w:val="22"/>
                <w:lang w:val="fr-CH"/>
              </w:rPr>
              <w:t xml:space="preserve">information pour les pays arabes </w:t>
            </w:r>
            <w:r w:rsidR="00B57155" w:rsidRPr="007E1C53">
              <w:rPr>
                <w:rFonts w:eastAsia="Malgun Gothic"/>
                <w:szCs w:val="22"/>
                <w:lang w:val="fr-CH"/>
              </w:rPr>
              <w:t>–</w:t>
            </w:r>
            <w:r w:rsidRPr="007E1C53">
              <w:rPr>
                <w:rFonts w:eastAsia="Malgun Gothic"/>
                <w:szCs w:val="22"/>
                <w:lang w:val="fr-CH"/>
              </w:rPr>
              <w:t xml:space="preserve"> Oman</w:t>
            </w:r>
          </w:p>
        </w:tc>
        <w:tc>
          <w:tcPr>
            <w:tcW w:w="2795" w:type="dxa"/>
          </w:tcPr>
          <w:p w:rsidR="00DD7399" w:rsidRPr="007E1C53" w:rsidRDefault="005C3489" w:rsidP="00A62E11">
            <w:pPr>
              <w:rPr>
                <w:rFonts w:eastAsia="Malgun Gothic"/>
                <w:szCs w:val="22"/>
                <w:lang w:val="fr-CH"/>
              </w:rPr>
            </w:pPr>
            <w:r w:rsidRPr="007E1C53">
              <w:rPr>
                <w:rFonts w:eastAsia="Malgun Gothic"/>
                <w:szCs w:val="22"/>
                <w:lang w:val="fr-CH"/>
              </w:rPr>
              <w:t>Démonstration pour les personnes intéressées des systèmes et outils en ligne utilisés dans le cadre des services électroniques des offices</w:t>
            </w:r>
          </w:p>
        </w:tc>
      </w:tr>
    </w:tbl>
    <w:p w:rsidR="009B6058" w:rsidRPr="007E1C53" w:rsidRDefault="009B6058" w:rsidP="00A62E11">
      <w:pPr>
        <w:rPr>
          <w:lang w:val="fr-CH"/>
        </w:rPr>
      </w:pPr>
    </w:p>
    <w:p w:rsidR="00940BD3" w:rsidRDefault="009B6058" w:rsidP="00A62E11">
      <w:pPr>
        <w:pStyle w:val="Heading5"/>
      </w:pPr>
      <w:r w:rsidRPr="007E1C53">
        <w:t>Accès aux données numériques sur la science et la technologie et sur la propriété intellectuelle disponibles dans les bases de données commerciales</w:t>
      </w:r>
    </w:p>
    <w:p w:rsidR="00940BD3" w:rsidRDefault="009B6058" w:rsidP="00A62E11">
      <w:pPr>
        <w:pStyle w:val="ONUMFS"/>
      </w:pPr>
      <w:r w:rsidRPr="007E1C53">
        <w:t xml:space="preserve">À la suite des discussions </w:t>
      </w:r>
      <w:r w:rsidR="003F2FC1" w:rsidRPr="007E1C53">
        <w:t>tenues</w:t>
      </w:r>
      <w:r w:rsidRPr="007E1C53">
        <w:t xml:space="preserve"> et des recommandations du Plan d</w:t>
      </w:r>
      <w:r w:rsidR="00940BD3">
        <w:t>’</w:t>
      </w:r>
      <w:r w:rsidRPr="007E1C53">
        <w:t>action de l</w:t>
      </w:r>
      <w:r w:rsidR="00940BD3">
        <w:t>’</w:t>
      </w:r>
      <w:proofErr w:type="spellStart"/>
      <w:r w:rsidRPr="007E1C53">
        <w:t>OMPI</w:t>
      </w:r>
      <w:proofErr w:type="spellEnd"/>
      <w:r w:rsidRPr="007E1C53">
        <w:t xml:space="preserve"> pour le développement, l</w:t>
      </w:r>
      <w:r w:rsidR="00940BD3">
        <w:t>’</w:t>
      </w:r>
      <w:r w:rsidRPr="007E1C53">
        <w:t>Organisation a créé plusieurs projets de partenariat dans ce domai</w:t>
      </w:r>
      <w:r w:rsidR="00FB6977" w:rsidRPr="007E1C53">
        <w:t>ne</w:t>
      </w:r>
      <w:r w:rsidR="00FB6977">
        <w:t xml:space="preserve">.  </w:t>
      </w:r>
      <w:r w:rsidR="00FB6977" w:rsidRPr="007E1C53">
        <w:t>Le</w:t>
      </w:r>
      <w:r w:rsidR="00FA1D9C" w:rsidRPr="007E1C53">
        <w:t xml:space="preserve"> Programme d</w:t>
      </w:r>
      <w:r w:rsidR="00940BD3">
        <w:t>’</w:t>
      </w:r>
      <w:r w:rsidR="00FA1D9C" w:rsidRPr="007E1C53">
        <w:t>accès à la recherche pour le développement et l</w:t>
      </w:r>
      <w:r w:rsidR="00940BD3">
        <w:t>’</w:t>
      </w:r>
      <w:r w:rsidR="00FA1D9C" w:rsidRPr="007E1C53">
        <w:t>innovation (</w:t>
      </w:r>
      <w:proofErr w:type="spellStart"/>
      <w:r w:rsidR="00FA1D9C" w:rsidRPr="007E1C53">
        <w:t>ARDI</w:t>
      </w:r>
      <w:proofErr w:type="spellEnd"/>
      <w:r w:rsidR="00FA1D9C" w:rsidRPr="007E1C53">
        <w:t>) de l</w:t>
      </w:r>
      <w:r w:rsidR="00940BD3">
        <w:t>’</w:t>
      </w:r>
      <w:proofErr w:type="spellStart"/>
      <w:r w:rsidR="00FA1D9C" w:rsidRPr="007E1C53">
        <w:t>OMPI</w:t>
      </w:r>
      <w:proofErr w:type="spellEnd"/>
      <w:r w:rsidR="00FA1D9C" w:rsidRPr="007E1C53">
        <w:t xml:space="preserve"> s</w:t>
      </w:r>
      <w:r w:rsidR="00940BD3">
        <w:t>’</w:t>
      </w:r>
      <w:r w:rsidR="00FA1D9C" w:rsidRPr="007E1C53">
        <w:t>inscrit dans le cadre d</w:t>
      </w:r>
      <w:r w:rsidR="00940BD3">
        <w:t>’</w:t>
      </w:r>
      <w:r w:rsidR="00FA1D9C" w:rsidRPr="007E1C53">
        <w:t>un partenariat public</w:t>
      </w:r>
      <w:r w:rsidR="00940BD3">
        <w:t>-</w:t>
      </w:r>
      <w:r w:rsidR="00FA1D9C" w:rsidRPr="007E1C53">
        <w:t>privé avec certains des</w:t>
      </w:r>
      <w:r w:rsidR="003F2FC1" w:rsidRPr="007E1C53">
        <w:t xml:space="preserve"> plus grands</w:t>
      </w:r>
      <w:r w:rsidR="00FA1D9C" w:rsidRPr="007E1C53">
        <w:t xml:space="preserve"> éditeurs scientifiques et techniques du monde </w:t>
      </w:r>
      <w:r w:rsidR="003F2FC1" w:rsidRPr="007E1C53">
        <w:t xml:space="preserve">qui </w:t>
      </w:r>
      <w:r w:rsidR="00FA1D9C" w:rsidRPr="007E1C53">
        <w:t>fourniss</w:t>
      </w:r>
      <w:r w:rsidR="003F2FC1" w:rsidRPr="007E1C53">
        <w:t>e</w:t>
      </w:r>
      <w:r w:rsidR="00FA1D9C" w:rsidRPr="007E1C53">
        <w:t xml:space="preserve">nt un accès gratuit ou à bas prix à plus </w:t>
      </w:r>
      <w:r w:rsidR="00940BD3" w:rsidRPr="007E1C53">
        <w:t>de</w:t>
      </w:r>
      <w:r w:rsidR="00940BD3">
        <w:t> </w:t>
      </w:r>
      <w:r w:rsidR="00940BD3" w:rsidRPr="007E1C53">
        <w:t>8000</w:t>
      </w:r>
      <w:r w:rsidR="00B57155" w:rsidRPr="007E1C53">
        <w:t> </w:t>
      </w:r>
      <w:r w:rsidR="00FA1D9C" w:rsidRPr="007E1C53">
        <w:t>revues scientifiques et techniques par abonnement et à plus de 34</w:t>
      </w:r>
      <w:r w:rsidR="00B57155" w:rsidRPr="007E1C53">
        <w:t> </w:t>
      </w:r>
      <w:r w:rsidR="00FA1D9C" w:rsidRPr="007E1C53">
        <w:t>000</w:t>
      </w:r>
      <w:r w:rsidR="00B57155" w:rsidRPr="007E1C53">
        <w:t> </w:t>
      </w:r>
      <w:r w:rsidR="00FA1D9C" w:rsidRPr="007E1C53">
        <w:t>livres électroniques et ouvrages de référence dans 125</w:t>
      </w:r>
      <w:r w:rsidR="00B57155" w:rsidRPr="007E1C53">
        <w:t> </w:t>
      </w:r>
      <w:r w:rsidR="00FA1D9C" w:rsidRPr="007E1C53">
        <w:t xml:space="preserve">pays en développement et </w:t>
      </w:r>
      <w:r w:rsidR="00FB6977" w:rsidRPr="007E1C53">
        <w:t>PMA</w:t>
      </w:r>
      <w:r w:rsidR="00FB6977">
        <w:t xml:space="preserve">.  </w:t>
      </w:r>
      <w:r w:rsidR="00FB6977" w:rsidRPr="007E1C53">
        <w:t>Il</w:t>
      </w:r>
      <w:r w:rsidR="005A5BED" w:rsidRPr="007E1C53">
        <w:t xml:space="preserve"> est également membre du partenariat</w:t>
      </w:r>
      <w:r w:rsidR="00B57155" w:rsidRPr="007E1C53">
        <w:t> </w:t>
      </w:r>
      <w:proofErr w:type="spellStart"/>
      <w:r w:rsidR="005A5BED" w:rsidRPr="007E1C53">
        <w:t>Research4Life</w:t>
      </w:r>
      <w:proofErr w:type="spellEnd"/>
      <w:r w:rsidR="003F2FC1" w:rsidRPr="007E1C53">
        <w:t>,</w:t>
      </w:r>
      <w:r w:rsidR="005A5BED" w:rsidRPr="007E1C53">
        <w:t xml:space="preserve"> ainsi que des programmes administrés par l</w:t>
      </w:r>
      <w:r w:rsidR="00940BD3">
        <w:t>’</w:t>
      </w:r>
      <w:r w:rsidR="005A5BED" w:rsidRPr="007E1C53">
        <w:t>Organisation mondiale de la Santé (OMS), l</w:t>
      </w:r>
      <w:r w:rsidR="00940BD3">
        <w:t>’</w:t>
      </w:r>
      <w:r w:rsidR="005A5BED" w:rsidRPr="007E1C53">
        <w:t xml:space="preserve">Organisation des </w:t>
      </w:r>
      <w:r w:rsidR="00940BD3">
        <w:t>Nations Unies</w:t>
      </w:r>
      <w:r w:rsidR="005A5BED" w:rsidRPr="007E1C53">
        <w:t xml:space="preserve"> pour l</w:t>
      </w:r>
      <w:r w:rsidR="00940BD3">
        <w:t>’</w:t>
      </w:r>
      <w:r w:rsidR="005A5BED" w:rsidRPr="007E1C53">
        <w:t>alimentation et l</w:t>
      </w:r>
      <w:r w:rsidR="00940BD3">
        <w:t>’</w:t>
      </w:r>
      <w:r w:rsidR="005A5BED" w:rsidRPr="007E1C53">
        <w:t>agriculture (FAO)</w:t>
      </w:r>
      <w:r w:rsidR="00C5279C" w:rsidRPr="007E1C53">
        <w:t>,</w:t>
      </w:r>
      <w:r w:rsidR="005A5BED" w:rsidRPr="007E1C53">
        <w:t xml:space="preserve"> le Programme des </w:t>
      </w:r>
      <w:r w:rsidR="00940BD3">
        <w:t>Nations Unies</w:t>
      </w:r>
      <w:r w:rsidR="005A5BED" w:rsidRPr="007E1C53">
        <w:t xml:space="preserve"> pour l</w:t>
      </w:r>
      <w:r w:rsidR="00940BD3">
        <w:t>’</w:t>
      </w:r>
      <w:r w:rsidR="005A5BED" w:rsidRPr="007E1C53">
        <w:t>environnement (</w:t>
      </w:r>
      <w:proofErr w:type="spellStart"/>
      <w:r w:rsidR="005A5BED" w:rsidRPr="007E1C53">
        <w:t>PNUE</w:t>
      </w:r>
      <w:proofErr w:type="spellEnd"/>
      <w:r w:rsidR="005A5BED" w:rsidRPr="007E1C53">
        <w:t>) et l</w:t>
      </w:r>
      <w:r w:rsidR="00940BD3">
        <w:t>’</w:t>
      </w:r>
      <w:r w:rsidR="005A5BED" w:rsidRPr="007E1C53">
        <w:t>Organisation internationale du Travail (OIT) qui proposent tous des contenus dans leurs domaines de spécialisation respecti</w:t>
      </w:r>
      <w:r w:rsidR="00FB6977" w:rsidRPr="007E1C53">
        <w:t>fs</w:t>
      </w:r>
      <w:r w:rsidR="00FB6977">
        <w:t xml:space="preserve">.  </w:t>
      </w:r>
      <w:r w:rsidR="00FB6977" w:rsidRPr="007E1C53">
        <w:t>Le</w:t>
      </w:r>
      <w:r w:rsidR="005A5BED" w:rsidRPr="007E1C53">
        <w:t xml:space="preserve"> nombre d</w:t>
      </w:r>
      <w:r w:rsidR="00940BD3">
        <w:t>’</w:t>
      </w:r>
      <w:r w:rsidR="005A5BED" w:rsidRPr="007E1C53">
        <w:t xml:space="preserve">institutions participant au programme </w:t>
      </w:r>
      <w:proofErr w:type="spellStart"/>
      <w:r w:rsidR="005A5BED" w:rsidRPr="007E1C53">
        <w:t>ARDI</w:t>
      </w:r>
      <w:proofErr w:type="spellEnd"/>
      <w:r w:rsidR="005A5BED" w:rsidRPr="007E1C53">
        <w:t xml:space="preserve"> </w:t>
      </w:r>
      <w:r w:rsidR="005A5BED" w:rsidRPr="007E1C53">
        <w:lastRenderedPageBreak/>
        <w:t>est passé à 2300 l</w:t>
      </w:r>
      <w:r w:rsidR="00940BD3">
        <w:t>’</w:t>
      </w:r>
      <w:r w:rsidR="005A5BED" w:rsidRPr="007E1C53">
        <w:t>année dernière (voir les chiffres ci</w:t>
      </w:r>
      <w:r w:rsidR="00940BD3">
        <w:t>-</w:t>
      </w:r>
      <w:r w:rsidR="005A5BED" w:rsidRPr="007E1C53">
        <w:t>desso</w:t>
      </w:r>
      <w:r w:rsidR="00FB6977" w:rsidRPr="007E1C53">
        <w:t>us)</w:t>
      </w:r>
      <w:r w:rsidR="00FB6977">
        <w:t xml:space="preserve">.  </w:t>
      </w:r>
      <w:r w:rsidR="00FB6977" w:rsidRPr="007E1C53">
        <w:t>Au</w:t>
      </w:r>
      <w:r w:rsidR="005A5BED" w:rsidRPr="007E1C53">
        <w:t xml:space="preserve"> total, plus de 10</w:t>
      </w:r>
      <w:r w:rsidR="00B57155" w:rsidRPr="007E1C53">
        <w:t> </w:t>
      </w:r>
      <w:r w:rsidR="005A5BED" w:rsidRPr="007E1C53">
        <w:t>000</w:t>
      </w:r>
      <w:r w:rsidR="00B57155" w:rsidRPr="007E1C53">
        <w:t> </w:t>
      </w:r>
      <w:r w:rsidR="005A5BED" w:rsidRPr="007E1C53">
        <w:t xml:space="preserve">institutions sont enregistrées auprès de </w:t>
      </w:r>
      <w:proofErr w:type="spellStart"/>
      <w:r w:rsidR="005A5BED" w:rsidRPr="007E1C53">
        <w:t>Research4Life</w:t>
      </w:r>
      <w:proofErr w:type="spellEnd"/>
      <w:r w:rsidR="005A5BED" w:rsidRPr="007E1C53">
        <w:t>, donnant accès à plus de 23</w:t>
      </w:r>
      <w:r w:rsidR="00B57155" w:rsidRPr="007E1C53">
        <w:t> </w:t>
      </w:r>
      <w:r w:rsidR="005A5BED" w:rsidRPr="007E1C53">
        <w:t>000</w:t>
      </w:r>
      <w:r w:rsidR="00B57155" w:rsidRPr="007E1C53">
        <w:t> </w:t>
      </w:r>
      <w:r w:rsidR="005A5BED" w:rsidRPr="007E1C53">
        <w:t>revues et plus de 86</w:t>
      </w:r>
      <w:r w:rsidR="00B57155" w:rsidRPr="007E1C53">
        <w:t> </w:t>
      </w:r>
      <w:r w:rsidR="005A5BED" w:rsidRPr="007E1C53">
        <w:t>000</w:t>
      </w:r>
      <w:r w:rsidR="00B57155" w:rsidRPr="007E1C53">
        <w:t> </w:t>
      </w:r>
      <w:r w:rsidR="005A5BED" w:rsidRPr="007E1C53">
        <w:t>livres et ouvrages de référence.</w:t>
      </w:r>
    </w:p>
    <w:p w:rsidR="009B6058" w:rsidRPr="007E1C53" w:rsidRDefault="00DD7399" w:rsidP="00A62E11">
      <w:pPr>
        <w:pStyle w:val="ONUMFS"/>
        <w:numPr>
          <w:ilvl w:val="0"/>
          <w:numId w:val="0"/>
        </w:numPr>
        <w:jc w:val="center"/>
        <w:rPr>
          <w:lang w:val="fr-CH"/>
        </w:rPr>
      </w:pPr>
      <w:bookmarkStart w:id="5" w:name="_GoBack"/>
      <w:r w:rsidRPr="007E1C53">
        <w:rPr>
          <w:noProof/>
          <w:lang w:val="en-US" w:eastAsia="en-US"/>
        </w:rPr>
        <w:drawing>
          <wp:inline distT="0" distB="0" distL="0" distR="0" wp14:anchorId="5D6C8099" wp14:editId="268E4E04">
            <wp:extent cx="5452281" cy="2299648"/>
            <wp:effectExtent l="0" t="0" r="15240" b="571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bookmarkEnd w:id="5"/>
    </w:p>
    <w:p w:rsidR="00A62E11" w:rsidRDefault="005A5BED" w:rsidP="00A62E11">
      <w:pPr>
        <w:pStyle w:val="ONUMFS"/>
      </w:pPr>
      <w:r w:rsidRPr="007E1C53">
        <w:t>Un autre programme de partenariat public</w:t>
      </w:r>
      <w:r w:rsidR="00940BD3">
        <w:t>-</w:t>
      </w:r>
      <w:r w:rsidRPr="007E1C53">
        <w:t>privé avec neuf des</w:t>
      </w:r>
      <w:r w:rsidR="003E6A1B" w:rsidRPr="007E1C53">
        <w:t xml:space="preserve"> plus grands</w:t>
      </w:r>
      <w:r w:rsidRPr="007E1C53">
        <w:t xml:space="preserve"> fournisseurs de bases de données sur les brevets </w:t>
      </w:r>
      <w:r w:rsidR="003E6A1B" w:rsidRPr="007E1C53">
        <w:t>au niveau m</w:t>
      </w:r>
      <w:r w:rsidRPr="007E1C53">
        <w:t>ondial, le programme relatif à l</w:t>
      </w:r>
      <w:r w:rsidR="00940BD3">
        <w:t>’</w:t>
      </w:r>
      <w:r w:rsidRPr="007E1C53">
        <w:t>accès à l</w:t>
      </w:r>
      <w:r w:rsidR="00940BD3">
        <w:t>’</w:t>
      </w:r>
      <w:r w:rsidRPr="007E1C53">
        <w:t>information spécialisée en matière de brevets (ASPI) de l</w:t>
      </w:r>
      <w:r w:rsidR="00940BD3">
        <w:t>’</w:t>
      </w:r>
      <w:proofErr w:type="spellStart"/>
      <w:r w:rsidRPr="007E1C53">
        <w:t>OMPI</w:t>
      </w:r>
      <w:proofErr w:type="spellEnd"/>
      <w:r w:rsidRPr="007E1C53">
        <w:t>, fournit un accès gratuit ou à bas prix à plus de 140 institutions inscrites de 51</w:t>
      </w:r>
      <w:r w:rsidR="00B57155" w:rsidRPr="007E1C53">
        <w:t> </w:t>
      </w:r>
      <w:r w:rsidRPr="007E1C53">
        <w:t xml:space="preserve">pays en développement et </w:t>
      </w:r>
      <w:r w:rsidR="003E6A1B" w:rsidRPr="007E1C53">
        <w:t>PMA</w:t>
      </w:r>
      <w:r w:rsidRPr="007E1C53">
        <w:t xml:space="preserve"> pour des services commerciaux de recherche et d</w:t>
      </w:r>
      <w:r w:rsidR="00940BD3">
        <w:t>’</w:t>
      </w:r>
      <w:r w:rsidRPr="007E1C53">
        <w:t>analyse en matière de breve</w:t>
      </w:r>
      <w:r w:rsidR="00FB6977" w:rsidRPr="007E1C53">
        <w:t>ts</w:t>
      </w:r>
      <w:r w:rsidR="00FB6977">
        <w:t xml:space="preserve">.  </w:t>
      </w:r>
      <w:r w:rsidR="00FB6977" w:rsidRPr="007E1C53">
        <w:t>Le</w:t>
      </w:r>
      <w:r w:rsidR="00F963BA" w:rsidRPr="007E1C53">
        <w:t>s bases de données commerciales sur les brevets fournissent des outils de recherche et d</w:t>
      </w:r>
      <w:r w:rsidR="00940BD3">
        <w:t>’</w:t>
      </w:r>
      <w:r w:rsidR="00F963BA" w:rsidRPr="007E1C53">
        <w:t>analyse plus sophistiqués que les bases de données gratuites sur les brevets.</w:t>
      </w:r>
    </w:p>
    <w:p w:rsidR="00A62E11" w:rsidRDefault="00F963BA" w:rsidP="00A62E11">
      <w:pPr>
        <w:pStyle w:val="ONUMFS"/>
      </w:pPr>
      <w:r w:rsidRPr="007E1C53">
        <w:t>Un autre programme dont le lancement par le Secrétariat a été guidé par les recommandations du Plan d</w:t>
      </w:r>
      <w:r w:rsidR="00940BD3">
        <w:t>’</w:t>
      </w:r>
      <w:r w:rsidRPr="007E1C53">
        <w:t>action de l</w:t>
      </w:r>
      <w:r w:rsidR="00940BD3">
        <w:t>’</w:t>
      </w:r>
      <w:proofErr w:type="spellStart"/>
      <w:r w:rsidRPr="007E1C53">
        <w:t>OMPI</w:t>
      </w:r>
      <w:proofErr w:type="spellEnd"/>
      <w:r w:rsidRPr="007E1C53">
        <w:t xml:space="preserve"> pour le développement est celui des centres d</w:t>
      </w:r>
      <w:r w:rsidR="00940BD3">
        <w:t>’</w:t>
      </w:r>
      <w:r w:rsidRPr="007E1C53">
        <w:t>appui à la technologie et à l</w:t>
      </w:r>
      <w:r w:rsidR="00940BD3">
        <w:t>’</w:t>
      </w:r>
      <w:r w:rsidRPr="007E1C53">
        <w:t>innovation (CATI).</w:t>
      </w:r>
      <w:r w:rsidR="00DD7399" w:rsidRPr="007E1C53">
        <w:t xml:space="preserve">  </w:t>
      </w:r>
      <w:r w:rsidR="007D7C24" w:rsidRPr="007E1C53">
        <w:t>Il vise à renforcer un aspect institutionnel de chaque pays afin d</w:t>
      </w:r>
      <w:r w:rsidR="00940BD3">
        <w:t>’</w:t>
      </w:r>
      <w:r w:rsidR="007D7C24" w:rsidRPr="007E1C53">
        <w:t xml:space="preserve">utiliser au mieux les données numériques sur la science, la technologie et la propriété intellectuelle et de </w:t>
      </w:r>
      <w:r w:rsidR="00C5279C" w:rsidRPr="007E1C53">
        <w:t>procéder à</w:t>
      </w:r>
      <w:r w:rsidR="007D7C24" w:rsidRPr="007E1C53">
        <w:t xml:space="preserve"> la recherche et </w:t>
      </w:r>
      <w:r w:rsidR="00C5279C" w:rsidRPr="007E1C53">
        <w:t xml:space="preserve">à </w:t>
      </w:r>
      <w:r w:rsidR="007D7C24" w:rsidRPr="007E1C53">
        <w:t>l</w:t>
      </w:r>
      <w:r w:rsidR="00940BD3">
        <w:t>’</w:t>
      </w:r>
      <w:r w:rsidR="007D7C24" w:rsidRPr="007E1C53">
        <w:t>extraction optimales de ces données.</w:t>
      </w:r>
    </w:p>
    <w:p w:rsidR="00940BD3" w:rsidRDefault="00356A1A" w:rsidP="00A62E11">
      <w:pPr>
        <w:pStyle w:val="ONUMFS"/>
      </w:pPr>
      <w:r w:rsidRPr="007E1C53">
        <w:t>Les CATI visent à promouvoir et à favoriser l</w:t>
      </w:r>
      <w:r w:rsidR="00940BD3">
        <w:t>’</w:t>
      </w:r>
      <w:r w:rsidRPr="007E1C53">
        <w:t>accès à l</w:t>
      </w:r>
      <w:r w:rsidR="00940BD3">
        <w:t>’</w:t>
      </w:r>
      <w:r w:rsidRPr="007E1C53">
        <w:t>information technologique et à fournir des services connexes d</w:t>
      </w:r>
      <w:r w:rsidR="00940BD3">
        <w:t>’</w:t>
      </w:r>
      <w:r w:rsidRPr="007E1C53">
        <w:t>appui à l</w:t>
      </w:r>
      <w:r w:rsidR="00940BD3">
        <w:t>’</w:t>
      </w:r>
      <w:r w:rsidRPr="007E1C53">
        <w:t xml:space="preserve">innovation, qui vont de la recherche technologique de base aux services </w:t>
      </w:r>
      <w:r w:rsidR="004E38B7" w:rsidRPr="007E1C53">
        <w:t>d</w:t>
      </w:r>
      <w:r w:rsidR="00940BD3">
        <w:t>’</w:t>
      </w:r>
      <w:r w:rsidRPr="007E1C53">
        <w:t>analy</w:t>
      </w:r>
      <w:r w:rsidR="004E38B7" w:rsidRPr="007E1C53">
        <w:t xml:space="preserve">se </w:t>
      </w:r>
      <w:r w:rsidRPr="007E1C53">
        <w:t>à valeur ajoutée destinés à aider les inventeurs, les chercheurs et les entrepreneurs à exploiter leur potentiel en matière d</w:t>
      </w:r>
      <w:r w:rsidR="00940BD3">
        <w:t>’</w:t>
      </w:r>
      <w:r w:rsidRPr="007E1C53">
        <w:t>innovati</w:t>
      </w:r>
      <w:r w:rsidR="00FB6977" w:rsidRPr="007E1C53">
        <w:t>on</w:t>
      </w:r>
      <w:r w:rsidR="00FB6977">
        <w:t xml:space="preserve">.  </w:t>
      </w:r>
      <w:r w:rsidR="00FB6977" w:rsidRPr="007E1C53">
        <w:t>De</w:t>
      </w:r>
      <w:r w:rsidRPr="007E1C53">
        <w:t xml:space="preserve">puis le lancement, </w:t>
      </w:r>
      <w:r w:rsidR="00940BD3" w:rsidRPr="007E1C53">
        <w:t>en</w:t>
      </w:r>
      <w:r w:rsidR="00940BD3">
        <w:t> </w:t>
      </w:r>
      <w:r w:rsidR="00940BD3" w:rsidRPr="007E1C53">
        <w:t>2009</w:t>
      </w:r>
      <w:r w:rsidRPr="007E1C53">
        <w:t>, du programme de l</w:t>
      </w:r>
      <w:r w:rsidR="00940BD3">
        <w:t>’</w:t>
      </w:r>
      <w:proofErr w:type="spellStart"/>
      <w:r w:rsidRPr="007E1C53">
        <w:t>OMPI</w:t>
      </w:r>
      <w:proofErr w:type="spellEnd"/>
      <w:r w:rsidRPr="007E1C53">
        <w:t xml:space="preserve"> consacré</w:t>
      </w:r>
      <w:r w:rsidR="00940BD3" w:rsidRPr="007E1C53">
        <w:t xml:space="preserve"> aux</w:t>
      </w:r>
      <w:r w:rsidR="00940BD3">
        <w:t> </w:t>
      </w:r>
      <w:r w:rsidR="00940BD3" w:rsidRPr="007E1C53">
        <w:t>CAT</w:t>
      </w:r>
      <w:r w:rsidRPr="007E1C53">
        <w:t xml:space="preserve">I, des projets nationaux ont été officiellement mis en </w:t>
      </w:r>
      <w:r w:rsidR="00BC6211" w:rsidRPr="007E1C53">
        <w:t xml:space="preserve">œuvre </w:t>
      </w:r>
      <w:r w:rsidRPr="007E1C53">
        <w:t>dans 80</w:t>
      </w:r>
      <w:r w:rsidR="00B57155" w:rsidRPr="007E1C53">
        <w:t> </w:t>
      </w:r>
      <w:r w:rsidRPr="007E1C53">
        <w:t xml:space="preserve">États membres avec </w:t>
      </w:r>
      <w:r w:rsidR="003E6A1B" w:rsidRPr="007E1C53">
        <w:t xml:space="preserve">presque </w:t>
      </w:r>
      <w:r w:rsidRPr="007E1C53">
        <w:t>900</w:t>
      </w:r>
      <w:r w:rsidR="00B57155" w:rsidRPr="007E1C53">
        <w:t> </w:t>
      </w:r>
      <w:r w:rsidRPr="007E1C53">
        <w:t>CATI situés dans des institutions telles que des universités et des centres de recherche et plus de 1,2</w:t>
      </w:r>
      <w:r w:rsidR="00B57155" w:rsidRPr="007E1C53">
        <w:t> </w:t>
      </w:r>
      <w:r w:rsidRPr="007E1C53">
        <w:t>million de demandes reçues l</w:t>
      </w:r>
      <w:r w:rsidR="00940BD3">
        <w:t>’</w:t>
      </w:r>
      <w:r w:rsidRPr="007E1C53">
        <w:t>an dernier.</w:t>
      </w:r>
    </w:p>
    <w:p w:rsidR="00940BD3" w:rsidRDefault="00B4466F" w:rsidP="00A62E11">
      <w:pPr>
        <w:pStyle w:val="ONUMFS"/>
      </w:pPr>
      <w:r w:rsidRPr="007E1C53">
        <w:t xml:space="preserve">Le nombre de types de services différents </w:t>
      </w:r>
      <w:r w:rsidR="003E6A1B" w:rsidRPr="007E1C53">
        <w:t>a</w:t>
      </w:r>
      <w:r w:rsidRPr="007E1C53">
        <w:t xml:space="preserve"> également </w:t>
      </w:r>
      <w:r w:rsidR="003E6A1B" w:rsidRPr="007E1C53">
        <w:t>augmenté</w:t>
      </w:r>
      <w:r w:rsidRPr="007E1C53">
        <w:t xml:space="preserve"> ces dernières années, allant du simple accès aux bases de données, </w:t>
      </w:r>
      <w:r w:rsidR="003E6A1B" w:rsidRPr="007E1C53">
        <w:t>avec</w:t>
      </w:r>
      <w:r w:rsidRPr="007E1C53">
        <w:t xml:space="preserve"> l</w:t>
      </w:r>
      <w:r w:rsidR="00940BD3">
        <w:t>’</w:t>
      </w:r>
      <w:r w:rsidRPr="007E1C53">
        <w:t>aide à la recherche et à l</w:t>
      </w:r>
      <w:r w:rsidR="00940BD3">
        <w:t>’</w:t>
      </w:r>
      <w:r w:rsidRPr="007E1C53">
        <w:t xml:space="preserve">analyse des </w:t>
      </w:r>
      <w:r w:rsidR="003E6A1B" w:rsidRPr="007E1C53">
        <w:t>résultats</w:t>
      </w:r>
      <w:r w:rsidRPr="007E1C53">
        <w:t>, à l</w:t>
      </w:r>
      <w:r w:rsidR="00940BD3">
        <w:t>’</w:t>
      </w:r>
      <w:r w:rsidRPr="007E1C53">
        <w:t>assistance et aux conseils en matière de gestion de la propriété intellectuelle pour la concession de licences, le transfert de technologies, la commercialisation, la rédaction et le traitement des demandes de brev</w:t>
      </w:r>
      <w:r w:rsidR="00FB6977" w:rsidRPr="007E1C53">
        <w:t>et</w:t>
      </w:r>
      <w:r w:rsidR="00FB6977">
        <w:t xml:space="preserve">.  </w:t>
      </w:r>
      <w:r w:rsidR="00FB6977" w:rsidRPr="007E1C53">
        <w:t>Le</w:t>
      </w:r>
      <w:r w:rsidRPr="007E1C53">
        <w:t>s chiffres ci</w:t>
      </w:r>
      <w:r w:rsidR="00940BD3">
        <w:t>-</w:t>
      </w:r>
      <w:r w:rsidRPr="007E1C53">
        <w:t>dessous montrent la croissance de ces différents services au cours des quatre</w:t>
      </w:r>
      <w:r w:rsidR="005274F0">
        <w:t> </w:t>
      </w:r>
      <w:r w:rsidRPr="007E1C53">
        <w:t>dernières années.</w:t>
      </w:r>
    </w:p>
    <w:p w:rsidR="009B6058" w:rsidRPr="007E1C53" w:rsidRDefault="00A62E11" w:rsidP="00A62E11">
      <w:pPr>
        <w:pStyle w:val="ONUMFS"/>
        <w:numPr>
          <w:ilvl w:val="0"/>
          <w:numId w:val="0"/>
        </w:numPr>
        <w:rPr>
          <w:lang w:val="fr-CH"/>
        </w:rPr>
      </w:pPr>
      <w:r w:rsidRPr="00A62E11">
        <w:rPr>
          <w:noProof/>
          <w:lang w:val="en-US" w:eastAsia="en-US"/>
        </w:rPr>
        <w:lastRenderedPageBreak/>
        <w:drawing>
          <wp:inline distT="0" distB="0" distL="0" distR="0">
            <wp:extent cx="5941060" cy="398932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1060" cy="3989320"/>
                    </a:xfrm>
                    <a:prstGeom prst="rect">
                      <a:avLst/>
                    </a:prstGeom>
                    <a:noFill/>
                    <a:ln>
                      <a:noFill/>
                    </a:ln>
                  </pic:spPr>
                </pic:pic>
              </a:graphicData>
            </a:graphic>
          </wp:inline>
        </w:drawing>
      </w:r>
    </w:p>
    <w:p w:rsidR="00940BD3" w:rsidRDefault="007C1FDE" w:rsidP="00965A90">
      <w:pPr>
        <w:pStyle w:val="ONUMFS"/>
      </w:pPr>
      <w:r w:rsidRPr="007E1C53">
        <w:t>La formation dispensée par l</w:t>
      </w:r>
      <w:r w:rsidR="00940BD3">
        <w:t>’</w:t>
      </w:r>
      <w:proofErr w:type="spellStart"/>
      <w:r w:rsidRPr="007E1C53">
        <w:t>OMPI</w:t>
      </w:r>
      <w:proofErr w:type="spellEnd"/>
      <w:r w:rsidRPr="007E1C53">
        <w:t xml:space="preserve"> favorise le développement des connaissances et des compétences du personnel</w:t>
      </w:r>
      <w:r w:rsidR="00940BD3" w:rsidRPr="007E1C53">
        <w:t xml:space="preserve"> des</w:t>
      </w:r>
      <w:r w:rsidR="00940BD3">
        <w:t> </w:t>
      </w:r>
      <w:r w:rsidR="00940BD3" w:rsidRPr="007E1C53">
        <w:t>CAT</w:t>
      </w:r>
      <w:r w:rsidRPr="007E1C53">
        <w:t>I en renforçant leur capacité à fournir un</w:t>
      </w:r>
      <w:r w:rsidR="00AF742B" w:rsidRPr="007E1C53">
        <w:t>e série</w:t>
      </w:r>
      <w:r w:rsidRPr="007E1C53">
        <w:t xml:space="preserve"> de services de quali</w:t>
      </w:r>
      <w:r w:rsidR="00FB6977" w:rsidRPr="007E1C53">
        <w:t>té</w:t>
      </w:r>
      <w:r w:rsidR="00FB6977">
        <w:t xml:space="preserve">.  </w:t>
      </w:r>
      <w:r w:rsidR="00FB6977" w:rsidRPr="007E1C53">
        <w:t>La</w:t>
      </w:r>
      <w:r w:rsidRPr="007E1C53">
        <w:t xml:space="preserve"> formation comprend des ateliers et des séminaires sur place, l</w:t>
      </w:r>
      <w:r w:rsidR="00940BD3">
        <w:t>’</w:t>
      </w:r>
      <w:r w:rsidRPr="007E1C53">
        <w:t>accent étant mis sur la formation des formateurs et l</w:t>
      </w:r>
      <w:r w:rsidR="00940BD3">
        <w:t>’</w:t>
      </w:r>
      <w:r w:rsidRPr="007E1C53">
        <w:t>apprentissage à distance effectué en coopération avec l</w:t>
      </w:r>
      <w:r w:rsidR="00940BD3">
        <w:t>’</w:t>
      </w:r>
      <w:r w:rsidRPr="007E1C53">
        <w:t>Académie de l</w:t>
      </w:r>
      <w:r w:rsidR="00940BD3">
        <w:t>’</w:t>
      </w:r>
      <w:proofErr w:type="spellStart"/>
      <w:r w:rsidRPr="007E1C53">
        <w:t>O</w:t>
      </w:r>
      <w:r w:rsidR="00FB6977" w:rsidRPr="007E1C53">
        <w:t>MPI</w:t>
      </w:r>
      <w:proofErr w:type="spellEnd"/>
      <w:r w:rsidR="00FB6977">
        <w:t xml:space="preserve">.  </w:t>
      </w:r>
      <w:r w:rsidR="00FB6977" w:rsidRPr="007E1C53">
        <w:t>Le</w:t>
      </w:r>
      <w:r w:rsidR="00822541" w:rsidRPr="007E1C53">
        <w:t>s sujets traités incluent</w:t>
      </w:r>
      <w:r w:rsidR="00940BD3">
        <w:t> :</w:t>
      </w:r>
      <w:r w:rsidR="00822541" w:rsidRPr="007E1C53">
        <w:t xml:space="preserve"> les notions de base et les compétences en matière de recherche de </w:t>
      </w:r>
      <w:proofErr w:type="gramStart"/>
      <w:r w:rsidR="00822541" w:rsidRPr="007E1C53">
        <w:t>brevets;  les</w:t>
      </w:r>
      <w:proofErr w:type="gramEnd"/>
      <w:r w:rsidR="00822541" w:rsidRPr="007E1C53">
        <w:t xml:space="preserve"> différents types de recherche en matière de brevets, </w:t>
      </w:r>
      <w:r w:rsidR="00940BD3">
        <w:t>y compris</w:t>
      </w:r>
      <w:r w:rsidR="00822541" w:rsidRPr="007E1C53">
        <w:t xml:space="preserve"> l</w:t>
      </w:r>
      <w:r w:rsidR="00940BD3">
        <w:t>’</w:t>
      </w:r>
      <w:r w:rsidR="00822541" w:rsidRPr="007E1C53">
        <w:t>état de la technique, la nouveauté et la liberté d</w:t>
      </w:r>
      <w:r w:rsidR="00940BD3">
        <w:t>’</w:t>
      </w:r>
      <w:r w:rsidR="00822541" w:rsidRPr="007E1C53">
        <w:t>exploitation;  ainsi que l</w:t>
      </w:r>
      <w:r w:rsidR="00940BD3">
        <w:t>’</w:t>
      </w:r>
      <w:r w:rsidR="00822541" w:rsidRPr="007E1C53">
        <w:t>analyse des breve</w:t>
      </w:r>
      <w:r w:rsidR="00FB6977" w:rsidRPr="007E1C53">
        <w:t>ts</w:t>
      </w:r>
      <w:r w:rsidR="00FB6977">
        <w:t xml:space="preserve">.  </w:t>
      </w:r>
      <w:r w:rsidR="00FB6977" w:rsidRPr="007E1C53">
        <w:t>Le</w:t>
      </w:r>
      <w:r w:rsidR="00822541" w:rsidRPr="007E1C53">
        <w:t>s chiffres ci</w:t>
      </w:r>
      <w:r w:rsidR="00940BD3">
        <w:t>-</w:t>
      </w:r>
      <w:r w:rsidR="00822541" w:rsidRPr="007E1C53">
        <w:t>dessous indiquent le nombre de conférences nationales et régionales tenues au cours des dernières années.</w:t>
      </w:r>
    </w:p>
    <w:p w:rsidR="009B6058" w:rsidRPr="007E1C53" w:rsidRDefault="00CD16C2" w:rsidP="00CD16C2">
      <w:pPr>
        <w:pStyle w:val="ONUMFS"/>
        <w:numPr>
          <w:ilvl w:val="0"/>
          <w:numId w:val="0"/>
        </w:numPr>
        <w:rPr>
          <w:lang w:val="fr-CH"/>
        </w:rPr>
      </w:pPr>
      <w:r w:rsidRPr="00CD16C2">
        <w:rPr>
          <w:noProof/>
          <w:lang w:val="en-US" w:eastAsia="en-US"/>
        </w:rPr>
        <w:drawing>
          <wp:inline distT="0" distB="0" distL="0" distR="0">
            <wp:extent cx="5941060" cy="1771895"/>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41060" cy="1771895"/>
                    </a:xfrm>
                    <a:prstGeom prst="rect">
                      <a:avLst/>
                    </a:prstGeom>
                    <a:noFill/>
                    <a:ln>
                      <a:noFill/>
                    </a:ln>
                  </pic:spPr>
                </pic:pic>
              </a:graphicData>
            </a:graphic>
          </wp:inline>
        </w:drawing>
      </w:r>
    </w:p>
    <w:p w:rsidR="00940BD3" w:rsidRDefault="00822541" w:rsidP="00CD16C2">
      <w:pPr>
        <w:pStyle w:val="ONUMFS"/>
      </w:pPr>
      <w:r w:rsidRPr="007E1C53">
        <w:t>Un certain nombre de publications et de ressources d</w:t>
      </w:r>
      <w:r w:rsidR="00940BD3">
        <w:t>’</w:t>
      </w:r>
      <w:r w:rsidRPr="007E1C53">
        <w:t>apprentissage ont été mises au point pour les utilisateurs de l</w:t>
      </w:r>
      <w:r w:rsidR="00940BD3">
        <w:t>’</w:t>
      </w:r>
      <w:r w:rsidRPr="007E1C53">
        <w:t>information en matière de brevets en général et pour le personnel</w:t>
      </w:r>
      <w:r w:rsidR="00940BD3" w:rsidRPr="007E1C53">
        <w:t xml:space="preserve"> des</w:t>
      </w:r>
      <w:r w:rsidR="00940BD3">
        <w:t> </w:t>
      </w:r>
      <w:r w:rsidR="00940BD3" w:rsidRPr="007E1C53">
        <w:t>CAT</w:t>
      </w:r>
      <w:r w:rsidRPr="007E1C53">
        <w:t>I en particulier,</w:t>
      </w:r>
      <w:r w:rsidR="00222924" w:rsidRPr="007E1C53">
        <w:t xml:space="preserve"> pour leur permettre</w:t>
      </w:r>
      <w:r w:rsidRPr="007E1C53">
        <w:t xml:space="preserve"> d</w:t>
      </w:r>
      <w:r w:rsidR="00940BD3">
        <w:t>’</w:t>
      </w:r>
      <w:r w:rsidRPr="007E1C53">
        <w:t xml:space="preserve">accéder aux technologies </w:t>
      </w:r>
      <w:r w:rsidR="00277618" w:rsidRPr="007E1C53">
        <w:t>identifiées</w:t>
      </w:r>
      <w:r w:rsidRPr="007E1C53">
        <w:t xml:space="preserve"> dans les bases de données et de les utiliser pour mettre au point des produits et des services à commercialis</w:t>
      </w:r>
      <w:r w:rsidR="00FB6977" w:rsidRPr="007E1C53">
        <w:t>er</w:t>
      </w:r>
      <w:r w:rsidR="00FB6977">
        <w:t xml:space="preserve">.  </w:t>
      </w:r>
      <w:r w:rsidR="00FB6977" w:rsidRPr="007E1C53">
        <w:t>Ce</w:t>
      </w:r>
      <w:r w:rsidR="00D7762E" w:rsidRPr="007E1C53">
        <w:t xml:space="preserve">s ressources incluent un didacticiel </w:t>
      </w:r>
      <w:r w:rsidR="00222924" w:rsidRPr="007E1C53">
        <w:t xml:space="preserve">interactif </w:t>
      </w:r>
      <w:r w:rsidR="00D7762E" w:rsidRPr="007E1C53">
        <w:t>en ligne pour aider les innovateurs à utiliser la quantité considérable d</w:t>
      </w:r>
      <w:r w:rsidR="00940BD3">
        <w:t>’</w:t>
      </w:r>
      <w:r w:rsidR="00D7762E" w:rsidRPr="007E1C53">
        <w:t xml:space="preserve">informations techniques disponibles dans les documents de brevet, ainsi que </w:t>
      </w:r>
      <w:r w:rsidR="00277618" w:rsidRPr="007E1C53">
        <w:t xml:space="preserve">des </w:t>
      </w:r>
      <w:r w:rsidR="00D7762E" w:rsidRPr="007E1C53">
        <w:t>guides d</w:t>
      </w:r>
      <w:r w:rsidR="00940BD3">
        <w:t>’</w:t>
      </w:r>
      <w:r w:rsidR="00D7762E" w:rsidRPr="007E1C53">
        <w:t>identification et d</w:t>
      </w:r>
      <w:r w:rsidR="00940BD3">
        <w:t>’</w:t>
      </w:r>
      <w:r w:rsidR="00D7762E" w:rsidRPr="007E1C53">
        <w:t xml:space="preserve">exploitation des inventions </w:t>
      </w:r>
      <w:r w:rsidR="00D7762E" w:rsidRPr="007E1C53">
        <w:lastRenderedPageBreak/>
        <w:t>relevant du domaine public, grâce à des recherches sur la liberté d</w:t>
      </w:r>
      <w:r w:rsidR="00940BD3">
        <w:t>’</w:t>
      </w:r>
      <w:r w:rsidR="00D7762E" w:rsidRPr="007E1C53">
        <w:t>exploitation et à des processus de création de nouveaux produits.</w:t>
      </w:r>
    </w:p>
    <w:p w:rsidR="00CD16C2" w:rsidRDefault="00E9131C" w:rsidP="00CD16C2">
      <w:pPr>
        <w:pStyle w:val="ONUMFS"/>
      </w:pPr>
      <w:r w:rsidRPr="007E1C53">
        <w:t>De plus, les cartographies de brevets fournissent des informations techniques et commerciales pertinentes pour une technologie spécifique dans une région ou un pays donné afin de contribuer à des discussions de politique générale éclairées, à la planification stratégique de la recherche ou au transfert de technologi</w:t>
      </w:r>
      <w:r w:rsidR="00FB6977" w:rsidRPr="007E1C53">
        <w:t>es</w:t>
      </w:r>
      <w:r w:rsidR="00FB6977">
        <w:t xml:space="preserve">.  </w:t>
      </w:r>
      <w:r w:rsidR="00FB6977" w:rsidRPr="007E1C53">
        <w:t>Un</w:t>
      </w:r>
      <w:r w:rsidRPr="007E1C53">
        <w:t>e base de données consultable contient plus de 215</w:t>
      </w:r>
      <w:r w:rsidR="00B57155" w:rsidRPr="007E1C53">
        <w:t> </w:t>
      </w:r>
      <w:r w:rsidRPr="007E1C53">
        <w:t>cartographies de brevets de l</w:t>
      </w:r>
      <w:r w:rsidR="00940BD3">
        <w:t>’</w:t>
      </w:r>
      <w:proofErr w:type="spellStart"/>
      <w:r w:rsidRPr="007E1C53">
        <w:t>OMPI</w:t>
      </w:r>
      <w:proofErr w:type="spellEnd"/>
      <w:r w:rsidRPr="007E1C53">
        <w:t xml:space="preserve"> et d</w:t>
      </w:r>
      <w:r w:rsidR="00940BD3">
        <w:t>’</w:t>
      </w:r>
      <w:r w:rsidRPr="007E1C53">
        <w:t>autres organisatio</w:t>
      </w:r>
      <w:r w:rsidR="00FB6977" w:rsidRPr="007E1C53">
        <w:t>ns</w:t>
      </w:r>
      <w:r w:rsidR="00FB6977">
        <w:t xml:space="preserve">.  </w:t>
      </w:r>
      <w:r w:rsidR="00FB6977" w:rsidRPr="007E1C53">
        <w:t>Le</w:t>
      </w:r>
      <w:r w:rsidRPr="007E1C53">
        <w:t>s cartographies de brevets établies entre 2011 et 2018 suscitent l</w:t>
      </w:r>
      <w:r w:rsidR="00940BD3">
        <w:t>’</w:t>
      </w:r>
      <w:r w:rsidRPr="007E1C53">
        <w:t>intérêt des utilisateurs de l</w:t>
      </w:r>
      <w:r w:rsidR="00940BD3">
        <w:t>’</w:t>
      </w:r>
      <w:r w:rsidRPr="007E1C53">
        <w:t xml:space="preserve">information en matière de brevets </w:t>
      </w:r>
      <w:r w:rsidR="00222924" w:rsidRPr="007E1C53">
        <w:t>qui ont effectué</w:t>
      </w:r>
      <w:r w:rsidRPr="007E1C53">
        <w:t xml:space="preserve"> 40 096</w:t>
      </w:r>
      <w:r w:rsidR="00B57155" w:rsidRPr="007E1C53">
        <w:t> </w:t>
      </w:r>
      <w:r w:rsidRPr="007E1C53">
        <w:t xml:space="preserve">téléchargements en format PDF </w:t>
      </w:r>
      <w:r w:rsidR="00940BD3" w:rsidRPr="007E1C53">
        <w:t>en</w:t>
      </w:r>
      <w:r w:rsidR="00940BD3">
        <w:t> </w:t>
      </w:r>
      <w:r w:rsidR="00940BD3" w:rsidRPr="007E1C53">
        <w:t>2019</w:t>
      </w:r>
      <w:r w:rsidRPr="007E1C53">
        <w:t>.</w:t>
      </w:r>
      <w:r w:rsidR="00DD7399" w:rsidRPr="007E1C53">
        <w:t xml:space="preserve">  </w:t>
      </w:r>
      <w:r w:rsidRPr="007E1C53">
        <w:t>Afin de renforcer les capacités</w:t>
      </w:r>
      <w:r w:rsidR="00940BD3" w:rsidRPr="007E1C53">
        <w:t xml:space="preserve"> des</w:t>
      </w:r>
      <w:r w:rsidR="00940BD3">
        <w:t> </w:t>
      </w:r>
      <w:r w:rsidR="00940BD3" w:rsidRPr="007E1C53">
        <w:t>CAT</w:t>
      </w:r>
      <w:r w:rsidRPr="007E1C53">
        <w:t>I à fournir des services d</w:t>
      </w:r>
      <w:r w:rsidR="00940BD3">
        <w:t>’</w:t>
      </w:r>
      <w:r w:rsidRPr="007E1C53">
        <w:t>analyse des brevets, des orientations pour la rédaction des cartographies de brevets, un manuel sur l</w:t>
      </w:r>
      <w:r w:rsidR="00940BD3">
        <w:t>’</w:t>
      </w:r>
      <w:r w:rsidRPr="007E1C53">
        <w:t>utilisation d</w:t>
      </w:r>
      <w:r w:rsidR="00940BD3">
        <w:t>’</w:t>
      </w:r>
      <w:r w:rsidR="00222924" w:rsidRPr="007E1C53">
        <w:t>outils open</w:t>
      </w:r>
      <w:r w:rsidR="005274F0">
        <w:t>-</w:t>
      </w:r>
      <w:r w:rsidR="00222924" w:rsidRPr="007E1C53">
        <w:t>source</w:t>
      </w:r>
      <w:r w:rsidRPr="007E1C53">
        <w:t xml:space="preserve"> aux fins de l</w:t>
      </w:r>
      <w:r w:rsidR="00940BD3">
        <w:t>’</w:t>
      </w:r>
      <w:r w:rsidRPr="007E1C53">
        <w:t>analyse des brevets et un manuel sur l</w:t>
      </w:r>
      <w:r w:rsidR="00940BD3">
        <w:t>’</w:t>
      </w:r>
      <w:r w:rsidRPr="007E1C53">
        <w:t xml:space="preserve">analyse des brevets ont été mis au point </w:t>
      </w:r>
      <w:r w:rsidR="00277618" w:rsidRPr="007E1C53">
        <w:t xml:space="preserve">pour servir de </w:t>
      </w:r>
      <w:r w:rsidRPr="007E1C53">
        <w:t>matériel de formation supplémentaire sur l</w:t>
      </w:r>
      <w:r w:rsidR="00940BD3">
        <w:t>’</w:t>
      </w:r>
      <w:r w:rsidRPr="007E1C53">
        <w:t>analyse des brevets.</w:t>
      </w:r>
    </w:p>
    <w:p w:rsidR="009B6058" w:rsidRPr="007E1C53" w:rsidRDefault="00E9131C" w:rsidP="00CD16C2">
      <w:pPr>
        <w:pStyle w:val="ONUMFS"/>
      </w:pPr>
      <w:r w:rsidRPr="007E1C53">
        <w:t>Le premier numéro de la nouvelle publication phare de l</w:t>
      </w:r>
      <w:r w:rsidR="00940BD3">
        <w:t>’</w:t>
      </w:r>
      <w:proofErr w:type="spellStart"/>
      <w:r w:rsidRPr="007E1C53">
        <w:t>OMPI</w:t>
      </w:r>
      <w:proofErr w:type="spellEnd"/>
      <w:r w:rsidRPr="007E1C53">
        <w:t xml:space="preserve"> sur les tendances technologiques (WITT) fondée sur l</w:t>
      </w:r>
      <w:r w:rsidR="00940BD3">
        <w:t>’</w:t>
      </w:r>
      <w:r w:rsidRPr="007E1C53">
        <w:t xml:space="preserve">analyse des brevets, </w:t>
      </w:r>
      <w:r w:rsidR="006C512D" w:rsidRPr="007E1C53">
        <w:t xml:space="preserve">numéro qui est </w:t>
      </w:r>
      <w:r w:rsidRPr="007E1C53">
        <w:t>consacré à l</w:t>
      </w:r>
      <w:r w:rsidR="00940BD3">
        <w:t>’</w:t>
      </w:r>
      <w:r w:rsidRPr="007E1C53">
        <w:t>intelligence artificielle, a été publié le 31</w:t>
      </w:r>
      <w:r w:rsidR="00B57155" w:rsidRPr="007E1C53">
        <w:t> </w:t>
      </w:r>
      <w:r w:rsidRPr="007E1C53">
        <w:t>janvier</w:t>
      </w:r>
      <w:r w:rsidR="00B57155" w:rsidRPr="007E1C53">
        <w:t> </w:t>
      </w:r>
      <w:r w:rsidRPr="007E1C53">
        <w:t>2019.</w:t>
      </w:r>
      <w:r w:rsidR="00DD7399" w:rsidRPr="007E1C53">
        <w:t xml:space="preserve">  </w:t>
      </w:r>
      <w:r w:rsidRPr="007E1C53">
        <w:t>Cette nouvelle publication est fondée sur une cartographie de brevets et enrichie par des données non</w:t>
      </w:r>
      <w:r w:rsidR="00940BD3">
        <w:t>-</w:t>
      </w:r>
      <w:r w:rsidRPr="007E1C53">
        <w:t>brevet et des contributions de grands experts mondiaux sur les sujets trait</w:t>
      </w:r>
      <w:r w:rsidR="00FB6977" w:rsidRPr="007E1C53">
        <w:t>és</w:t>
      </w:r>
      <w:r w:rsidR="00FB6977">
        <w:t xml:space="preserve">.  </w:t>
      </w:r>
      <w:r w:rsidR="00FB6977" w:rsidRPr="007E1C53">
        <w:t>El</w:t>
      </w:r>
      <w:r w:rsidR="00292378" w:rsidRPr="007E1C53">
        <w:t>le fournit aux décideurs en matière d</w:t>
      </w:r>
      <w:r w:rsidR="00940BD3">
        <w:t>’</w:t>
      </w:r>
      <w:r w:rsidR="00292378" w:rsidRPr="007E1C53">
        <w:t>innovation et de politique une vue d</w:t>
      </w:r>
      <w:r w:rsidR="00940BD3">
        <w:t>’</w:t>
      </w:r>
      <w:r w:rsidR="00292378" w:rsidRPr="007E1C53">
        <w:t>ensemble des technologies concernées, en la mettant en contexte avec les débats politiques et d</w:t>
      </w:r>
      <w:r w:rsidR="00940BD3">
        <w:t>’</w:t>
      </w:r>
      <w:r w:rsidR="00292378" w:rsidRPr="007E1C53">
        <w:t>autres questions connexes, favorisant ainsi une approche plus globale de la prise de décisi</w:t>
      </w:r>
      <w:r w:rsidR="00FB6977" w:rsidRPr="007E1C53">
        <w:t>on</w:t>
      </w:r>
      <w:r w:rsidR="00FB6977">
        <w:t xml:space="preserve">.  </w:t>
      </w:r>
      <w:r w:rsidR="00FB6977" w:rsidRPr="007E1C53">
        <w:t>En</w:t>
      </w:r>
      <w:r w:rsidR="00292378" w:rsidRPr="007E1C53">
        <w:t xml:space="preserve"> outre, la publication présentait les technologies d</w:t>
      </w:r>
      <w:r w:rsidR="00940BD3">
        <w:t>’</w:t>
      </w:r>
      <w:r w:rsidR="00292378" w:rsidRPr="007E1C53">
        <w:t>une manière compréhensible pour un public non averti ayant besoin de maîtriser certaines questions techniques, tout en fournissant une méthode de pointe pour la recherche en matière de brevets dans le domaine concer</w:t>
      </w:r>
      <w:r w:rsidR="00FB6977" w:rsidRPr="007E1C53">
        <w:t>né</w:t>
      </w:r>
      <w:r w:rsidR="00FB6977">
        <w:t xml:space="preserve">.  </w:t>
      </w:r>
      <w:r w:rsidR="00FB6977" w:rsidRPr="007E1C53">
        <w:t>Le</w:t>
      </w:r>
      <w:r w:rsidR="00292378" w:rsidRPr="007E1C53">
        <w:t xml:space="preserve"> premier numéro de la publication de l</w:t>
      </w:r>
      <w:r w:rsidR="00940BD3">
        <w:t>’</w:t>
      </w:r>
      <w:proofErr w:type="spellStart"/>
      <w:r w:rsidR="00292378" w:rsidRPr="007E1C53">
        <w:t>OMPI</w:t>
      </w:r>
      <w:proofErr w:type="spellEnd"/>
      <w:r w:rsidR="00292378" w:rsidRPr="007E1C53">
        <w:t xml:space="preserve"> sur les tendances technologiques a été téléchargé 96</w:t>
      </w:r>
      <w:r w:rsidR="00B57155" w:rsidRPr="007E1C53">
        <w:t> </w:t>
      </w:r>
      <w:r w:rsidR="00292378" w:rsidRPr="007E1C53">
        <w:t>907</w:t>
      </w:r>
      <w:r w:rsidR="00B57155" w:rsidRPr="007E1C53">
        <w:t> </w:t>
      </w:r>
      <w:r w:rsidR="00292378" w:rsidRPr="007E1C53">
        <w:t xml:space="preserve">fois </w:t>
      </w:r>
      <w:r w:rsidR="00940BD3" w:rsidRPr="007E1C53">
        <w:t>en</w:t>
      </w:r>
      <w:r w:rsidR="00940BD3">
        <w:t> </w:t>
      </w:r>
      <w:r w:rsidR="00940BD3" w:rsidRPr="007E1C53">
        <w:t>2019</w:t>
      </w:r>
      <w:r w:rsidR="002F2AAA" w:rsidRPr="007E1C53">
        <w:t xml:space="preserve"> et a re</w:t>
      </w:r>
      <w:r w:rsidR="00292378" w:rsidRPr="007E1C53">
        <w:t>présenté l</w:t>
      </w:r>
      <w:r w:rsidR="00940BD3">
        <w:t>’</w:t>
      </w:r>
      <w:r w:rsidR="00292378" w:rsidRPr="007E1C53">
        <w:t>une des publications de l</w:t>
      </w:r>
      <w:r w:rsidR="00940BD3">
        <w:t>’</w:t>
      </w:r>
      <w:proofErr w:type="spellStart"/>
      <w:r w:rsidR="00292378" w:rsidRPr="007E1C53">
        <w:t>OMPI</w:t>
      </w:r>
      <w:proofErr w:type="spellEnd"/>
      <w:r w:rsidR="00292378" w:rsidRPr="007E1C53">
        <w:t xml:space="preserve"> les plus c</w:t>
      </w:r>
      <w:r w:rsidR="00D73650" w:rsidRPr="007E1C53">
        <w:t xml:space="preserve">itées, alors que la rédaction </w:t>
      </w:r>
      <w:r w:rsidR="006C512D" w:rsidRPr="007E1C53">
        <w:t>du</w:t>
      </w:r>
      <w:r w:rsidR="00292378" w:rsidRPr="007E1C53">
        <w:t xml:space="preserve"> deuxième numéro</w:t>
      </w:r>
      <w:r w:rsidR="006C512D" w:rsidRPr="007E1C53">
        <w:t xml:space="preserve">, qui est </w:t>
      </w:r>
      <w:r w:rsidR="00292378" w:rsidRPr="007E1C53">
        <w:t>consacr</w:t>
      </w:r>
      <w:r w:rsidR="00D73650" w:rsidRPr="007E1C53">
        <w:t>é aux technologies d</w:t>
      </w:r>
      <w:r w:rsidR="00940BD3">
        <w:t>’</w:t>
      </w:r>
      <w:r w:rsidR="00D73650" w:rsidRPr="007E1C53">
        <w:t>assistance</w:t>
      </w:r>
      <w:r w:rsidR="006C512D" w:rsidRPr="007E1C53">
        <w:t xml:space="preserve"> et</w:t>
      </w:r>
      <w:r w:rsidR="00292378" w:rsidRPr="007E1C53">
        <w:t xml:space="preserve"> sera publié </w:t>
      </w:r>
      <w:r w:rsidR="00940BD3" w:rsidRPr="007E1C53">
        <w:t>en</w:t>
      </w:r>
      <w:r w:rsidR="00940BD3">
        <w:t> </w:t>
      </w:r>
      <w:r w:rsidR="00940BD3" w:rsidRPr="007E1C53">
        <w:t>2020</w:t>
      </w:r>
      <w:r w:rsidR="00292378" w:rsidRPr="007E1C53">
        <w:t xml:space="preserve">, a commencé </w:t>
      </w:r>
      <w:r w:rsidR="00940BD3" w:rsidRPr="007E1C53">
        <w:t>en</w:t>
      </w:r>
      <w:r w:rsidR="00940BD3">
        <w:t> </w:t>
      </w:r>
      <w:r w:rsidR="00940BD3" w:rsidRPr="007E1C53">
        <w:t>2019</w:t>
      </w:r>
      <w:r w:rsidR="00292378" w:rsidRPr="007E1C53">
        <w:t>.</w:t>
      </w:r>
    </w:p>
    <w:p w:rsidR="00940BD3" w:rsidRDefault="00292378" w:rsidP="00CD16C2">
      <w:pPr>
        <w:pStyle w:val="Heading5"/>
      </w:pPr>
      <w:r w:rsidRPr="007E1C53">
        <w:t>Nouvelles technologies telles que l</w:t>
      </w:r>
      <w:r w:rsidR="00940BD3">
        <w:t>’</w:t>
      </w:r>
      <w:r w:rsidRPr="007E1C53">
        <w:t>intelligence artificielle et l</w:t>
      </w:r>
      <w:r w:rsidR="00940BD3">
        <w:t>’</w:t>
      </w:r>
      <w:r w:rsidRPr="007E1C53">
        <w:t>approche non exclusive de l</w:t>
      </w:r>
      <w:r w:rsidR="00940BD3">
        <w:t>’</w:t>
      </w:r>
      <w:proofErr w:type="spellStart"/>
      <w:r w:rsidRPr="007E1C53">
        <w:t>OMPI</w:t>
      </w:r>
      <w:proofErr w:type="spellEnd"/>
    </w:p>
    <w:p w:rsidR="00CD16C2" w:rsidRDefault="00612B1A" w:rsidP="00CD16C2">
      <w:pPr>
        <w:pStyle w:val="ONUMFS"/>
      </w:pPr>
      <w:r w:rsidRPr="007E1C53">
        <w:t>L</w:t>
      </w:r>
      <w:r w:rsidR="00940BD3">
        <w:t>’</w:t>
      </w:r>
      <w:proofErr w:type="spellStart"/>
      <w:r w:rsidRPr="007E1C53">
        <w:t>OMPI</w:t>
      </w:r>
      <w:proofErr w:type="spellEnd"/>
      <w:r w:rsidRPr="007E1C53">
        <w:t xml:space="preserve"> est déterminée à contribuer à la réduction de la fracture numérique mondiale, qui se creuse en raison de l</w:t>
      </w:r>
      <w:r w:rsidR="00940BD3">
        <w:t>’</w:t>
      </w:r>
      <w:r w:rsidRPr="007E1C53">
        <w:t xml:space="preserve">utilisation accélérée de nouvelles technologies </w:t>
      </w:r>
      <w:r w:rsidR="003F0B93" w:rsidRPr="007E1C53">
        <w:t>comme</w:t>
      </w:r>
      <w:r w:rsidRPr="007E1C53">
        <w:t xml:space="preserve"> l</w:t>
      </w:r>
      <w:r w:rsidR="00940BD3">
        <w:t>’</w:t>
      </w:r>
      <w:r w:rsidRPr="007E1C53">
        <w:t>intelligence artificiel</w:t>
      </w:r>
      <w:r w:rsidR="00FB6977" w:rsidRPr="007E1C53">
        <w:t>le</w:t>
      </w:r>
      <w:r w:rsidR="00FB6977">
        <w:t xml:space="preserve">.  </w:t>
      </w:r>
      <w:r w:rsidR="00FB6977" w:rsidRPr="007E1C53">
        <w:t>En</w:t>
      </w:r>
      <w:r w:rsidR="002F2AAA" w:rsidRPr="007E1C53">
        <w:t xml:space="preserve"> investissant dans une intelligence artificielle innovante pour améliorer l</w:t>
      </w:r>
      <w:r w:rsidR="00940BD3">
        <w:t>’</w:t>
      </w:r>
      <w:r w:rsidR="002F2AAA" w:rsidRPr="007E1C53">
        <w:t xml:space="preserve">administration de la propriété intellectuelle, </w:t>
      </w:r>
      <w:r w:rsidR="006C512D" w:rsidRPr="007E1C53">
        <w:t>elle</w:t>
      </w:r>
      <w:r w:rsidR="002F2AAA" w:rsidRPr="007E1C53">
        <w:t xml:space="preserve"> a mis au point une série d</w:t>
      </w:r>
      <w:r w:rsidR="00940BD3">
        <w:t>’</w:t>
      </w:r>
      <w:r w:rsidR="002F2AAA" w:rsidRPr="007E1C53">
        <w:t>outils d</w:t>
      </w:r>
      <w:r w:rsidR="00940BD3">
        <w:t>’</w:t>
      </w:r>
      <w:r w:rsidR="002F2AAA" w:rsidRPr="007E1C53">
        <w:t>intelligence artificielle qui répondent aux normes les plus élevées.</w:t>
      </w:r>
      <w:r w:rsidR="005F5BDC" w:rsidRPr="007E1C53">
        <w:t xml:space="preserve">  </w:t>
      </w:r>
      <w:r w:rsidR="002F2AAA" w:rsidRPr="007E1C53">
        <w:t>L</w:t>
      </w:r>
      <w:r w:rsidR="00940BD3">
        <w:t>’</w:t>
      </w:r>
      <w:proofErr w:type="spellStart"/>
      <w:r w:rsidR="002F2AAA" w:rsidRPr="007E1C53">
        <w:t>OMPI</w:t>
      </w:r>
      <w:proofErr w:type="spellEnd"/>
      <w:r w:rsidR="002F2AAA" w:rsidRPr="007E1C53">
        <w:t xml:space="preserve"> continuera de fournir </w:t>
      </w:r>
      <w:r w:rsidR="006C512D" w:rsidRPr="007E1C53">
        <w:t xml:space="preserve">gratuitement </w:t>
      </w:r>
      <w:r w:rsidR="002F2AAA" w:rsidRPr="007E1C53">
        <w:t>ces outils aux États membres, notamment aux pays en développement et</w:t>
      </w:r>
      <w:r w:rsidR="00940BD3" w:rsidRPr="007E1C53">
        <w:t xml:space="preserve"> aux</w:t>
      </w:r>
      <w:r w:rsidR="00940BD3">
        <w:t> </w:t>
      </w:r>
      <w:r w:rsidR="00940BD3" w:rsidRPr="007E1C53">
        <w:t>PMA</w:t>
      </w:r>
      <w:r w:rsidR="003F0B93" w:rsidRPr="007E1C53">
        <w:t>,</w:t>
      </w:r>
      <w:r w:rsidR="002F2AAA" w:rsidRPr="007E1C53">
        <w:t xml:space="preserve"> car ils </w:t>
      </w:r>
      <w:r w:rsidR="006C512D" w:rsidRPr="007E1C53">
        <w:t>permettent</w:t>
      </w:r>
      <w:r w:rsidR="002F2AAA" w:rsidRPr="007E1C53">
        <w:t xml:space="preserve"> </w:t>
      </w:r>
      <w:r w:rsidR="006C512D" w:rsidRPr="007E1C53">
        <w:t>d</w:t>
      </w:r>
      <w:r w:rsidR="00940BD3">
        <w:t>’</w:t>
      </w:r>
      <w:r w:rsidR="002F2AAA" w:rsidRPr="007E1C53">
        <w:t>améliorer l</w:t>
      </w:r>
      <w:r w:rsidR="00940BD3">
        <w:t>’</w:t>
      </w:r>
      <w:r w:rsidR="002F2AAA" w:rsidRPr="007E1C53">
        <w:t>administration des offices de propriété intellectuelle et l</w:t>
      </w:r>
      <w:r w:rsidR="00940BD3">
        <w:t>’</w:t>
      </w:r>
      <w:r w:rsidR="002F2AAA" w:rsidRPr="007E1C53">
        <w:t>accès à l</w:t>
      </w:r>
      <w:r w:rsidR="00940BD3">
        <w:t>’</w:t>
      </w:r>
      <w:r w:rsidR="002F2AAA" w:rsidRPr="007E1C53">
        <w:t>information en matière de propriété intellectuelle dans l</w:t>
      </w:r>
      <w:r w:rsidR="00940BD3">
        <w:t>’</w:t>
      </w:r>
      <w:r w:rsidR="002F2AAA" w:rsidRPr="007E1C53">
        <w:t>environnement numérique.</w:t>
      </w:r>
    </w:p>
    <w:p w:rsidR="009B6058" w:rsidRPr="007E1C53" w:rsidRDefault="001C1C93" w:rsidP="00CD16C2">
      <w:pPr>
        <w:pStyle w:val="ONUMFS"/>
      </w:pPr>
      <w:r w:rsidRPr="007E1C53">
        <w:t>Grâce au Centre d</w:t>
      </w:r>
      <w:r w:rsidR="00940BD3">
        <w:t>’</w:t>
      </w:r>
      <w:r w:rsidRPr="007E1C53">
        <w:t>application des technologies de pointe (</w:t>
      </w:r>
      <w:proofErr w:type="spellStart"/>
      <w:r w:rsidRPr="007E1C53">
        <w:t>ATAC</w:t>
      </w:r>
      <w:proofErr w:type="spellEnd"/>
      <w:r w:rsidRPr="007E1C53">
        <w:t>) de la Division des b</w:t>
      </w:r>
      <w:r w:rsidR="006C512D" w:rsidRPr="007E1C53">
        <w:t>ases de données mondiales</w:t>
      </w:r>
      <w:r w:rsidR="00BC6211" w:rsidRPr="007E1C53">
        <w:t xml:space="preserve"> </w:t>
      </w:r>
      <w:r w:rsidR="006C512D" w:rsidRPr="007E1C53">
        <w:t xml:space="preserve">et </w:t>
      </w:r>
      <w:r w:rsidR="00BC6211" w:rsidRPr="007E1C53">
        <w:t>à son é</w:t>
      </w:r>
      <w:r w:rsidRPr="007E1C53">
        <w:t>quipe chargée des bases de données mondiales sur les marques et sur les dessins et modèles, des outils d</w:t>
      </w:r>
      <w:r w:rsidR="00940BD3">
        <w:t>’</w:t>
      </w:r>
      <w:r w:rsidRPr="007E1C53">
        <w:t>intelligence artificielle de rang mondial qui ont été mis au point en interne sont actuellement utilisés par l</w:t>
      </w:r>
      <w:r w:rsidR="00940BD3">
        <w:t>’</w:t>
      </w:r>
      <w:proofErr w:type="spellStart"/>
      <w:r w:rsidRPr="007E1C53">
        <w:t>OMPI</w:t>
      </w:r>
      <w:proofErr w:type="spellEnd"/>
      <w:r w:rsidRPr="007E1C53">
        <w:t>, d</w:t>
      </w:r>
      <w:r w:rsidR="00940BD3">
        <w:t>’</w:t>
      </w:r>
      <w:r w:rsidRPr="007E1C53">
        <w:t>autres offices de propriété intellectuelle et d</w:t>
      </w:r>
      <w:r w:rsidR="00940BD3">
        <w:t>’</w:t>
      </w:r>
      <w:r w:rsidRPr="007E1C53">
        <w:t xml:space="preserve">autres organisations internationales telles que le réseau des </w:t>
      </w:r>
      <w:r w:rsidR="00940BD3">
        <w:t>Nations Uni</w:t>
      </w:r>
      <w:r w:rsidR="00FB6977">
        <w:t xml:space="preserve">es.  </w:t>
      </w:r>
      <w:r w:rsidR="00FB6977" w:rsidRPr="007E1C53">
        <w:t>Il</w:t>
      </w:r>
      <w:r w:rsidR="00FA69CE" w:rsidRPr="007E1C53">
        <w:t xml:space="preserve"> s</w:t>
      </w:r>
      <w:r w:rsidR="00940BD3">
        <w:t>’</w:t>
      </w:r>
      <w:r w:rsidR="00FA69CE" w:rsidRPr="007E1C53">
        <w:t>agit notamment des outils suivants</w:t>
      </w:r>
      <w:r w:rsidR="00940BD3">
        <w:t> :</w:t>
      </w:r>
    </w:p>
    <w:p w:rsidR="009B6058" w:rsidRPr="007E1C53" w:rsidRDefault="00FA69CE" w:rsidP="00CD16C2">
      <w:pPr>
        <w:pStyle w:val="ONUMFS"/>
        <w:numPr>
          <w:ilvl w:val="1"/>
          <w:numId w:val="7"/>
        </w:numPr>
      </w:pPr>
      <w:r w:rsidRPr="007E1C53">
        <w:t>WIPO Translate (traduction automatique neuronale);</w:t>
      </w:r>
    </w:p>
    <w:p w:rsidR="009B6058" w:rsidRPr="007E1C53" w:rsidRDefault="00BC6211" w:rsidP="00CD16C2">
      <w:pPr>
        <w:pStyle w:val="ONUMFS"/>
        <w:numPr>
          <w:ilvl w:val="1"/>
          <w:numId w:val="7"/>
        </w:numPr>
      </w:pPr>
      <w:r w:rsidRPr="007E1C53">
        <w:t>O</w:t>
      </w:r>
      <w:r w:rsidR="00DF21DF" w:rsidRPr="007E1C53">
        <w:t>util de recherche de marques de l</w:t>
      </w:r>
      <w:r w:rsidR="00940BD3">
        <w:t>’</w:t>
      </w:r>
      <w:proofErr w:type="spellStart"/>
      <w:r w:rsidR="00DF21DF" w:rsidRPr="007E1C53">
        <w:t>OMPI</w:t>
      </w:r>
      <w:proofErr w:type="spellEnd"/>
      <w:r w:rsidR="00DF21DF" w:rsidRPr="007E1C53">
        <w:t xml:space="preserve"> par reconnaissance d</w:t>
      </w:r>
      <w:r w:rsidR="00940BD3">
        <w:t>’</w:t>
      </w:r>
      <w:r w:rsidR="00DF21DF" w:rsidRPr="007E1C53">
        <w:t>images (images similaires en termes de forme, de couleur, d</w:t>
      </w:r>
      <w:r w:rsidR="003F0B93" w:rsidRPr="007E1C53">
        <w:t>e composition et de concept</w:t>
      </w:r>
      <w:r w:rsidR="00DF21DF" w:rsidRPr="007E1C53">
        <w:t>);</w:t>
      </w:r>
    </w:p>
    <w:p w:rsidR="009B6058" w:rsidRPr="007E1C53" w:rsidRDefault="00DF21DF" w:rsidP="00CD16C2">
      <w:pPr>
        <w:pStyle w:val="ONUMFS"/>
        <w:numPr>
          <w:ilvl w:val="1"/>
          <w:numId w:val="7"/>
        </w:numPr>
      </w:pPr>
      <w:r w:rsidRPr="007E1C53">
        <w:lastRenderedPageBreak/>
        <w:t>WIPO Speech</w:t>
      </w:r>
      <w:r w:rsidR="00940BD3">
        <w:t>-</w:t>
      </w:r>
      <w:r w:rsidRPr="007E1C53">
        <w:t>to</w:t>
      </w:r>
      <w:r w:rsidR="00940BD3">
        <w:t>-</w:t>
      </w:r>
      <w:proofErr w:type="spellStart"/>
      <w:r w:rsidRPr="007E1C53">
        <w:t>text</w:t>
      </w:r>
      <w:proofErr w:type="spellEnd"/>
      <w:r w:rsidRPr="007E1C53">
        <w:t xml:space="preserve"> (transcription de la langue naturelle à partir d</w:t>
      </w:r>
      <w:r w:rsidR="00940BD3">
        <w:t>’</w:t>
      </w:r>
      <w:r w:rsidRPr="007E1C53">
        <w:t>enregistrements audio et vidéo).</w:t>
      </w:r>
    </w:p>
    <w:p w:rsidR="009B6058" w:rsidRPr="007E1C53" w:rsidRDefault="00DF21DF" w:rsidP="00CD16C2">
      <w:pPr>
        <w:pStyle w:val="ONUMFS"/>
      </w:pPr>
      <w:r w:rsidRPr="007E1C53">
        <w:t>La plupart des outils d</w:t>
      </w:r>
      <w:r w:rsidR="00940BD3">
        <w:t>’</w:t>
      </w:r>
      <w:r w:rsidRPr="007E1C53">
        <w:t>intelligence artificielle de l</w:t>
      </w:r>
      <w:r w:rsidR="00940BD3">
        <w:t>’</w:t>
      </w:r>
      <w:proofErr w:type="spellStart"/>
      <w:r w:rsidRPr="007E1C53">
        <w:t>OMPI</w:t>
      </w:r>
      <w:proofErr w:type="spellEnd"/>
      <w:r w:rsidRPr="007E1C53">
        <w:t xml:space="preserve"> sont à la disposition du public en ligne ou par l</w:t>
      </w:r>
      <w:r w:rsidR="00940BD3">
        <w:t>’</w:t>
      </w:r>
      <w:r w:rsidRPr="007E1C53">
        <w:t>intermédiaire d</w:t>
      </w:r>
      <w:r w:rsidR="00940BD3">
        <w:t>’</w:t>
      </w:r>
      <w:r w:rsidR="003F0B93" w:rsidRPr="007E1C53">
        <w:t>API</w:t>
      </w:r>
      <w:r w:rsidRPr="007E1C53">
        <w:t>, augmentant l</w:t>
      </w:r>
      <w:r w:rsidR="00940BD3">
        <w:t>’</w:t>
      </w:r>
      <w:r w:rsidRPr="007E1C53">
        <w:t>accessibilité.</w:t>
      </w:r>
      <w:r w:rsidR="00DD7399" w:rsidRPr="007E1C53">
        <w:t xml:space="preserve">  </w:t>
      </w:r>
      <w:r w:rsidR="00307706" w:rsidRPr="007E1C53">
        <w:t>L</w:t>
      </w:r>
      <w:r w:rsidR="00940BD3">
        <w:t>’</w:t>
      </w:r>
      <w:proofErr w:type="spellStart"/>
      <w:r w:rsidR="00307706" w:rsidRPr="007E1C53">
        <w:t>OMPI</w:t>
      </w:r>
      <w:proofErr w:type="spellEnd"/>
      <w:r w:rsidR="00307706" w:rsidRPr="007E1C53">
        <w:t xml:space="preserve"> fournit ces outils à la communauté internationale dans le cadre d</w:t>
      </w:r>
      <w:r w:rsidR="00940BD3">
        <w:t>’</w:t>
      </w:r>
      <w:r w:rsidR="00307706" w:rsidRPr="007E1C53">
        <w:t>accords de licence et de partenari</w:t>
      </w:r>
      <w:r w:rsidR="00FB6977" w:rsidRPr="007E1C53">
        <w:t>at</w:t>
      </w:r>
      <w:r w:rsidR="00FB6977">
        <w:t xml:space="preserve">.  </w:t>
      </w:r>
      <w:r w:rsidR="00FB6977" w:rsidRPr="007E1C53">
        <w:t>Ce</w:t>
      </w:r>
      <w:r w:rsidR="00B6392D" w:rsidRPr="007E1C53">
        <w:t>s accords sont établis selon des conditions généreuses afin de partager largement l</w:t>
      </w:r>
      <w:r w:rsidR="00940BD3">
        <w:t>’</w:t>
      </w:r>
      <w:r w:rsidR="00B6392D" w:rsidRPr="007E1C53">
        <w:t>innovation tout en récupérant une partie de l</w:t>
      </w:r>
      <w:r w:rsidR="00940BD3">
        <w:t>’</w:t>
      </w:r>
      <w:r w:rsidR="00B6392D" w:rsidRPr="007E1C53">
        <w:t xml:space="preserve">investissement initial et des coûts opérationnels </w:t>
      </w:r>
      <w:r w:rsidR="006C512D" w:rsidRPr="007E1C53">
        <w:t>pour</w:t>
      </w:r>
      <w:r w:rsidR="00B6392D" w:rsidRPr="007E1C53">
        <w:t xml:space="preserve"> l</w:t>
      </w:r>
      <w:r w:rsidR="00940BD3">
        <w:t>’</w:t>
      </w:r>
      <w:r w:rsidR="00B6392D" w:rsidRPr="007E1C53">
        <w:t>Organisation.</w:t>
      </w:r>
      <w:r w:rsidR="00DD7399" w:rsidRPr="007E1C53">
        <w:t xml:space="preserve">  </w:t>
      </w:r>
      <w:r w:rsidR="0006463C" w:rsidRPr="007E1C53">
        <w:t>L</w:t>
      </w:r>
      <w:r w:rsidR="00940BD3">
        <w:t>’</w:t>
      </w:r>
      <w:proofErr w:type="spellStart"/>
      <w:r w:rsidR="0006463C" w:rsidRPr="007E1C53">
        <w:t>OMPI</w:t>
      </w:r>
      <w:proofErr w:type="spellEnd"/>
      <w:r w:rsidR="0006463C" w:rsidRPr="007E1C53">
        <w:t xml:space="preserve"> continuera de contribuer à l</w:t>
      </w:r>
      <w:r w:rsidR="00940BD3">
        <w:t>’</w:t>
      </w:r>
      <w:r w:rsidR="0006463C" w:rsidRPr="007E1C53">
        <w:t>amélioration de l</w:t>
      </w:r>
      <w:r w:rsidR="00940BD3">
        <w:t>’</w:t>
      </w:r>
      <w:r w:rsidR="0006463C" w:rsidRPr="007E1C53">
        <w:t>accès des pays en développement et</w:t>
      </w:r>
      <w:r w:rsidR="00940BD3" w:rsidRPr="007E1C53">
        <w:t xml:space="preserve"> des</w:t>
      </w:r>
      <w:r w:rsidR="00940BD3">
        <w:t> </w:t>
      </w:r>
      <w:r w:rsidR="00940BD3" w:rsidRPr="007E1C53">
        <w:t>PMA</w:t>
      </w:r>
      <w:r w:rsidR="0006463C" w:rsidRPr="007E1C53">
        <w:t xml:space="preserve"> aux nouvelles technologies numériques et aux outils qu</w:t>
      </w:r>
      <w:r w:rsidR="00940BD3">
        <w:t>’</w:t>
      </w:r>
      <w:r w:rsidR="0006463C" w:rsidRPr="007E1C53">
        <w:t>elles rendent possibles, tels que les outils d</w:t>
      </w:r>
      <w:r w:rsidR="00940BD3">
        <w:t>’</w:t>
      </w:r>
      <w:r w:rsidR="0006463C" w:rsidRPr="007E1C53">
        <w:t>intelligence artificielle.</w:t>
      </w:r>
    </w:p>
    <w:p w:rsidR="00940BD3" w:rsidRDefault="0006463C" w:rsidP="00CD16C2">
      <w:pPr>
        <w:pStyle w:val="Heading3"/>
        <w:rPr>
          <w:lang w:val="fr-CH"/>
        </w:rPr>
      </w:pPr>
      <w:r w:rsidRPr="007E1C53">
        <w:rPr>
          <w:lang w:val="fr-CH"/>
        </w:rPr>
        <w:t>Liste d</w:t>
      </w:r>
      <w:r w:rsidR="00940BD3">
        <w:rPr>
          <w:lang w:val="fr-CH"/>
        </w:rPr>
        <w:t>’</w:t>
      </w:r>
      <w:r w:rsidRPr="007E1C53">
        <w:rPr>
          <w:lang w:val="fr-CH"/>
        </w:rPr>
        <w:t>activités proposées</w:t>
      </w:r>
    </w:p>
    <w:p w:rsidR="009B6058" w:rsidRPr="007E1C53" w:rsidRDefault="0006463C" w:rsidP="00CD16C2">
      <w:pPr>
        <w:pStyle w:val="ONUMFS"/>
      </w:pPr>
      <w:r w:rsidRPr="007E1C53">
        <w:t>Sur la base du bilan et de l</w:t>
      </w:r>
      <w:r w:rsidR="00940BD3">
        <w:t>’</w:t>
      </w:r>
      <w:r w:rsidRPr="007E1C53">
        <w:t>évaluation de ces activités, présentés aux États membres lors de l</w:t>
      </w:r>
      <w:r w:rsidR="00940BD3">
        <w:t>’</w:t>
      </w:r>
      <w:r w:rsidRPr="007E1C53">
        <w:t>examen du programme et budget de l</w:t>
      </w:r>
      <w:r w:rsidR="00940BD3">
        <w:t>’</w:t>
      </w:r>
      <w:proofErr w:type="spellStart"/>
      <w:r w:rsidRPr="007E1C53">
        <w:t>OMPI</w:t>
      </w:r>
      <w:proofErr w:type="spellEnd"/>
      <w:r w:rsidRPr="007E1C53">
        <w:t xml:space="preserve"> pour cet exercice biennal, le Secrétariat de l</w:t>
      </w:r>
      <w:r w:rsidR="00940BD3">
        <w:t>’</w:t>
      </w:r>
      <w:proofErr w:type="spellStart"/>
      <w:r w:rsidRPr="007E1C53">
        <w:t>OMPI</w:t>
      </w:r>
      <w:proofErr w:type="spellEnd"/>
      <w:r w:rsidRPr="007E1C53">
        <w:t xml:space="preserve"> suggère la liste ci</w:t>
      </w:r>
      <w:r w:rsidR="00940BD3">
        <w:t>-</w:t>
      </w:r>
      <w:r w:rsidRPr="007E1C53">
        <w:t>après d</w:t>
      </w:r>
      <w:r w:rsidR="00940BD3">
        <w:t>’</w:t>
      </w:r>
      <w:r w:rsidRPr="007E1C53">
        <w:t xml:space="preserve">activités </w:t>
      </w:r>
      <w:r w:rsidR="003F0B93" w:rsidRPr="007E1C53">
        <w:t>proposées</w:t>
      </w:r>
      <w:r w:rsidRPr="007E1C53">
        <w:t xml:space="preserve"> </w:t>
      </w:r>
      <w:r w:rsidR="006C512D" w:rsidRPr="007E1C53">
        <w:t>pour</w:t>
      </w:r>
      <w:r w:rsidRPr="007E1C53">
        <w:t xml:space="preserve"> permettre la mise en œuvre des recommandations du Plan d</w:t>
      </w:r>
      <w:r w:rsidR="00940BD3">
        <w:t>’</w:t>
      </w:r>
      <w:r w:rsidRPr="007E1C53">
        <w:t>action de l</w:t>
      </w:r>
      <w:r w:rsidR="00940BD3">
        <w:t>’</w:t>
      </w:r>
      <w:proofErr w:type="spellStart"/>
      <w:r w:rsidRPr="007E1C53">
        <w:t>OMPI</w:t>
      </w:r>
      <w:proofErr w:type="spellEnd"/>
      <w:r w:rsidRPr="007E1C53">
        <w:t xml:space="preserve"> pour le développement des groupes A et C, visant spécifiquement à réduire la fracture numérique (recommandation n°</w:t>
      </w:r>
      <w:r w:rsidR="00B57155" w:rsidRPr="007E1C53">
        <w:t> </w:t>
      </w:r>
      <w:r w:rsidRPr="007E1C53">
        <w:t xml:space="preserve">24), à améliorer les capacités institutionnelles nationales en </w:t>
      </w:r>
      <w:r w:rsidR="003F0B93" w:rsidRPr="007E1C53">
        <w:t xml:space="preserve">matière de </w:t>
      </w:r>
      <w:r w:rsidRPr="007E1C53">
        <w:t>propriété intellectuelle par le développement des infrastructures (recommandation n°</w:t>
      </w:r>
      <w:r w:rsidR="00B57155" w:rsidRPr="007E1C53">
        <w:t> </w:t>
      </w:r>
      <w:r w:rsidRPr="007E1C53">
        <w:t>10) et à promouvoir les aspects</w:t>
      </w:r>
      <w:r w:rsidR="00940BD3" w:rsidRPr="007E1C53">
        <w:t xml:space="preserve"> des</w:t>
      </w:r>
      <w:r w:rsidR="00940BD3">
        <w:t> </w:t>
      </w:r>
      <w:r w:rsidR="00940BD3" w:rsidRPr="007E1C53">
        <w:t>TIC</w:t>
      </w:r>
      <w:r w:rsidRPr="007E1C53">
        <w:t xml:space="preserve"> liés à la propriété intellectuelle en faveur de la croissance et du développement (recommandation n°</w:t>
      </w:r>
      <w:r w:rsidR="00B57155" w:rsidRPr="007E1C53">
        <w:t> </w:t>
      </w:r>
      <w:r w:rsidRPr="007E1C53">
        <w:t>27)</w:t>
      </w:r>
      <w:r w:rsidR="00940BD3">
        <w:t> :</w:t>
      </w:r>
    </w:p>
    <w:p w:rsidR="009B6058" w:rsidRPr="007E1C53" w:rsidRDefault="0006463C" w:rsidP="00CD16C2">
      <w:pPr>
        <w:pStyle w:val="ListParagraph"/>
        <w:numPr>
          <w:ilvl w:val="0"/>
          <w:numId w:val="4"/>
        </w:numPr>
        <w:spacing w:after="220"/>
        <w:ind w:left="1134" w:hanging="567"/>
      </w:pPr>
      <w:r w:rsidRPr="007E1C53">
        <w:t>Fourniture d</w:t>
      </w:r>
      <w:r w:rsidR="00940BD3">
        <w:t>’</w:t>
      </w:r>
      <w:r w:rsidRPr="007E1C53">
        <w:t>avis juridiques et d</w:t>
      </w:r>
      <w:r w:rsidR="00940BD3">
        <w:t>’</w:t>
      </w:r>
      <w:r w:rsidRPr="007E1C53">
        <w:t>informations pertinentes aux pays en développement et</w:t>
      </w:r>
      <w:r w:rsidR="00940BD3" w:rsidRPr="007E1C53">
        <w:t xml:space="preserve"> aux</w:t>
      </w:r>
      <w:r w:rsidR="00940BD3">
        <w:t> </w:t>
      </w:r>
      <w:r w:rsidR="00940BD3" w:rsidRPr="007E1C53">
        <w:t>PMA</w:t>
      </w:r>
      <w:r w:rsidRPr="007E1C53">
        <w:t xml:space="preserve"> aux fins de leur législation </w:t>
      </w:r>
      <w:r w:rsidR="006C512D" w:rsidRPr="007E1C53">
        <w:t>sur la</w:t>
      </w:r>
      <w:r w:rsidRPr="007E1C53">
        <w:t xml:space="preserve"> propriété intellectuelle dans l</w:t>
      </w:r>
      <w:r w:rsidR="00940BD3">
        <w:t>’</w:t>
      </w:r>
      <w:r w:rsidRPr="007E1C53">
        <w:t>environnement numérique;</w:t>
      </w:r>
    </w:p>
    <w:p w:rsidR="009B6058" w:rsidRPr="007E1C53" w:rsidRDefault="0006463C" w:rsidP="00CD16C2">
      <w:pPr>
        <w:pStyle w:val="ListParagraph"/>
        <w:numPr>
          <w:ilvl w:val="0"/>
          <w:numId w:val="4"/>
        </w:numPr>
        <w:spacing w:after="220"/>
        <w:ind w:left="1134" w:hanging="567"/>
      </w:pPr>
      <w:r w:rsidRPr="007E1C53">
        <w:t>Amélioration des ressources d</w:t>
      </w:r>
      <w:r w:rsidR="00940BD3">
        <w:t>’</w:t>
      </w:r>
      <w:r w:rsidRPr="007E1C53">
        <w:t>information et de la coopération internationale entre les institutions judiciaires en matière de propriété intellectuelle;</w:t>
      </w:r>
    </w:p>
    <w:p w:rsidR="009B6058" w:rsidRPr="007E1C53" w:rsidRDefault="005D2C52" w:rsidP="00CD16C2">
      <w:pPr>
        <w:pStyle w:val="ListParagraph"/>
        <w:numPr>
          <w:ilvl w:val="0"/>
          <w:numId w:val="4"/>
        </w:numPr>
        <w:spacing w:after="220"/>
        <w:ind w:left="1134" w:hanging="567"/>
      </w:pPr>
      <w:r w:rsidRPr="007E1C53">
        <w:t>Fourniture d</w:t>
      </w:r>
      <w:r w:rsidR="00940BD3">
        <w:t>’</w:t>
      </w:r>
      <w:r w:rsidRPr="007E1C53">
        <w:t>une assistance aux offices de propriété intellectuelle des pays en développement et</w:t>
      </w:r>
      <w:r w:rsidR="00940BD3" w:rsidRPr="007E1C53">
        <w:t xml:space="preserve"> des</w:t>
      </w:r>
      <w:r w:rsidR="00940BD3">
        <w:t> </w:t>
      </w:r>
      <w:r w:rsidR="00940BD3" w:rsidRPr="007E1C53">
        <w:t>PMA</w:t>
      </w:r>
      <w:r w:rsidRPr="007E1C53">
        <w:t xml:space="preserve"> </w:t>
      </w:r>
      <w:r w:rsidR="006C512D" w:rsidRPr="007E1C53">
        <w:t>pour</w:t>
      </w:r>
      <w:r w:rsidRPr="007E1C53">
        <w:t xml:space="preserve"> l</w:t>
      </w:r>
      <w:r w:rsidR="00940BD3">
        <w:t>’</w:t>
      </w:r>
      <w:r w:rsidRPr="007E1C53">
        <w:t xml:space="preserve">échange de données numériques </w:t>
      </w:r>
      <w:r w:rsidR="006C512D" w:rsidRPr="007E1C53">
        <w:t>aux fins du</w:t>
      </w:r>
      <w:r w:rsidRPr="007E1C53">
        <w:t xml:space="preserve"> fonctionnement des systèmes</w:t>
      </w:r>
      <w:r w:rsidR="00940BD3" w:rsidRPr="007E1C53">
        <w:t xml:space="preserve"> du</w:t>
      </w:r>
      <w:r w:rsidR="00940BD3">
        <w:t> </w:t>
      </w:r>
      <w:proofErr w:type="spellStart"/>
      <w:r w:rsidR="00940BD3" w:rsidRPr="007E1C53">
        <w:t>PCT</w:t>
      </w:r>
      <w:proofErr w:type="spellEnd"/>
      <w:r w:rsidRPr="007E1C53">
        <w:t xml:space="preserve">, de Madrid et de </w:t>
      </w:r>
      <w:r w:rsidR="00940BD3">
        <w:t>La Haye</w:t>
      </w:r>
      <w:r w:rsidRPr="007E1C53">
        <w:t>;</w:t>
      </w:r>
    </w:p>
    <w:p w:rsidR="009B6058" w:rsidRPr="007E1C53" w:rsidRDefault="005D2C52" w:rsidP="00CD16C2">
      <w:pPr>
        <w:pStyle w:val="ListParagraph"/>
        <w:numPr>
          <w:ilvl w:val="0"/>
          <w:numId w:val="4"/>
        </w:numPr>
        <w:spacing w:after="220"/>
        <w:ind w:left="1134" w:hanging="567"/>
      </w:pPr>
      <w:r w:rsidRPr="007E1C53">
        <w:t>Fourniture d</w:t>
      </w:r>
      <w:r w:rsidR="00940BD3">
        <w:t>’</w:t>
      </w:r>
      <w:r w:rsidRPr="007E1C53">
        <w:t>une assistance aux offices de propriété intellectuelle pour la numérisation des données de propriété intellectuelle afin de réduire la fracture numérique dans le domaine de la propriété intellectuelle;</w:t>
      </w:r>
    </w:p>
    <w:p w:rsidR="009B6058" w:rsidRPr="007E1C53" w:rsidRDefault="001365B5" w:rsidP="00CD16C2">
      <w:pPr>
        <w:pStyle w:val="ListParagraph"/>
        <w:numPr>
          <w:ilvl w:val="0"/>
          <w:numId w:val="4"/>
        </w:numPr>
        <w:spacing w:after="220"/>
        <w:ind w:left="1134" w:hanging="567"/>
      </w:pPr>
      <w:r w:rsidRPr="007E1C53">
        <w:t>Assistance technique et renforcement des capacités pour les offices de propriété intellectuelle en proposant des logiciels mis au point en interne par l</w:t>
      </w:r>
      <w:r w:rsidR="00940BD3">
        <w:t>’</w:t>
      </w:r>
      <w:proofErr w:type="spellStart"/>
      <w:r w:rsidRPr="007E1C53">
        <w:t>OMPI</w:t>
      </w:r>
      <w:proofErr w:type="spellEnd"/>
      <w:r w:rsidRPr="007E1C53">
        <w:t>, des outils informatiques, des outils fondés sur l</w:t>
      </w:r>
      <w:r w:rsidR="00940BD3">
        <w:t>’</w:t>
      </w:r>
      <w:r w:rsidRPr="007E1C53">
        <w:t>intelligence artificielle, des plateformes informatiques, une réorganisation des flux de travail adaptée au traitement des données numériques et une formation au transfert de connaissances;</w:t>
      </w:r>
    </w:p>
    <w:p w:rsidR="009B6058" w:rsidRPr="007E1C53" w:rsidRDefault="002D0F02" w:rsidP="00CD16C2">
      <w:pPr>
        <w:pStyle w:val="ListParagraph"/>
        <w:numPr>
          <w:ilvl w:val="0"/>
          <w:numId w:val="4"/>
        </w:numPr>
        <w:spacing w:after="220"/>
        <w:ind w:left="1134" w:hanging="567"/>
      </w:pPr>
      <w:r w:rsidRPr="007E1C53">
        <w:t>Aide au renforcement des institutions pour réduire la fracture numérique et technologique grâce</w:t>
      </w:r>
      <w:r w:rsidR="00940BD3" w:rsidRPr="007E1C53">
        <w:t xml:space="preserve"> aux</w:t>
      </w:r>
      <w:r w:rsidR="00940BD3">
        <w:t> </w:t>
      </w:r>
      <w:r w:rsidR="00940BD3" w:rsidRPr="007E1C53">
        <w:t>CAT</w:t>
      </w:r>
      <w:r w:rsidRPr="007E1C53">
        <w:t>I et à leurs services connexes.</w:t>
      </w:r>
    </w:p>
    <w:p w:rsidR="009B6058" w:rsidRDefault="002D0F02" w:rsidP="00CD16C2">
      <w:pPr>
        <w:pStyle w:val="ONUMFS"/>
        <w:ind w:left="5533"/>
        <w:rPr>
          <w:i/>
        </w:rPr>
      </w:pPr>
      <w:r w:rsidRPr="00CD16C2">
        <w:rPr>
          <w:i/>
        </w:rPr>
        <w:t xml:space="preserve">Le </w:t>
      </w:r>
      <w:proofErr w:type="spellStart"/>
      <w:r w:rsidRPr="00CD16C2">
        <w:rPr>
          <w:i/>
        </w:rPr>
        <w:t>CDIP</w:t>
      </w:r>
      <w:proofErr w:type="spellEnd"/>
      <w:r w:rsidRPr="00CD16C2">
        <w:rPr>
          <w:i/>
        </w:rPr>
        <w:t xml:space="preserve"> est invité à examiner les informations contenues dans le présent document.</w:t>
      </w:r>
    </w:p>
    <w:p w:rsidR="00CD16C2" w:rsidRDefault="00CD16C2">
      <w:pPr>
        <w:pStyle w:val="Endofdocument-Annex"/>
      </w:pPr>
      <w:r>
        <w:t>[Fin du document]</w:t>
      </w:r>
    </w:p>
    <w:sectPr w:rsidR="00CD16C2" w:rsidSect="007E1C53">
      <w:headerReference w:type="default" r:id="rId14"/>
      <w:endnotePr>
        <w:numFmt w:val="decimal"/>
      </w:endnotePr>
      <w:pgSz w:w="11907" w:h="16840" w:code="9"/>
      <w:pgMar w:top="567" w:right="1134" w:bottom="1417" w:left="1417" w:header="510" w:footer="10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33BE" w:rsidRDefault="004933BE">
      <w:r>
        <w:separator/>
      </w:r>
    </w:p>
  </w:endnote>
  <w:endnote w:type="continuationSeparator" w:id="0">
    <w:p w:rsidR="004933BE" w:rsidRDefault="004933BE" w:rsidP="003B38C1">
      <w:r>
        <w:separator/>
      </w:r>
    </w:p>
    <w:p w:rsidR="004933BE" w:rsidRPr="003B38C1" w:rsidRDefault="004933BE" w:rsidP="003B38C1">
      <w:pPr>
        <w:spacing w:after="60"/>
        <w:rPr>
          <w:sz w:val="17"/>
        </w:rPr>
      </w:pPr>
      <w:r>
        <w:rPr>
          <w:sz w:val="17"/>
        </w:rPr>
        <w:t>[</w:t>
      </w:r>
      <w:proofErr w:type="spellStart"/>
      <w:r>
        <w:rPr>
          <w:sz w:val="17"/>
        </w:rPr>
        <w:t>Endnote</w:t>
      </w:r>
      <w:proofErr w:type="spellEnd"/>
      <w:r>
        <w:rPr>
          <w:sz w:val="17"/>
        </w:rPr>
        <w:t xml:space="preserve"> </w:t>
      </w:r>
      <w:proofErr w:type="spellStart"/>
      <w:r>
        <w:rPr>
          <w:sz w:val="17"/>
        </w:rPr>
        <w:t>continued</w:t>
      </w:r>
      <w:proofErr w:type="spellEnd"/>
      <w:r>
        <w:rPr>
          <w:sz w:val="17"/>
        </w:rPr>
        <w:t xml:space="preserve"> </w:t>
      </w:r>
      <w:proofErr w:type="spellStart"/>
      <w:r>
        <w:rPr>
          <w:sz w:val="17"/>
        </w:rPr>
        <w:t>from</w:t>
      </w:r>
      <w:proofErr w:type="spellEnd"/>
      <w:r>
        <w:rPr>
          <w:sz w:val="17"/>
        </w:rPr>
        <w:t xml:space="preserve"> </w:t>
      </w:r>
      <w:proofErr w:type="spellStart"/>
      <w:r>
        <w:rPr>
          <w:sz w:val="17"/>
        </w:rPr>
        <w:t>previous</w:t>
      </w:r>
      <w:proofErr w:type="spellEnd"/>
      <w:r>
        <w:rPr>
          <w:sz w:val="17"/>
        </w:rPr>
        <w:t xml:space="preserve"> page]</w:t>
      </w:r>
    </w:p>
  </w:endnote>
  <w:endnote w:type="continuationNotice" w:id="1">
    <w:p w:rsidR="004933BE" w:rsidRPr="003B38C1" w:rsidRDefault="004933BE" w:rsidP="003B38C1">
      <w:pPr>
        <w:spacing w:before="60"/>
        <w:jc w:val="right"/>
        <w:rPr>
          <w:sz w:val="17"/>
          <w:szCs w:val="17"/>
        </w:rPr>
      </w:pPr>
      <w:r w:rsidRPr="003B38C1">
        <w:rPr>
          <w:sz w:val="17"/>
          <w:szCs w:val="17"/>
        </w:rPr>
        <w:t>[</w:t>
      </w:r>
      <w:proofErr w:type="spellStart"/>
      <w:r w:rsidRPr="003B38C1">
        <w:rPr>
          <w:sz w:val="17"/>
          <w:szCs w:val="17"/>
        </w:rPr>
        <w:t>Endnote</w:t>
      </w:r>
      <w:proofErr w:type="spellEnd"/>
      <w:r w:rsidRPr="003B38C1">
        <w:rPr>
          <w:sz w:val="17"/>
          <w:szCs w:val="17"/>
        </w:rPr>
        <w:t xml:space="preserve"> </w:t>
      </w:r>
      <w:proofErr w:type="spellStart"/>
      <w:r w:rsidRPr="003B38C1">
        <w:rPr>
          <w:sz w:val="17"/>
          <w:szCs w:val="17"/>
        </w:rPr>
        <w:t>continued</w:t>
      </w:r>
      <w:proofErr w:type="spellEnd"/>
      <w:r w:rsidRPr="003B38C1">
        <w:rPr>
          <w:sz w:val="17"/>
          <w:szCs w:val="17"/>
        </w:rPr>
        <w:t xml:space="preserve"> on </w:t>
      </w:r>
      <w:proofErr w:type="spellStart"/>
      <w:r w:rsidRPr="003B38C1">
        <w:rPr>
          <w:sz w:val="17"/>
          <w:szCs w:val="17"/>
        </w:rPr>
        <w:t>next</w:t>
      </w:r>
      <w:proofErr w:type="spellEnd"/>
      <w:r w:rsidRPr="003B38C1">
        <w:rPr>
          <w:sz w:val="17"/>
          <w:szCs w:val="17"/>
        </w:rPr>
        <w:t xml:space="preserve">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33BE" w:rsidRDefault="004933BE">
      <w:r>
        <w:separator/>
      </w:r>
    </w:p>
  </w:footnote>
  <w:footnote w:type="continuationSeparator" w:id="0">
    <w:p w:rsidR="004933BE" w:rsidRDefault="004933BE" w:rsidP="008B60B2">
      <w:r>
        <w:separator/>
      </w:r>
    </w:p>
    <w:p w:rsidR="004933BE" w:rsidRPr="00ED77FB" w:rsidRDefault="004933BE" w:rsidP="008B60B2">
      <w:pPr>
        <w:spacing w:after="60"/>
        <w:rPr>
          <w:sz w:val="17"/>
          <w:szCs w:val="17"/>
        </w:rPr>
      </w:pPr>
      <w:r w:rsidRPr="00ED77FB">
        <w:rPr>
          <w:sz w:val="17"/>
          <w:szCs w:val="17"/>
        </w:rPr>
        <w:t>[</w:t>
      </w:r>
      <w:proofErr w:type="spellStart"/>
      <w:r w:rsidRPr="00ED77FB">
        <w:rPr>
          <w:sz w:val="17"/>
          <w:szCs w:val="17"/>
        </w:rPr>
        <w:t>Footnote</w:t>
      </w:r>
      <w:proofErr w:type="spellEnd"/>
      <w:r w:rsidRPr="00ED77FB">
        <w:rPr>
          <w:sz w:val="17"/>
          <w:szCs w:val="17"/>
        </w:rPr>
        <w:t xml:space="preserve"> </w:t>
      </w:r>
      <w:proofErr w:type="spellStart"/>
      <w:r w:rsidRPr="00ED77FB">
        <w:rPr>
          <w:sz w:val="17"/>
          <w:szCs w:val="17"/>
        </w:rPr>
        <w:t>continued</w:t>
      </w:r>
      <w:proofErr w:type="spellEnd"/>
      <w:r w:rsidRPr="00ED77FB">
        <w:rPr>
          <w:sz w:val="17"/>
          <w:szCs w:val="17"/>
        </w:rPr>
        <w:t xml:space="preserve"> </w:t>
      </w:r>
      <w:proofErr w:type="spellStart"/>
      <w:r w:rsidRPr="00ED77FB">
        <w:rPr>
          <w:sz w:val="17"/>
          <w:szCs w:val="17"/>
        </w:rPr>
        <w:t>from</w:t>
      </w:r>
      <w:proofErr w:type="spellEnd"/>
      <w:r w:rsidRPr="00ED77FB">
        <w:rPr>
          <w:sz w:val="17"/>
          <w:szCs w:val="17"/>
        </w:rPr>
        <w:t xml:space="preserve"> </w:t>
      </w:r>
      <w:proofErr w:type="spellStart"/>
      <w:r w:rsidRPr="00ED77FB">
        <w:rPr>
          <w:sz w:val="17"/>
          <w:szCs w:val="17"/>
        </w:rPr>
        <w:t>previous</w:t>
      </w:r>
      <w:proofErr w:type="spellEnd"/>
      <w:r w:rsidRPr="00ED77FB">
        <w:rPr>
          <w:sz w:val="17"/>
          <w:szCs w:val="17"/>
        </w:rPr>
        <w:t xml:space="preserve"> page]</w:t>
      </w:r>
    </w:p>
  </w:footnote>
  <w:footnote w:type="continuationNotice" w:id="1">
    <w:p w:rsidR="004933BE" w:rsidRPr="00ED77FB" w:rsidRDefault="004933BE" w:rsidP="008B60B2">
      <w:pPr>
        <w:spacing w:before="60"/>
        <w:jc w:val="right"/>
        <w:rPr>
          <w:sz w:val="17"/>
          <w:szCs w:val="17"/>
        </w:rPr>
      </w:pPr>
      <w:r w:rsidRPr="00ED77FB">
        <w:rPr>
          <w:sz w:val="17"/>
          <w:szCs w:val="17"/>
        </w:rPr>
        <w:t>[</w:t>
      </w:r>
      <w:proofErr w:type="spellStart"/>
      <w:r w:rsidRPr="00ED77FB">
        <w:rPr>
          <w:sz w:val="17"/>
          <w:szCs w:val="17"/>
        </w:rPr>
        <w:t>Footnote</w:t>
      </w:r>
      <w:proofErr w:type="spellEnd"/>
      <w:r w:rsidRPr="00ED77FB">
        <w:rPr>
          <w:sz w:val="17"/>
          <w:szCs w:val="17"/>
        </w:rPr>
        <w:t xml:space="preserve"> </w:t>
      </w:r>
      <w:proofErr w:type="spellStart"/>
      <w:r w:rsidRPr="00ED77FB">
        <w:rPr>
          <w:sz w:val="17"/>
          <w:szCs w:val="17"/>
        </w:rPr>
        <w:t>continued</w:t>
      </w:r>
      <w:proofErr w:type="spellEnd"/>
      <w:r w:rsidRPr="00ED77FB">
        <w:rPr>
          <w:sz w:val="17"/>
          <w:szCs w:val="17"/>
        </w:rPr>
        <w:t xml:space="preserve"> on </w:t>
      </w:r>
      <w:proofErr w:type="spellStart"/>
      <w:r w:rsidRPr="00ED77FB">
        <w:rPr>
          <w:sz w:val="17"/>
          <w:szCs w:val="17"/>
        </w:rPr>
        <w:t>next</w:t>
      </w:r>
      <w:proofErr w:type="spellEnd"/>
      <w:r w:rsidRPr="00ED77FB">
        <w:rPr>
          <w:sz w:val="17"/>
          <w:szCs w:val="17"/>
        </w:rPr>
        <w:t xml:space="preserve"> page]</w:t>
      </w:r>
    </w:p>
  </w:footnote>
  <w:footnote w:id="2">
    <w:p w:rsidR="004933BE" w:rsidRPr="00C815AB" w:rsidRDefault="004933BE">
      <w:pPr>
        <w:pStyle w:val="FootnoteText"/>
      </w:pPr>
      <w:r>
        <w:rPr>
          <w:rStyle w:val="FootnoteReference"/>
        </w:rPr>
        <w:footnoteRef/>
      </w:r>
      <w:r>
        <w:t xml:space="preserve"> </w:t>
      </w:r>
      <w:r w:rsidR="00FF563E">
        <w:tab/>
      </w:r>
      <w:hyperlink r:id="rId1" w:history="1">
        <w:r w:rsidR="00FF563E" w:rsidRPr="007728D5">
          <w:rPr>
            <w:rStyle w:val="Hyperlink"/>
          </w:rPr>
          <w:t>https://www.wipo.int/edocs/mdocs/mdocs/en/cdip_23/cdip_23_presentation.pdf</w:t>
        </w:r>
      </w:hyperlink>
      <w:r w:rsidR="00FF563E">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7618809"/>
      <w:docPartObj>
        <w:docPartGallery w:val="Page Numbers (Top of Page)"/>
        <w:docPartUnique/>
      </w:docPartObj>
    </w:sdtPr>
    <w:sdtEndPr>
      <w:rPr>
        <w:noProof/>
      </w:rPr>
    </w:sdtEndPr>
    <w:sdtContent>
      <w:p w:rsidR="004933BE" w:rsidRDefault="004933BE" w:rsidP="00214799">
        <w:pPr>
          <w:pStyle w:val="Header"/>
          <w:jc w:val="right"/>
        </w:pPr>
        <w:proofErr w:type="spellStart"/>
        <w:r>
          <w:t>CDIP</w:t>
        </w:r>
        <w:proofErr w:type="spellEnd"/>
        <w:r>
          <w:t>/25/9</w:t>
        </w:r>
      </w:p>
      <w:p w:rsidR="00FB6977" w:rsidRDefault="004933BE" w:rsidP="00214799">
        <w:pPr>
          <w:pStyle w:val="Header"/>
          <w:jc w:val="right"/>
          <w:rPr>
            <w:noProof/>
          </w:rPr>
        </w:pPr>
        <w:r>
          <w:t>page </w:t>
        </w:r>
        <w:r>
          <w:fldChar w:fldCharType="begin"/>
        </w:r>
        <w:r>
          <w:instrText xml:space="preserve"> PAGE   \* MERGEFORMAT </w:instrText>
        </w:r>
        <w:r>
          <w:fldChar w:fldCharType="separate"/>
        </w:r>
        <w:r w:rsidR="004D3C96">
          <w:rPr>
            <w:noProof/>
          </w:rPr>
          <w:t>16</w:t>
        </w:r>
        <w:r>
          <w:rPr>
            <w:noProof/>
          </w:rPr>
          <w:fldChar w:fldCharType="end"/>
        </w:r>
      </w:p>
      <w:p w:rsidR="00FB6977" w:rsidRDefault="00FB6977" w:rsidP="00214799">
        <w:pPr>
          <w:pStyle w:val="Header"/>
          <w:jc w:val="right"/>
          <w:rPr>
            <w:noProof/>
          </w:rPr>
        </w:pPr>
      </w:p>
      <w:p w:rsidR="004933BE" w:rsidRDefault="004D3C96" w:rsidP="00214799">
        <w:pPr>
          <w:pStyle w:val="Header"/>
          <w:jc w:val="right"/>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15:restartNumberingAfterBreak="0">
    <w:nsid w:val="075B6CF0"/>
    <w:multiLevelType w:val="hybridMultilevel"/>
    <w:tmpl w:val="0AF82D0C"/>
    <w:lvl w:ilvl="0" w:tplc="86E6C912">
      <w:start w:val="1"/>
      <w:numFmt w:val="decimal"/>
      <w:lvlText w:val="%1."/>
      <w:lvlJc w:val="left"/>
      <w:pPr>
        <w:ind w:left="930" w:hanging="570"/>
      </w:pPr>
      <w:rPr>
        <w:rFonts w:ascii="Arial" w:hAnsi="Arial" w:cs="Arial"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C279B8"/>
    <w:multiLevelType w:val="multilevel"/>
    <w:tmpl w:val="2618C90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upperRoman"/>
      <w:pStyle w:val="Heading3"/>
      <w:lvlText w:val="%3."/>
      <w:lvlJc w:val="left"/>
      <w:pPr>
        <w:ind w:left="567" w:hanging="567"/>
      </w:pPr>
      <w:rPr>
        <w:rFonts w:hint="default"/>
      </w:rPr>
    </w:lvl>
    <w:lvl w:ilvl="3">
      <w:start w:val="1"/>
      <w:numFmt w:val="upperLetter"/>
      <w:pStyle w:val="Heading4"/>
      <w:lvlText w:val="%4."/>
      <w:lvlJc w:val="left"/>
      <w:pPr>
        <w:ind w:left="1134" w:hanging="567"/>
      </w:pPr>
      <w:rPr>
        <w:rFonts w:hint="default"/>
      </w:rPr>
    </w:lvl>
    <w:lvl w:ilvl="4">
      <w:start w:val="1"/>
      <w:numFmt w:val="lowerRoman"/>
      <w:pStyle w:val="Heading5"/>
      <w:lvlText w:val="%5."/>
      <w:lvlJc w:val="left"/>
      <w:pPr>
        <w:ind w:left="1134"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8E41DE0"/>
    <w:multiLevelType w:val="hybridMultilevel"/>
    <w:tmpl w:val="6E94A65E"/>
    <w:lvl w:ilvl="0" w:tplc="04090011">
      <w:start w:val="1"/>
      <w:numFmt w:val="decimal"/>
      <w:lvlText w:val="%1)"/>
      <w:lvlJc w:val="left"/>
      <w:pPr>
        <w:ind w:left="930" w:hanging="57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3AC01DEA"/>
    <w:multiLevelType w:val="hybridMultilevel"/>
    <w:tmpl w:val="7F4C2C08"/>
    <w:lvl w:ilvl="0" w:tplc="D12ABBDC">
      <w:start w:val="1"/>
      <w:numFmt w:val="lowerRoman"/>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8864EAE"/>
    <w:multiLevelType w:val="hybridMultilevel"/>
    <w:tmpl w:val="6E0ACC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5"/>
    <w:lvlOverride w:ilvl="0">
      <w:startOverride w:val="1"/>
    </w:lvlOverride>
  </w:num>
  <w:num w:numId="4">
    <w:abstractNumId w:val="3"/>
  </w:num>
  <w:num w:numId="5">
    <w:abstractNumId w:val="6"/>
  </w:num>
  <w:num w:numId="6">
    <w:abstractNumId w:val="0"/>
  </w:num>
  <w:num w:numId="7">
    <w:abstractNumId w:val="4"/>
  </w:num>
  <w:num w:numId="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H" w:vendorID="64" w:dllVersion="131078" w:nlCheck="1" w:checkStyle="0"/>
  <w:activeWritingStyle w:appName="MSWord" w:lang="en-US" w:vendorID="64" w:dllVersion="131078" w:nlCheck="1" w:checkStyle="1"/>
  <w:activeWritingStyle w:appName="MSWord" w:lang="fr-FR"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xUPOV LDTERM|WIPOLDTERM"/>
    <w:docVar w:name="TermBaseURL" w:val="empty"/>
    <w:docVar w:name="TextBases" w:val="Team Server TMs\Default|Team Server TMs\French|Team Server TMs\French|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UPOV\TGs|TextBase TMs\WorkspaceFTS\UPOV\UPOV|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
    <w:docVar w:name="TextBaseURL" w:val="empty"/>
    <w:docVar w:name="UILng" w:val="en"/>
  </w:docVars>
  <w:rsids>
    <w:rsidRoot w:val="002F0A77"/>
    <w:rsid w:val="00001604"/>
    <w:rsid w:val="00004EAD"/>
    <w:rsid w:val="00005280"/>
    <w:rsid w:val="0000531E"/>
    <w:rsid w:val="00007616"/>
    <w:rsid w:val="000100A4"/>
    <w:rsid w:val="00011D30"/>
    <w:rsid w:val="00013BCF"/>
    <w:rsid w:val="00023B82"/>
    <w:rsid w:val="000304B8"/>
    <w:rsid w:val="00035231"/>
    <w:rsid w:val="00037AE5"/>
    <w:rsid w:val="00037DD5"/>
    <w:rsid w:val="00037E7D"/>
    <w:rsid w:val="00043BC1"/>
    <w:rsid w:val="00043CAA"/>
    <w:rsid w:val="00045E82"/>
    <w:rsid w:val="0004693C"/>
    <w:rsid w:val="00047F51"/>
    <w:rsid w:val="000519B8"/>
    <w:rsid w:val="00056D61"/>
    <w:rsid w:val="00057D49"/>
    <w:rsid w:val="00062E30"/>
    <w:rsid w:val="00063B9A"/>
    <w:rsid w:val="0006463C"/>
    <w:rsid w:val="00064B9F"/>
    <w:rsid w:val="0007439D"/>
    <w:rsid w:val="00075432"/>
    <w:rsid w:val="00076F46"/>
    <w:rsid w:val="00077619"/>
    <w:rsid w:val="00077F49"/>
    <w:rsid w:val="000810E8"/>
    <w:rsid w:val="0008625B"/>
    <w:rsid w:val="00087131"/>
    <w:rsid w:val="00093885"/>
    <w:rsid w:val="000968ED"/>
    <w:rsid w:val="000B14A8"/>
    <w:rsid w:val="000B2A34"/>
    <w:rsid w:val="000B743F"/>
    <w:rsid w:val="000C1B50"/>
    <w:rsid w:val="000C2ECD"/>
    <w:rsid w:val="000C330A"/>
    <w:rsid w:val="000C40A6"/>
    <w:rsid w:val="000C5FB6"/>
    <w:rsid w:val="000D03F7"/>
    <w:rsid w:val="000D3036"/>
    <w:rsid w:val="000D58BB"/>
    <w:rsid w:val="000E0707"/>
    <w:rsid w:val="000E2412"/>
    <w:rsid w:val="000E49B5"/>
    <w:rsid w:val="000E4DD9"/>
    <w:rsid w:val="000E679A"/>
    <w:rsid w:val="000E6EB7"/>
    <w:rsid w:val="000F187B"/>
    <w:rsid w:val="000F22D6"/>
    <w:rsid w:val="000F392B"/>
    <w:rsid w:val="000F5CC2"/>
    <w:rsid w:val="000F5E56"/>
    <w:rsid w:val="00106333"/>
    <w:rsid w:val="001072EA"/>
    <w:rsid w:val="001146EE"/>
    <w:rsid w:val="0011497B"/>
    <w:rsid w:val="0012289F"/>
    <w:rsid w:val="00134A38"/>
    <w:rsid w:val="001362EE"/>
    <w:rsid w:val="001365B5"/>
    <w:rsid w:val="00144671"/>
    <w:rsid w:val="00146D27"/>
    <w:rsid w:val="00150301"/>
    <w:rsid w:val="00160D0F"/>
    <w:rsid w:val="0016299C"/>
    <w:rsid w:val="00163303"/>
    <w:rsid w:val="00163314"/>
    <w:rsid w:val="001647D5"/>
    <w:rsid w:val="00171E0C"/>
    <w:rsid w:val="0017221C"/>
    <w:rsid w:val="001759E4"/>
    <w:rsid w:val="00175F04"/>
    <w:rsid w:val="00176478"/>
    <w:rsid w:val="00176946"/>
    <w:rsid w:val="00176CAE"/>
    <w:rsid w:val="001800E5"/>
    <w:rsid w:val="00180BFF"/>
    <w:rsid w:val="00181DC3"/>
    <w:rsid w:val="001832A6"/>
    <w:rsid w:val="00184D37"/>
    <w:rsid w:val="00185FC2"/>
    <w:rsid w:val="0019144D"/>
    <w:rsid w:val="00193BEC"/>
    <w:rsid w:val="00196416"/>
    <w:rsid w:val="001971D4"/>
    <w:rsid w:val="001A02A8"/>
    <w:rsid w:val="001A2495"/>
    <w:rsid w:val="001A37B9"/>
    <w:rsid w:val="001A7003"/>
    <w:rsid w:val="001A7099"/>
    <w:rsid w:val="001B3AAE"/>
    <w:rsid w:val="001B56FD"/>
    <w:rsid w:val="001B5C0E"/>
    <w:rsid w:val="001C023A"/>
    <w:rsid w:val="001C198E"/>
    <w:rsid w:val="001C1C93"/>
    <w:rsid w:val="001C28B2"/>
    <w:rsid w:val="001C2E3B"/>
    <w:rsid w:val="001C456F"/>
    <w:rsid w:val="001C5EFD"/>
    <w:rsid w:val="001C6066"/>
    <w:rsid w:val="001C6EEA"/>
    <w:rsid w:val="001D05C6"/>
    <w:rsid w:val="001D21D4"/>
    <w:rsid w:val="001D7823"/>
    <w:rsid w:val="001E358B"/>
    <w:rsid w:val="001E376C"/>
    <w:rsid w:val="001E3A7A"/>
    <w:rsid w:val="001E3D93"/>
    <w:rsid w:val="001F126B"/>
    <w:rsid w:val="001F3C43"/>
    <w:rsid w:val="001F4F9B"/>
    <w:rsid w:val="00200C9E"/>
    <w:rsid w:val="00204E4B"/>
    <w:rsid w:val="0021217E"/>
    <w:rsid w:val="0021323F"/>
    <w:rsid w:val="00214799"/>
    <w:rsid w:val="00215DE7"/>
    <w:rsid w:val="00221623"/>
    <w:rsid w:val="002216C6"/>
    <w:rsid w:val="00222723"/>
    <w:rsid w:val="00222924"/>
    <w:rsid w:val="00223F67"/>
    <w:rsid w:val="002247C6"/>
    <w:rsid w:val="0023181B"/>
    <w:rsid w:val="002328BD"/>
    <w:rsid w:val="002335CA"/>
    <w:rsid w:val="00235B24"/>
    <w:rsid w:val="00235FAE"/>
    <w:rsid w:val="00241611"/>
    <w:rsid w:val="00241FD8"/>
    <w:rsid w:val="0024202C"/>
    <w:rsid w:val="00244DE1"/>
    <w:rsid w:val="00245185"/>
    <w:rsid w:val="00246FBB"/>
    <w:rsid w:val="00257035"/>
    <w:rsid w:val="00261E08"/>
    <w:rsid w:val="002634C4"/>
    <w:rsid w:val="00264602"/>
    <w:rsid w:val="00264B0E"/>
    <w:rsid w:val="002661C4"/>
    <w:rsid w:val="0027093C"/>
    <w:rsid w:val="00275521"/>
    <w:rsid w:val="0027643D"/>
    <w:rsid w:val="00277618"/>
    <w:rsid w:val="002778FA"/>
    <w:rsid w:val="00280F92"/>
    <w:rsid w:val="00284414"/>
    <w:rsid w:val="00287B83"/>
    <w:rsid w:val="00291493"/>
    <w:rsid w:val="00292378"/>
    <w:rsid w:val="002928D3"/>
    <w:rsid w:val="00295FC5"/>
    <w:rsid w:val="002A4C71"/>
    <w:rsid w:val="002A7145"/>
    <w:rsid w:val="002A74A6"/>
    <w:rsid w:val="002A7A1F"/>
    <w:rsid w:val="002B06CF"/>
    <w:rsid w:val="002B0F05"/>
    <w:rsid w:val="002B11F9"/>
    <w:rsid w:val="002B3A9D"/>
    <w:rsid w:val="002D0F02"/>
    <w:rsid w:val="002D1FA7"/>
    <w:rsid w:val="002D3556"/>
    <w:rsid w:val="002E66DE"/>
    <w:rsid w:val="002F0A77"/>
    <w:rsid w:val="002F1FE6"/>
    <w:rsid w:val="002F2AAA"/>
    <w:rsid w:val="002F4B55"/>
    <w:rsid w:val="002F4E68"/>
    <w:rsid w:val="003005E0"/>
    <w:rsid w:val="00301654"/>
    <w:rsid w:val="003048DC"/>
    <w:rsid w:val="00307706"/>
    <w:rsid w:val="00311E0C"/>
    <w:rsid w:val="00311EA1"/>
    <w:rsid w:val="00312F7F"/>
    <w:rsid w:val="00314904"/>
    <w:rsid w:val="003312B9"/>
    <w:rsid w:val="00335680"/>
    <w:rsid w:val="003373D7"/>
    <w:rsid w:val="00346932"/>
    <w:rsid w:val="00346A0D"/>
    <w:rsid w:val="00347ACC"/>
    <w:rsid w:val="003551C5"/>
    <w:rsid w:val="00356A1A"/>
    <w:rsid w:val="00356A7F"/>
    <w:rsid w:val="00361450"/>
    <w:rsid w:val="003615C0"/>
    <w:rsid w:val="00361756"/>
    <w:rsid w:val="003673CF"/>
    <w:rsid w:val="0037135E"/>
    <w:rsid w:val="003714DF"/>
    <w:rsid w:val="00372712"/>
    <w:rsid w:val="00372CEF"/>
    <w:rsid w:val="00373891"/>
    <w:rsid w:val="0037625E"/>
    <w:rsid w:val="00377B94"/>
    <w:rsid w:val="00383908"/>
    <w:rsid w:val="00383E26"/>
    <w:rsid w:val="003845C1"/>
    <w:rsid w:val="00384B3D"/>
    <w:rsid w:val="00391D29"/>
    <w:rsid w:val="003941D4"/>
    <w:rsid w:val="00394704"/>
    <w:rsid w:val="003949BA"/>
    <w:rsid w:val="00397A57"/>
    <w:rsid w:val="003A3DA8"/>
    <w:rsid w:val="003A5A8B"/>
    <w:rsid w:val="003A6F89"/>
    <w:rsid w:val="003B0436"/>
    <w:rsid w:val="003B0AF9"/>
    <w:rsid w:val="003B2C75"/>
    <w:rsid w:val="003B38C1"/>
    <w:rsid w:val="003B5D0E"/>
    <w:rsid w:val="003B6885"/>
    <w:rsid w:val="003C2A3E"/>
    <w:rsid w:val="003C453F"/>
    <w:rsid w:val="003C4996"/>
    <w:rsid w:val="003C6A9D"/>
    <w:rsid w:val="003D499E"/>
    <w:rsid w:val="003E037C"/>
    <w:rsid w:val="003E17AE"/>
    <w:rsid w:val="003E6A1B"/>
    <w:rsid w:val="003E72C5"/>
    <w:rsid w:val="003F0B93"/>
    <w:rsid w:val="003F2FC1"/>
    <w:rsid w:val="003F3923"/>
    <w:rsid w:val="003F4503"/>
    <w:rsid w:val="003F45E0"/>
    <w:rsid w:val="00401337"/>
    <w:rsid w:val="004017B4"/>
    <w:rsid w:val="004038F9"/>
    <w:rsid w:val="00403A7E"/>
    <w:rsid w:val="00410F06"/>
    <w:rsid w:val="00411522"/>
    <w:rsid w:val="00413704"/>
    <w:rsid w:val="004161BA"/>
    <w:rsid w:val="00422909"/>
    <w:rsid w:val="00422966"/>
    <w:rsid w:val="00423E3E"/>
    <w:rsid w:val="0042789A"/>
    <w:rsid w:val="00427A68"/>
    <w:rsid w:val="00427AF4"/>
    <w:rsid w:val="00430362"/>
    <w:rsid w:val="00431A46"/>
    <w:rsid w:val="0043387A"/>
    <w:rsid w:val="00434BE9"/>
    <w:rsid w:val="004364F6"/>
    <w:rsid w:val="0044065F"/>
    <w:rsid w:val="004424E6"/>
    <w:rsid w:val="00442544"/>
    <w:rsid w:val="00444981"/>
    <w:rsid w:val="00447E6E"/>
    <w:rsid w:val="004511D0"/>
    <w:rsid w:val="004532C1"/>
    <w:rsid w:val="004539D5"/>
    <w:rsid w:val="00453ABA"/>
    <w:rsid w:val="00454F54"/>
    <w:rsid w:val="00455D32"/>
    <w:rsid w:val="00455F41"/>
    <w:rsid w:val="004615FF"/>
    <w:rsid w:val="00463A7F"/>
    <w:rsid w:val="004647DA"/>
    <w:rsid w:val="00466E3A"/>
    <w:rsid w:val="004705EF"/>
    <w:rsid w:val="0047254D"/>
    <w:rsid w:val="00474062"/>
    <w:rsid w:val="00477567"/>
    <w:rsid w:val="00477D6B"/>
    <w:rsid w:val="00477E7B"/>
    <w:rsid w:val="004849C3"/>
    <w:rsid w:val="00485B88"/>
    <w:rsid w:val="00487EE2"/>
    <w:rsid w:val="004911E9"/>
    <w:rsid w:val="004933BE"/>
    <w:rsid w:val="0049388B"/>
    <w:rsid w:val="00497903"/>
    <w:rsid w:val="004A2B16"/>
    <w:rsid w:val="004B3301"/>
    <w:rsid w:val="004B4A83"/>
    <w:rsid w:val="004C2A8F"/>
    <w:rsid w:val="004C7E90"/>
    <w:rsid w:val="004D37F5"/>
    <w:rsid w:val="004D3C96"/>
    <w:rsid w:val="004D3CAD"/>
    <w:rsid w:val="004D4F43"/>
    <w:rsid w:val="004E047F"/>
    <w:rsid w:val="004E1374"/>
    <w:rsid w:val="004E38B7"/>
    <w:rsid w:val="004E41D8"/>
    <w:rsid w:val="004E427A"/>
    <w:rsid w:val="004F0BD2"/>
    <w:rsid w:val="004F4844"/>
    <w:rsid w:val="004F6586"/>
    <w:rsid w:val="005019FF"/>
    <w:rsid w:val="00503819"/>
    <w:rsid w:val="0051043C"/>
    <w:rsid w:val="00516EAC"/>
    <w:rsid w:val="00523B20"/>
    <w:rsid w:val="00524A92"/>
    <w:rsid w:val="005274F0"/>
    <w:rsid w:val="0053020E"/>
    <w:rsid w:val="0053057A"/>
    <w:rsid w:val="00533B24"/>
    <w:rsid w:val="0053765E"/>
    <w:rsid w:val="00537CD9"/>
    <w:rsid w:val="00537ECE"/>
    <w:rsid w:val="00541835"/>
    <w:rsid w:val="00541C02"/>
    <w:rsid w:val="005427CB"/>
    <w:rsid w:val="00545E3A"/>
    <w:rsid w:val="00556610"/>
    <w:rsid w:val="00557AB9"/>
    <w:rsid w:val="00560240"/>
    <w:rsid w:val="0056056D"/>
    <w:rsid w:val="00560A29"/>
    <w:rsid w:val="0056233E"/>
    <w:rsid w:val="00565907"/>
    <w:rsid w:val="00573477"/>
    <w:rsid w:val="0058016C"/>
    <w:rsid w:val="005904B2"/>
    <w:rsid w:val="00595284"/>
    <w:rsid w:val="00595F64"/>
    <w:rsid w:val="005960AA"/>
    <w:rsid w:val="005A05E6"/>
    <w:rsid w:val="005A06C4"/>
    <w:rsid w:val="005A3259"/>
    <w:rsid w:val="005A5BED"/>
    <w:rsid w:val="005A5C80"/>
    <w:rsid w:val="005B069A"/>
    <w:rsid w:val="005B2BD2"/>
    <w:rsid w:val="005B2DCE"/>
    <w:rsid w:val="005B328E"/>
    <w:rsid w:val="005B4E98"/>
    <w:rsid w:val="005B7E78"/>
    <w:rsid w:val="005C00A2"/>
    <w:rsid w:val="005C32F2"/>
    <w:rsid w:val="005C3489"/>
    <w:rsid w:val="005C4308"/>
    <w:rsid w:val="005C6649"/>
    <w:rsid w:val="005D14D9"/>
    <w:rsid w:val="005D15A1"/>
    <w:rsid w:val="005D2B76"/>
    <w:rsid w:val="005D2C52"/>
    <w:rsid w:val="005D55DD"/>
    <w:rsid w:val="005E3112"/>
    <w:rsid w:val="005E4F40"/>
    <w:rsid w:val="005E5248"/>
    <w:rsid w:val="005E65BF"/>
    <w:rsid w:val="005F181B"/>
    <w:rsid w:val="005F4182"/>
    <w:rsid w:val="005F5BDC"/>
    <w:rsid w:val="005F69C7"/>
    <w:rsid w:val="005F6FB6"/>
    <w:rsid w:val="00600CA9"/>
    <w:rsid w:val="006030A2"/>
    <w:rsid w:val="006030B4"/>
    <w:rsid w:val="0060485C"/>
    <w:rsid w:val="00605827"/>
    <w:rsid w:val="00607960"/>
    <w:rsid w:val="00612677"/>
    <w:rsid w:val="00612B1A"/>
    <w:rsid w:val="00612D65"/>
    <w:rsid w:val="00613387"/>
    <w:rsid w:val="00615F11"/>
    <w:rsid w:val="00621E0C"/>
    <w:rsid w:val="00622604"/>
    <w:rsid w:val="00626EFB"/>
    <w:rsid w:val="00631217"/>
    <w:rsid w:val="00636866"/>
    <w:rsid w:val="006372F0"/>
    <w:rsid w:val="0063764F"/>
    <w:rsid w:val="006405DB"/>
    <w:rsid w:val="006428CA"/>
    <w:rsid w:val="0064470D"/>
    <w:rsid w:val="00645510"/>
    <w:rsid w:val="006458C6"/>
    <w:rsid w:val="00646050"/>
    <w:rsid w:val="00647953"/>
    <w:rsid w:val="0065289F"/>
    <w:rsid w:val="00654E70"/>
    <w:rsid w:val="006578FC"/>
    <w:rsid w:val="00664921"/>
    <w:rsid w:val="00665E34"/>
    <w:rsid w:val="00666B0F"/>
    <w:rsid w:val="00666FF8"/>
    <w:rsid w:val="00670276"/>
    <w:rsid w:val="006713CA"/>
    <w:rsid w:val="0067438A"/>
    <w:rsid w:val="00675B9D"/>
    <w:rsid w:val="00676C5C"/>
    <w:rsid w:val="00686D24"/>
    <w:rsid w:val="00691235"/>
    <w:rsid w:val="00691686"/>
    <w:rsid w:val="00692D2A"/>
    <w:rsid w:val="00693D66"/>
    <w:rsid w:val="006A1854"/>
    <w:rsid w:val="006A2AD1"/>
    <w:rsid w:val="006A5DE0"/>
    <w:rsid w:val="006A77AE"/>
    <w:rsid w:val="006B72B1"/>
    <w:rsid w:val="006C0619"/>
    <w:rsid w:val="006C2067"/>
    <w:rsid w:val="006C2497"/>
    <w:rsid w:val="006C4C09"/>
    <w:rsid w:val="006C512D"/>
    <w:rsid w:val="006C7EFA"/>
    <w:rsid w:val="006D0C99"/>
    <w:rsid w:val="006E0D0A"/>
    <w:rsid w:val="006E4EC9"/>
    <w:rsid w:val="006E7BC3"/>
    <w:rsid w:val="006F2F37"/>
    <w:rsid w:val="006F3C0D"/>
    <w:rsid w:val="006F58BF"/>
    <w:rsid w:val="00701EF7"/>
    <w:rsid w:val="00702CCE"/>
    <w:rsid w:val="00712230"/>
    <w:rsid w:val="00720247"/>
    <w:rsid w:val="00723C2C"/>
    <w:rsid w:val="00723EBF"/>
    <w:rsid w:val="007273F7"/>
    <w:rsid w:val="007309BB"/>
    <w:rsid w:val="00736875"/>
    <w:rsid w:val="007436EC"/>
    <w:rsid w:val="00744ED4"/>
    <w:rsid w:val="0075071A"/>
    <w:rsid w:val="007518BF"/>
    <w:rsid w:val="007522B8"/>
    <w:rsid w:val="007523CC"/>
    <w:rsid w:val="007554D6"/>
    <w:rsid w:val="007559E7"/>
    <w:rsid w:val="00756458"/>
    <w:rsid w:val="00756BBA"/>
    <w:rsid w:val="007576F9"/>
    <w:rsid w:val="00770E4F"/>
    <w:rsid w:val="00771A29"/>
    <w:rsid w:val="00771F21"/>
    <w:rsid w:val="00781FB2"/>
    <w:rsid w:val="007841D0"/>
    <w:rsid w:val="0078442B"/>
    <w:rsid w:val="00785F28"/>
    <w:rsid w:val="00786AEB"/>
    <w:rsid w:val="00793CFA"/>
    <w:rsid w:val="00793EA1"/>
    <w:rsid w:val="007947F8"/>
    <w:rsid w:val="00797200"/>
    <w:rsid w:val="007974F7"/>
    <w:rsid w:val="00797BE7"/>
    <w:rsid w:val="007A1D70"/>
    <w:rsid w:val="007A335A"/>
    <w:rsid w:val="007A38C9"/>
    <w:rsid w:val="007A50EA"/>
    <w:rsid w:val="007B1897"/>
    <w:rsid w:val="007C1FDE"/>
    <w:rsid w:val="007C5249"/>
    <w:rsid w:val="007D1613"/>
    <w:rsid w:val="007D2104"/>
    <w:rsid w:val="007D3015"/>
    <w:rsid w:val="007D7C24"/>
    <w:rsid w:val="007E1C53"/>
    <w:rsid w:val="007E3D2E"/>
    <w:rsid w:val="007E4C0E"/>
    <w:rsid w:val="007E59C6"/>
    <w:rsid w:val="007E5FFF"/>
    <w:rsid w:val="007E6237"/>
    <w:rsid w:val="007F0D4E"/>
    <w:rsid w:val="007F46E2"/>
    <w:rsid w:val="007F536A"/>
    <w:rsid w:val="007F7720"/>
    <w:rsid w:val="007F7864"/>
    <w:rsid w:val="008126D1"/>
    <w:rsid w:val="008157F2"/>
    <w:rsid w:val="008200B5"/>
    <w:rsid w:val="008206F7"/>
    <w:rsid w:val="008215C6"/>
    <w:rsid w:val="00822541"/>
    <w:rsid w:val="008236CB"/>
    <w:rsid w:val="008251F0"/>
    <w:rsid w:val="00826913"/>
    <w:rsid w:val="00826FA7"/>
    <w:rsid w:val="008273B7"/>
    <w:rsid w:val="00830C51"/>
    <w:rsid w:val="008312E8"/>
    <w:rsid w:val="00837772"/>
    <w:rsid w:val="008465F5"/>
    <w:rsid w:val="00847401"/>
    <w:rsid w:val="00847EA8"/>
    <w:rsid w:val="00851096"/>
    <w:rsid w:val="0085370A"/>
    <w:rsid w:val="00854B92"/>
    <w:rsid w:val="0085760F"/>
    <w:rsid w:val="00857EDE"/>
    <w:rsid w:val="00864BD7"/>
    <w:rsid w:val="00867B5E"/>
    <w:rsid w:val="008762D9"/>
    <w:rsid w:val="008810DE"/>
    <w:rsid w:val="00881EE3"/>
    <w:rsid w:val="00885E73"/>
    <w:rsid w:val="00890775"/>
    <w:rsid w:val="00893456"/>
    <w:rsid w:val="00896B81"/>
    <w:rsid w:val="00897DED"/>
    <w:rsid w:val="008A134B"/>
    <w:rsid w:val="008A4622"/>
    <w:rsid w:val="008A7BD3"/>
    <w:rsid w:val="008B2CC1"/>
    <w:rsid w:val="008B60B2"/>
    <w:rsid w:val="008B6187"/>
    <w:rsid w:val="008B6A1F"/>
    <w:rsid w:val="008C0E1D"/>
    <w:rsid w:val="008C31CE"/>
    <w:rsid w:val="008C4B27"/>
    <w:rsid w:val="008D026C"/>
    <w:rsid w:val="008D17AE"/>
    <w:rsid w:val="008D1B77"/>
    <w:rsid w:val="008D4624"/>
    <w:rsid w:val="008D51AA"/>
    <w:rsid w:val="008E0647"/>
    <w:rsid w:val="008E0D70"/>
    <w:rsid w:val="008E39E0"/>
    <w:rsid w:val="008E5492"/>
    <w:rsid w:val="008F1076"/>
    <w:rsid w:val="008F15A9"/>
    <w:rsid w:val="008F2C7F"/>
    <w:rsid w:val="008F43F2"/>
    <w:rsid w:val="008F67BB"/>
    <w:rsid w:val="00900210"/>
    <w:rsid w:val="00902D29"/>
    <w:rsid w:val="009049F3"/>
    <w:rsid w:val="0090731E"/>
    <w:rsid w:val="00911ADC"/>
    <w:rsid w:val="00916EE2"/>
    <w:rsid w:val="00926DEA"/>
    <w:rsid w:val="00931077"/>
    <w:rsid w:val="009350C8"/>
    <w:rsid w:val="009357AD"/>
    <w:rsid w:val="0093713D"/>
    <w:rsid w:val="00940BD3"/>
    <w:rsid w:val="00953B06"/>
    <w:rsid w:val="00954C24"/>
    <w:rsid w:val="0096331C"/>
    <w:rsid w:val="00965A90"/>
    <w:rsid w:val="00966A22"/>
    <w:rsid w:val="0096722F"/>
    <w:rsid w:val="0097329E"/>
    <w:rsid w:val="009740BD"/>
    <w:rsid w:val="0097504D"/>
    <w:rsid w:val="00975E73"/>
    <w:rsid w:val="00980843"/>
    <w:rsid w:val="009809F0"/>
    <w:rsid w:val="009834A3"/>
    <w:rsid w:val="009858DD"/>
    <w:rsid w:val="009909AF"/>
    <w:rsid w:val="009A0977"/>
    <w:rsid w:val="009A10EF"/>
    <w:rsid w:val="009A27F2"/>
    <w:rsid w:val="009A29B9"/>
    <w:rsid w:val="009A536F"/>
    <w:rsid w:val="009B179D"/>
    <w:rsid w:val="009B6058"/>
    <w:rsid w:val="009C213C"/>
    <w:rsid w:val="009C2BB8"/>
    <w:rsid w:val="009C4262"/>
    <w:rsid w:val="009C553B"/>
    <w:rsid w:val="009C67BA"/>
    <w:rsid w:val="009C6B3C"/>
    <w:rsid w:val="009D338C"/>
    <w:rsid w:val="009D4C80"/>
    <w:rsid w:val="009D6763"/>
    <w:rsid w:val="009D785F"/>
    <w:rsid w:val="009E1DED"/>
    <w:rsid w:val="009E2791"/>
    <w:rsid w:val="009E3F6F"/>
    <w:rsid w:val="009E6B30"/>
    <w:rsid w:val="009F18F0"/>
    <w:rsid w:val="009F248E"/>
    <w:rsid w:val="009F251F"/>
    <w:rsid w:val="009F2801"/>
    <w:rsid w:val="009F4948"/>
    <w:rsid w:val="009F499F"/>
    <w:rsid w:val="009F4A8D"/>
    <w:rsid w:val="009F6A56"/>
    <w:rsid w:val="00A0121B"/>
    <w:rsid w:val="00A02558"/>
    <w:rsid w:val="00A02620"/>
    <w:rsid w:val="00A04BD5"/>
    <w:rsid w:val="00A07ADE"/>
    <w:rsid w:val="00A07C4A"/>
    <w:rsid w:val="00A10E4D"/>
    <w:rsid w:val="00A11CB7"/>
    <w:rsid w:val="00A16339"/>
    <w:rsid w:val="00A21DA2"/>
    <w:rsid w:val="00A32148"/>
    <w:rsid w:val="00A32926"/>
    <w:rsid w:val="00A36C28"/>
    <w:rsid w:val="00A36E29"/>
    <w:rsid w:val="00A37342"/>
    <w:rsid w:val="00A41FE2"/>
    <w:rsid w:val="00A42DAF"/>
    <w:rsid w:val="00A4550F"/>
    <w:rsid w:val="00A45BD8"/>
    <w:rsid w:val="00A5092C"/>
    <w:rsid w:val="00A55E44"/>
    <w:rsid w:val="00A56296"/>
    <w:rsid w:val="00A57F25"/>
    <w:rsid w:val="00A62E11"/>
    <w:rsid w:val="00A6349C"/>
    <w:rsid w:val="00A64BB2"/>
    <w:rsid w:val="00A655C2"/>
    <w:rsid w:val="00A66B76"/>
    <w:rsid w:val="00A67641"/>
    <w:rsid w:val="00A736F7"/>
    <w:rsid w:val="00A7463E"/>
    <w:rsid w:val="00A74CBA"/>
    <w:rsid w:val="00A75030"/>
    <w:rsid w:val="00A757E9"/>
    <w:rsid w:val="00A75FF4"/>
    <w:rsid w:val="00A763B6"/>
    <w:rsid w:val="00A765E9"/>
    <w:rsid w:val="00A76CFD"/>
    <w:rsid w:val="00A869B7"/>
    <w:rsid w:val="00A87350"/>
    <w:rsid w:val="00A8739F"/>
    <w:rsid w:val="00A90F81"/>
    <w:rsid w:val="00A93E6C"/>
    <w:rsid w:val="00A94479"/>
    <w:rsid w:val="00AA460A"/>
    <w:rsid w:val="00AA4D9D"/>
    <w:rsid w:val="00AA5CA4"/>
    <w:rsid w:val="00AA7A69"/>
    <w:rsid w:val="00AC205C"/>
    <w:rsid w:val="00AC4B29"/>
    <w:rsid w:val="00AD1BD6"/>
    <w:rsid w:val="00AD1F66"/>
    <w:rsid w:val="00AD5106"/>
    <w:rsid w:val="00AD5687"/>
    <w:rsid w:val="00AE159F"/>
    <w:rsid w:val="00AE1A2E"/>
    <w:rsid w:val="00AE1CCC"/>
    <w:rsid w:val="00AE3F3B"/>
    <w:rsid w:val="00AF0557"/>
    <w:rsid w:val="00AF0A6B"/>
    <w:rsid w:val="00AF2FC1"/>
    <w:rsid w:val="00AF5661"/>
    <w:rsid w:val="00AF742B"/>
    <w:rsid w:val="00B00718"/>
    <w:rsid w:val="00B058B9"/>
    <w:rsid w:val="00B05A69"/>
    <w:rsid w:val="00B05E22"/>
    <w:rsid w:val="00B1295A"/>
    <w:rsid w:val="00B12C8C"/>
    <w:rsid w:val="00B146E1"/>
    <w:rsid w:val="00B16503"/>
    <w:rsid w:val="00B24180"/>
    <w:rsid w:val="00B27545"/>
    <w:rsid w:val="00B3318F"/>
    <w:rsid w:val="00B33426"/>
    <w:rsid w:val="00B33E3F"/>
    <w:rsid w:val="00B34607"/>
    <w:rsid w:val="00B34D8C"/>
    <w:rsid w:val="00B424D4"/>
    <w:rsid w:val="00B4466F"/>
    <w:rsid w:val="00B45773"/>
    <w:rsid w:val="00B45CD0"/>
    <w:rsid w:val="00B45FD4"/>
    <w:rsid w:val="00B53795"/>
    <w:rsid w:val="00B53C3A"/>
    <w:rsid w:val="00B57155"/>
    <w:rsid w:val="00B5742E"/>
    <w:rsid w:val="00B61EE9"/>
    <w:rsid w:val="00B6348F"/>
    <w:rsid w:val="00B6392D"/>
    <w:rsid w:val="00B655DA"/>
    <w:rsid w:val="00B65951"/>
    <w:rsid w:val="00B70F51"/>
    <w:rsid w:val="00B76F30"/>
    <w:rsid w:val="00B806F1"/>
    <w:rsid w:val="00B816A0"/>
    <w:rsid w:val="00B82E96"/>
    <w:rsid w:val="00B840BF"/>
    <w:rsid w:val="00B90947"/>
    <w:rsid w:val="00B9734B"/>
    <w:rsid w:val="00B97D32"/>
    <w:rsid w:val="00BA2E3E"/>
    <w:rsid w:val="00BA30E2"/>
    <w:rsid w:val="00BA4FD1"/>
    <w:rsid w:val="00BA7066"/>
    <w:rsid w:val="00BB0076"/>
    <w:rsid w:val="00BB09A4"/>
    <w:rsid w:val="00BB2BFA"/>
    <w:rsid w:val="00BB460F"/>
    <w:rsid w:val="00BB4EF8"/>
    <w:rsid w:val="00BB58D7"/>
    <w:rsid w:val="00BB7AC6"/>
    <w:rsid w:val="00BC6211"/>
    <w:rsid w:val="00BD046F"/>
    <w:rsid w:val="00BD4F8D"/>
    <w:rsid w:val="00BD6C64"/>
    <w:rsid w:val="00BE3A23"/>
    <w:rsid w:val="00BE4539"/>
    <w:rsid w:val="00BE4E22"/>
    <w:rsid w:val="00BE4ECE"/>
    <w:rsid w:val="00BE7EBE"/>
    <w:rsid w:val="00BF0C06"/>
    <w:rsid w:val="00BF0C0E"/>
    <w:rsid w:val="00BF1FBA"/>
    <w:rsid w:val="00BF3857"/>
    <w:rsid w:val="00BF5A49"/>
    <w:rsid w:val="00BF5C89"/>
    <w:rsid w:val="00C02FEE"/>
    <w:rsid w:val="00C04BEF"/>
    <w:rsid w:val="00C0569B"/>
    <w:rsid w:val="00C05FF4"/>
    <w:rsid w:val="00C06B63"/>
    <w:rsid w:val="00C07CA1"/>
    <w:rsid w:val="00C101CA"/>
    <w:rsid w:val="00C11BFE"/>
    <w:rsid w:val="00C125AC"/>
    <w:rsid w:val="00C12A20"/>
    <w:rsid w:val="00C13575"/>
    <w:rsid w:val="00C15AD1"/>
    <w:rsid w:val="00C217A5"/>
    <w:rsid w:val="00C2229D"/>
    <w:rsid w:val="00C23A6F"/>
    <w:rsid w:val="00C23CD2"/>
    <w:rsid w:val="00C25CC9"/>
    <w:rsid w:val="00C33887"/>
    <w:rsid w:val="00C35885"/>
    <w:rsid w:val="00C36948"/>
    <w:rsid w:val="00C414E2"/>
    <w:rsid w:val="00C46341"/>
    <w:rsid w:val="00C5068F"/>
    <w:rsid w:val="00C50D69"/>
    <w:rsid w:val="00C5156F"/>
    <w:rsid w:val="00C5279C"/>
    <w:rsid w:val="00C547C0"/>
    <w:rsid w:val="00C55C1D"/>
    <w:rsid w:val="00C57E73"/>
    <w:rsid w:val="00C602CE"/>
    <w:rsid w:val="00C6094E"/>
    <w:rsid w:val="00C63085"/>
    <w:rsid w:val="00C63468"/>
    <w:rsid w:val="00C67470"/>
    <w:rsid w:val="00C67E30"/>
    <w:rsid w:val="00C70F66"/>
    <w:rsid w:val="00C77E47"/>
    <w:rsid w:val="00C806C6"/>
    <w:rsid w:val="00C80C96"/>
    <w:rsid w:val="00C815AB"/>
    <w:rsid w:val="00C83CB3"/>
    <w:rsid w:val="00C85162"/>
    <w:rsid w:val="00C86D74"/>
    <w:rsid w:val="00C87A8E"/>
    <w:rsid w:val="00C93F6D"/>
    <w:rsid w:val="00CA5FF0"/>
    <w:rsid w:val="00CA680A"/>
    <w:rsid w:val="00CB1D8C"/>
    <w:rsid w:val="00CB207E"/>
    <w:rsid w:val="00CB3A7E"/>
    <w:rsid w:val="00CB46B3"/>
    <w:rsid w:val="00CB5791"/>
    <w:rsid w:val="00CB6845"/>
    <w:rsid w:val="00CB7DAE"/>
    <w:rsid w:val="00CB7FA9"/>
    <w:rsid w:val="00CC0C0C"/>
    <w:rsid w:val="00CC137B"/>
    <w:rsid w:val="00CC14AA"/>
    <w:rsid w:val="00CC3607"/>
    <w:rsid w:val="00CC62C1"/>
    <w:rsid w:val="00CC7084"/>
    <w:rsid w:val="00CD04F1"/>
    <w:rsid w:val="00CD16C2"/>
    <w:rsid w:val="00CD2041"/>
    <w:rsid w:val="00CD4AEA"/>
    <w:rsid w:val="00CD6D1F"/>
    <w:rsid w:val="00CD6FD3"/>
    <w:rsid w:val="00CE3272"/>
    <w:rsid w:val="00CE4384"/>
    <w:rsid w:val="00CE5846"/>
    <w:rsid w:val="00CF3AC5"/>
    <w:rsid w:val="00CF6D17"/>
    <w:rsid w:val="00CF7ED6"/>
    <w:rsid w:val="00D1446D"/>
    <w:rsid w:val="00D14DD2"/>
    <w:rsid w:val="00D20361"/>
    <w:rsid w:val="00D20F17"/>
    <w:rsid w:val="00D21937"/>
    <w:rsid w:val="00D25A91"/>
    <w:rsid w:val="00D25E98"/>
    <w:rsid w:val="00D261DA"/>
    <w:rsid w:val="00D26562"/>
    <w:rsid w:val="00D2683E"/>
    <w:rsid w:val="00D26D84"/>
    <w:rsid w:val="00D311B2"/>
    <w:rsid w:val="00D32F22"/>
    <w:rsid w:val="00D35BD6"/>
    <w:rsid w:val="00D37931"/>
    <w:rsid w:val="00D41DEA"/>
    <w:rsid w:val="00D43024"/>
    <w:rsid w:val="00D45252"/>
    <w:rsid w:val="00D4687F"/>
    <w:rsid w:val="00D47763"/>
    <w:rsid w:val="00D53BDD"/>
    <w:rsid w:val="00D61833"/>
    <w:rsid w:val="00D622FF"/>
    <w:rsid w:val="00D71B4D"/>
    <w:rsid w:val="00D729C3"/>
    <w:rsid w:val="00D73650"/>
    <w:rsid w:val="00D73EAD"/>
    <w:rsid w:val="00D74F0E"/>
    <w:rsid w:val="00D75CDF"/>
    <w:rsid w:val="00D76AEB"/>
    <w:rsid w:val="00D7762E"/>
    <w:rsid w:val="00D80C6C"/>
    <w:rsid w:val="00D82883"/>
    <w:rsid w:val="00D914F5"/>
    <w:rsid w:val="00D93D55"/>
    <w:rsid w:val="00D93EA0"/>
    <w:rsid w:val="00D95A0F"/>
    <w:rsid w:val="00DA1404"/>
    <w:rsid w:val="00DA250A"/>
    <w:rsid w:val="00DA59CC"/>
    <w:rsid w:val="00DB5B3E"/>
    <w:rsid w:val="00DB791B"/>
    <w:rsid w:val="00DC23A5"/>
    <w:rsid w:val="00DC23DB"/>
    <w:rsid w:val="00DD3AA8"/>
    <w:rsid w:val="00DD42F8"/>
    <w:rsid w:val="00DD4A38"/>
    <w:rsid w:val="00DD5783"/>
    <w:rsid w:val="00DD7399"/>
    <w:rsid w:val="00DE2D75"/>
    <w:rsid w:val="00DE3BEF"/>
    <w:rsid w:val="00DE68A1"/>
    <w:rsid w:val="00DF21DF"/>
    <w:rsid w:val="00DF33A3"/>
    <w:rsid w:val="00E0061A"/>
    <w:rsid w:val="00E0101A"/>
    <w:rsid w:val="00E0204A"/>
    <w:rsid w:val="00E0237E"/>
    <w:rsid w:val="00E069B7"/>
    <w:rsid w:val="00E07141"/>
    <w:rsid w:val="00E0715E"/>
    <w:rsid w:val="00E10A52"/>
    <w:rsid w:val="00E10AD2"/>
    <w:rsid w:val="00E15015"/>
    <w:rsid w:val="00E16AA9"/>
    <w:rsid w:val="00E17F07"/>
    <w:rsid w:val="00E2060C"/>
    <w:rsid w:val="00E2124B"/>
    <w:rsid w:val="00E23D05"/>
    <w:rsid w:val="00E26B64"/>
    <w:rsid w:val="00E27515"/>
    <w:rsid w:val="00E30695"/>
    <w:rsid w:val="00E335FE"/>
    <w:rsid w:val="00E35697"/>
    <w:rsid w:val="00E40C9B"/>
    <w:rsid w:val="00E42396"/>
    <w:rsid w:val="00E42849"/>
    <w:rsid w:val="00E53DDB"/>
    <w:rsid w:val="00E54B2C"/>
    <w:rsid w:val="00E62898"/>
    <w:rsid w:val="00E64682"/>
    <w:rsid w:val="00E6712A"/>
    <w:rsid w:val="00E74C2E"/>
    <w:rsid w:val="00E76A5E"/>
    <w:rsid w:val="00E855A0"/>
    <w:rsid w:val="00E857FA"/>
    <w:rsid w:val="00E9052F"/>
    <w:rsid w:val="00E9131C"/>
    <w:rsid w:val="00E916CC"/>
    <w:rsid w:val="00E95A62"/>
    <w:rsid w:val="00EA2C7C"/>
    <w:rsid w:val="00EA7D6E"/>
    <w:rsid w:val="00EB3EFE"/>
    <w:rsid w:val="00EB4A76"/>
    <w:rsid w:val="00EB4D5F"/>
    <w:rsid w:val="00EB6564"/>
    <w:rsid w:val="00EB6649"/>
    <w:rsid w:val="00EB7526"/>
    <w:rsid w:val="00EC0C32"/>
    <w:rsid w:val="00EC38CB"/>
    <w:rsid w:val="00EC4E49"/>
    <w:rsid w:val="00ED13A9"/>
    <w:rsid w:val="00ED4827"/>
    <w:rsid w:val="00ED5743"/>
    <w:rsid w:val="00ED77FB"/>
    <w:rsid w:val="00ED79FD"/>
    <w:rsid w:val="00EE00AB"/>
    <w:rsid w:val="00EE170F"/>
    <w:rsid w:val="00EE45FA"/>
    <w:rsid w:val="00EE7665"/>
    <w:rsid w:val="00EF081B"/>
    <w:rsid w:val="00EF0D70"/>
    <w:rsid w:val="00EF421A"/>
    <w:rsid w:val="00F1186D"/>
    <w:rsid w:val="00F17755"/>
    <w:rsid w:val="00F201D1"/>
    <w:rsid w:val="00F21895"/>
    <w:rsid w:val="00F25EE8"/>
    <w:rsid w:val="00F26875"/>
    <w:rsid w:val="00F27739"/>
    <w:rsid w:val="00F47406"/>
    <w:rsid w:val="00F51D6F"/>
    <w:rsid w:val="00F52AB1"/>
    <w:rsid w:val="00F545EA"/>
    <w:rsid w:val="00F54F5F"/>
    <w:rsid w:val="00F62EA6"/>
    <w:rsid w:val="00F64EDD"/>
    <w:rsid w:val="00F65EB3"/>
    <w:rsid w:val="00F66152"/>
    <w:rsid w:val="00F678F1"/>
    <w:rsid w:val="00F720D9"/>
    <w:rsid w:val="00F74555"/>
    <w:rsid w:val="00F758AD"/>
    <w:rsid w:val="00F777C0"/>
    <w:rsid w:val="00F8095F"/>
    <w:rsid w:val="00F84D50"/>
    <w:rsid w:val="00F85144"/>
    <w:rsid w:val="00F949B9"/>
    <w:rsid w:val="00F94E36"/>
    <w:rsid w:val="00F963BA"/>
    <w:rsid w:val="00F96E0E"/>
    <w:rsid w:val="00FA046B"/>
    <w:rsid w:val="00FA1D9C"/>
    <w:rsid w:val="00FA210B"/>
    <w:rsid w:val="00FA57E8"/>
    <w:rsid w:val="00FA68B5"/>
    <w:rsid w:val="00FA69CE"/>
    <w:rsid w:val="00FA6E6E"/>
    <w:rsid w:val="00FA74A2"/>
    <w:rsid w:val="00FB4BC1"/>
    <w:rsid w:val="00FB5CE2"/>
    <w:rsid w:val="00FB6977"/>
    <w:rsid w:val="00FC0CB2"/>
    <w:rsid w:val="00FC42B5"/>
    <w:rsid w:val="00FC694F"/>
    <w:rsid w:val="00FC792B"/>
    <w:rsid w:val="00FD145F"/>
    <w:rsid w:val="00FD1AEA"/>
    <w:rsid w:val="00FD4671"/>
    <w:rsid w:val="00FD654D"/>
    <w:rsid w:val="00FD6829"/>
    <w:rsid w:val="00FE3CC0"/>
    <w:rsid w:val="00FE3E3E"/>
    <w:rsid w:val="00FE7CA9"/>
    <w:rsid w:val="00FF4BDF"/>
    <w:rsid w:val="00FF563E"/>
    <w:rsid w:val="00FF5B8F"/>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5C6096D3"/>
  <w15:docId w15:val="{5C799702-743F-4441-A577-A02363336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1C53"/>
    <w:rPr>
      <w:rFonts w:ascii="Arial" w:eastAsia="SimSun" w:hAnsi="Arial" w:cs="Arial"/>
      <w:sz w:val="22"/>
      <w:lang w:val="fr-FR" w:eastAsia="zh-CN"/>
    </w:rPr>
  </w:style>
  <w:style w:type="paragraph" w:styleId="Heading1">
    <w:name w:val="heading 1"/>
    <w:basedOn w:val="Normal"/>
    <w:next w:val="Normal"/>
    <w:qFormat/>
    <w:rsid w:val="007E1C53"/>
    <w:pPr>
      <w:keepNext/>
      <w:spacing w:after="600"/>
      <w:outlineLvl w:val="0"/>
    </w:pPr>
    <w:rPr>
      <w:bCs/>
      <w:caps/>
      <w:color w:val="000000"/>
      <w:kern w:val="32"/>
      <w:sz w:val="24"/>
      <w:szCs w:val="24"/>
      <w:lang w:val="fr-CH"/>
    </w:rPr>
  </w:style>
  <w:style w:type="paragraph" w:styleId="Heading2">
    <w:name w:val="heading 2"/>
    <w:basedOn w:val="Normal"/>
    <w:next w:val="Normal"/>
    <w:autoRedefine/>
    <w:qFormat/>
    <w:rsid w:val="007E1C53"/>
    <w:pPr>
      <w:keepNext/>
      <w:spacing w:before="240" w:after="280"/>
      <w:outlineLvl w:val="1"/>
    </w:pPr>
    <w:rPr>
      <w:b/>
      <w:bCs/>
      <w:iCs/>
      <w:caps/>
      <w:szCs w:val="28"/>
    </w:rPr>
  </w:style>
  <w:style w:type="paragraph" w:styleId="Heading3">
    <w:name w:val="heading 3"/>
    <w:basedOn w:val="Normal"/>
    <w:next w:val="Normal"/>
    <w:qFormat/>
    <w:rsid w:val="007E1C53"/>
    <w:pPr>
      <w:keepNext/>
      <w:numPr>
        <w:ilvl w:val="2"/>
        <w:numId w:val="8"/>
      </w:numPr>
      <w:spacing w:before="240" w:after="280"/>
      <w:outlineLvl w:val="2"/>
    </w:pPr>
    <w:rPr>
      <w:bCs/>
      <w:caps/>
      <w:szCs w:val="26"/>
    </w:rPr>
  </w:style>
  <w:style w:type="paragraph" w:styleId="Heading4">
    <w:name w:val="heading 4"/>
    <w:basedOn w:val="Normal"/>
    <w:next w:val="Normal"/>
    <w:autoRedefine/>
    <w:qFormat/>
    <w:rsid w:val="00FF563E"/>
    <w:pPr>
      <w:keepNext/>
      <w:numPr>
        <w:ilvl w:val="3"/>
        <w:numId w:val="8"/>
      </w:numPr>
      <w:spacing w:before="240" w:after="280"/>
      <w:outlineLvl w:val="3"/>
    </w:pPr>
    <w:rPr>
      <w:bCs/>
      <w:caps/>
      <w:szCs w:val="28"/>
      <w:lang w:val="fr-CH"/>
    </w:rPr>
  </w:style>
  <w:style w:type="paragraph" w:styleId="Heading5">
    <w:name w:val="heading 5"/>
    <w:basedOn w:val="Normal"/>
    <w:next w:val="Normal"/>
    <w:link w:val="Heading5Char"/>
    <w:unhideWhenUsed/>
    <w:qFormat/>
    <w:rsid w:val="00FF563E"/>
    <w:pPr>
      <w:keepNext/>
      <w:keepLines/>
      <w:numPr>
        <w:ilvl w:val="4"/>
        <w:numId w:val="8"/>
      </w:numPr>
      <w:spacing w:before="240" w:after="280"/>
      <w:outlineLvl w:val="4"/>
    </w:pPr>
    <w:rPr>
      <w:rFonts w:eastAsiaTheme="majorEastAsia"/>
      <w:i/>
    </w:rPr>
  </w:style>
  <w:style w:type="paragraph" w:styleId="Heading6">
    <w:name w:val="heading 6"/>
    <w:basedOn w:val="Normal"/>
    <w:next w:val="Normal"/>
    <w:link w:val="Heading6Char"/>
    <w:unhideWhenUsed/>
    <w:qFormat/>
    <w:rsid w:val="00665E34"/>
    <w:pPr>
      <w:keepNext/>
      <w:keepLines/>
      <w:spacing w:before="240" w:after="280"/>
      <w:outlineLvl w:val="5"/>
    </w:pPr>
    <w:rPr>
      <w:rFonts w:eastAsiaTheme="majorEastAsia"/>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7E1C53"/>
    <w:pPr>
      <w:spacing w:before="720"/>
      <w:ind w:left="5534"/>
    </w:pPr>
  </w:style>
  <w:style w:type="paragraph" w:styleId="BodyText">
    <w:name w:val="Body Text"/>
    <w:basedOn w:val="Normal"/>
    <w:link w:val="BodyTextChar"/>
    <w:rsid w:val="007E1C53"/>
    <w:pPr>
      <w:spacing w:after="220"/>
    </w:pPr>
  </w:style>
  <w:style w:type="paragraph" w:styleId="Caption">
    <w:name w:val="caption"/>
    <w:basedOn w:val="Normal"/>
    <w:next w:val="Normal"/>
    <w:qFormat/>
    <w:rsid w:val="007E1C53"/>
    <w:rPr>
      <w:b/>
      <w:bCs/>
      <w:sz w:val="18"/>
    </w:rPr>
  </w:style>
  <w:style w:type="paragraph" w:styleId="CommentText">
    <w:name w:val="annotation text"/>
    <w:basedOn w:val="Normal"/>
    <w:semiHidden/>
    <w:rsid w:val="007E1C53"/>
    <w:rPr>
      <w:sz w:val="18"/>
    </w:rPr>
  </w:style>
  <w:style w:type="paragraph" w:styleId="EndnoteText">
    <w:name w:val="endnote text"/>
    <w:basedOn w:val="Normal"/>
    <w:semiHidden/>
    <w:rsid w:val="007E1C53"/>
    <w:rPr>
      <w:sz w:val="18"/>
    </w:rPr>
  </w:style>
  <w:style w:type="paragraph" w:styleId="Footer">
    <w:name w:val="footer"/>
    <w:basedOn w:val="Normal"/>
    <w:semiHidden/>
    <w:rsid w:val="007E1C53"/>
    <w:pPr>
      <w:tabs>
        <w:tab w:val="center" w:pos="4320"/>
        <w:tab w:val="right" w:pos="8640"/>
      </w:tabs>
    </w:pPr>
  </w:style>
  <w:style w:type="paragraph" w:styleId="FootnoteText">
    <w:name w:val="footnote text"/>
    <w:basedOn w:val="Normal"/>
    <w:link w:val="FootnoteTextChar"/>
    <w:semiHidden/>
    <w:rsid w:val="007E1C53"/>
    <w:rPr>
      <w:sz w:val="18"/>
    </w:rPr>
  </w:style>
  <w:style w:type="paragraph" w:styleId="Header">
    <w:name w:val="header"/>
    <w:basedOn w:val="Normal"/>
    <w:link w:val="HeaderChar"/>
    <w:rsid w:val="007E1C53"/>
    <w:pPr>
      <w:tabs>
        <w:tab w:val="center" w:pos="4536"/>
        <w:tab w:val="right" w:pos="9072"/>
      </w:tabs>
    </w:pPr>
  </w:style>
  <w:style w:type="paragraph" w:styleId="ListNumber">
    <w:name w:val="List Number"/>
    <w:basedOn w:val="Normal"/>
    <w:semiHidden/>
    <w:rsid w:val="007E1C53"/>
    <w:pPr>
      <w:numPr>
        <w:numId w:val="5"/>
      </w:numPr>
    </w:pPr>
  </w:style>
  <w:style w:type="paragraph" w:customStyle="1" w:styleId="ONUME">
    <w:name w:val="ONUM E"/>
    <w:basedOn w:val="BodyText"/>
    <w:rsid w:val="007E1C53"/>
    <w:pPr>
      <w:numPr>
        <w:numId w:val="6"/>
      </w:numPr>
    </w:pPr>
  </w:style>
  <w:style w:type="paragraph" w:customStyle="1" w:styleId="ONUMFS">
    <w:name w:val="ONUM FS"/>
    <w:basedOn w:val="BodyText"/>
    <w:rsid w:val="007E1C53"/>
    <w:pPr>
      <w:numPr>
        <w:numId w:val="7"/>
      </w:numPr>
    </w:pPr>
  </w:style>
  <w:style w:type="paragraph" w:styleId="Salutation">
    <w:name w:val="Salutation"/>
    <w:basedOn w:val="Normal"/>
    <w:next w:val="Normal"/>
    <w:semiHidden/>
    <w:rsid w:val="007E1C53"/>
  </w:style>
  <w:style w:type="paragraph" w:styleId="Signature">
    <w:name w:val="Signature"/>
    <w:basedOn w:val="Normal"/>
    <w:semiHidden/>
    <w:rsid w:val="007E1C53"/>
    <w:pPr>
      <w:ind w:left="5250"/>
    </w:pPr>
  </w:style>
  <w:style w:type="paragraph" w:styleId="ListParagraph">
    <w:name w:val="List Paragraph"/>
    <w:basedOn w:val="Normal"/>
    <w:uiPriority w:val="34"/>
    <w:qFormat/>
    <w:rsid w:val="007E1C53"/>
    <w:pPr>
      <w:ind w:left="720"/>
      <w:contextualSpacing/>
    </w:pPr>
    <w:rPr>
      <w:lang w:val="fr-CH"/>
    </w:rPr>
  </w:style>
  <w:style w:type="character" w:styleId="Hyperlink">
    <w:name w:val="Hyperlink"/>
    <w:basedOn w:val="DefaultParagraphFont"/>
    <w:uiPriority w:val="99"/>
    <w:unhideWhenUsed/>
    <w:rsid w:val="00626EFB"/>
    <w:rPr>
      <w:color w:val="0000FF" w:themeColor="hyperlink"/>
      <w:u w:val="single"/>
    </w:rPr>
  </w:style>
  <w:style w:type="character" w:styleId="Emphasis">
    <w:name w:val="Emphasis"/>
    <w:basedOn w:val="DefaultParagraphFont"/>
    <w:uiPriority w:val="20"/>
    <w:qFormat/>
    <w:rsid w:val="00626EFB"/>
    <w:rPr>
      <w:i/>
      <w:iCs/>
    </w:rPr>
  </w:style>
  <w:style w:type="table" w:styleId="TableGrid">
    <w:name w:val="Table Grid"/>
    <w:basedOn w:val="TableNormal"/>
    <w:rsid w:val="009C21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rsid w:val="00FA210B"/>
    <w:rPr>
      <w:vertAlign w:val="superscript"/>
    </w:rPr>
  </w:style>
  <w:style w:type="character" w:customStyle="1" w:styleId="FootnoteTextChar">
    <w:name w:val="Footnote Text Char"/>
    <w:basedOn w:val="DefaultParagraphFont"/>
    <w:link w:val="FootnoteText"/>
    <w:semiHidden/>
    <w:rsid w:val="00FA210B"/>
    <w:rPr>
      <w:rFonts w:ascii="Arial" w:eastAsia="SimSun" w:hAnsi="Arial" w:cs="Arial"/>
      <w:sz w:val="18"/>
      <w:lang w:val="fr-FR" w:eastAsia="zh-CN"/>
    </w:rPr>
  </w:style>
  <w:style w:type="paragraph" w:styleId="BalloonText">
    <w:name w:val="Balloon Text"/>
    <w:basedOn w:val="Normal"/>
    <w:link w:val="BalloonTextChar"/>
    <w:semiHidden/>
    <w:unhideWhenUsed/>
    <w:rsid w:val="00851096"/>
    <w:rPr>
      <w:rFonts w:ascii="Segoe UI" w:hAnsi="Segoe UI" w:cs="Segoe UI"/>
      <w:sz w:val="18"/>
      <w:szCs w:val="18"/>
    </w:rPr>
  </w:style>
  <w:style w:type="character" w:customStyle="1" w:styleId="BalloonTextChar">
    <w:name w:val="Balloon Text Char"/>
    <w:basedOn w:val="DefaultParagraphFont"/>
    <w:link w:val="BalloonText"/>
    <w:semiHidden/>
    <w:rsid w:val="00851096"/>
    <w:rPr>
      <w:rFonts w:ascii="Segoe UI" w:eastAsia="SimSun" w:hAnsi="Segoe UI" w:cs="Segoe UI"/>
      <w:sz w:val="18"/>
      <w:szCs w:val="18"/>
      <w:lang w:val="en-US" w:eastAsia="zh-CN"/>
    </w:rPr>
  </w:style>
  <w:style w:type="character" w:customStyle="1" w:styleId="HeaderChar">
    <w:name w:val="Header Char"/>
    <w:basedOn w:val="DefaultParagraphFont"/>
    <w:link w:val="Header"/>
    <w:rsid w:val="00214799"/>
    <w:rPr>
      <w:rFonts w:ascii="Arial" w:eastAsia="SimSun" w:hAnsi="Arial" w:cs="Arial"/>
      <w:sz w:val="22"/>
      <w:lang w:val="fr-FR" w:eastAsia="zh-CN"/>
    </w:rPr>
  </w:style>
  <w:style w:type="paragraph" w:styleId="Revision">
    <w:name w:val="Revision"/>
    <w:hidden/>
    <w:uiPriority w:val="99"/>
    <w:semiHidden/>
    <w:rsid w:val="004F4844"/>
    <w:rPr>
      <w:rFonts w:ascii="Arial" w:eastAsia="SimSun" w:hAnsi="Arial" w:cs="Arial"/>
      <w:sz w:val="22"/>
      <w:lang w:val="en-US" w:eastAsia="zh-CN"/>
    </w:rPr>
  </w:style>
  <w:style w:type="character" w:styleId="FollowedHyperlink">
    <w:name w:val="FollowedHyperlink"/>
    <w:basedOn w:val="DefaultParagraphFont"/>
    <w:semiHidden/>
    <w:unhideWhenUsed/>
    <w:rsid w:val="006030B4"/>
    <w:rPr>
      <w:color w:val="800080" w:themeColor="followedHyperlink"/>
      <w:u w:val="single"/>
    </w:rPr>
  </w:style>
  <w:style w:type="character" w:customStyle="1" w:styleId="BodyTextChar">
    <w:name w:val="Body Text Char"/>
    <w:basedOn w:val="DefaultParagraphFont"/>
    <w:link w:val="BodyText"/>
    <w:rsid w:val="007E1C53"/>
    <w:rPr>
      <w:rFonts w:ascii="Arial" w:eastAsia="SimSun" w:hAnsi="Arial" w:cs="Arial"/>
      <w:sz w:val="22"/>
      <w:lang w:val="fr-FR" w:eastAsia="zh-CN"/>
    </w:rPr>
  </w:style>
  <w:style w:type="character" w:customStyle="1" w:styleId="Heading5Char">
    <w:name w:val="Heading 5 Char"/>
    <w:basedOn w:val="DefaultParagraphFont"/>
    <w:link w:val="Heading5"/>
    <w:rsid w:val="00FF563E"/>
    <w:rPr>
      <w:rFonts w:ascii="Arial" w:eastAsiaTheme="majorEastAsia" w:hAnsi="Arial" w:cs="Arial"/>
      <w:i/>
      <w:sz w:val="22"/>
      <w:lang w:val="fr-FR" w:eastAsia="zh-CN"/>
    </w:rPr>
  </w:style>
  <w:style w:type="character" w:customStyle="1" w:styleId="Heading6Char">
    <w:name w:val="Heading 6 Char"/>
    <w:basedOn w:val="DefaultParagraphFont"/>
    <w:link w:val="Heading6"/>
    <w:rsid w:val="00665E34"/>
    <w:rPr>
      <w:rFonts w:ascii="Arial" w:eastAsiaTheme="majorEastAsia" w:hAnsi="Arial" w:cs="Arial"/>
      <w:sz w:val="22"/>
      <w:u w:val="single"/>
      <w:lang w:val="fr-FR"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427429">
      <w:bodyDiv w:val="1"/>
      <w:marLeft w:val="0"/>
      <w:marRight w:val="0"/>
      <w:marTop w:val="0"/>
      <w:marBottom w:val="0"/>
      <w:divBdr>
        <w:top w:val="none" w:sz="0" w:space="0" w:color="auto"/>
        <w:left w:val="none" w:sz="0" w:space="0" w:color="auto"/>
        <w:bottom w:val="none" w:sz="0" w:space="0" w:color="auto"/>
        <w:right w:val="none" w:sz="0" w:space="0" w:color="auto"/>
      </w:divBdr>
    </w:div>
    <w:div w:id="763844689">
      <w:bodyDiv w:val="1"/>
      <w:marLeft w:val="0"/>
      <w:marRight w:val="0"/>
      <w:marTop w:val="0"/>
      <w:marBottom w:val="0"/>
      <w:divBdr>
        <w:top w:val="none" w:sz="0" w:space="0" w:color="auto"/>
        <w:left w:val="none" w:sz="0" w:space="0" w:color="auto"/>
        <w:bottom w:val="none" w:sz="0" w:space="0" w:color="auto"/>
        <w:right w:val="none" w:sz="0" w:space="0" w:color="auto"/>
      </w:divBdr>
    </w:div>
    <w:div w:id="1020664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s://www.wipo.int/meetings/fr/doc_details.jsp?doc_id=434323"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wipo.int/edocs/mdocs/mdocs/en/cdip_23/cdip_23_presentation.pdf"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adi.wipo.int\wipodata\PCT\OrgPiips\Shared\TISC%20Program%20Annual%20Reports\Annual%20report_2019\Data_2019\Data%20for%20Annual%20report_2019.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'ASPI &amp; ARDI'!$D$1</c:f>
              <c:strCache>
                <c:ptCount val="1"/>
                <c:pt idx="0">
                  <c:v>Active institutions_ARDI</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'ASPI &amp; ARDI'!$A$2:$A$11</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'ASPI &amp; ARDI'!$D$2:$D$11</c:f>
              <c:numCache>
                <c:formatCode>General</c:formatCode>
                <c:ptCount val="10"/>
                <c:pt idx="0">
                  <c:v>21</c:v>
                </c:pt>
                <c:pt idx="1">
                  <c:v>26</c:v>
                </c:pt>
                <c:pt idx="2">
                  <c:v>109</c:v>
                </c:pt>
                <c:pt idx="3">
                  <c:v>208</c:v>
                </c:pt>
                <c:pt idx="4">
                  <c:v>410</c:v>
                </c:pt>
                <c:pt idx="5">
                  <c:v>506</c:v>
                </c:pt>
                <c:pt idx="6">
                  <c:v>910</c:v>
                </c:pt>
                <c:pt idx="7">
                  <c:v>1112</c:v>
                </c:pt>
                <c:pt idx="8">
                  <c:v>1864</c:v>
                </c:pt>
                <c:pt idx="9">
                  <c:v>2312</c:v>
                </c:pt>
              </c:numCache>
            </c:numRef>
          </c:val>
          <c:extLst>
            <c:ext xmlns:c16="http://schemas.microsoft.com/office/drawing/2014/chart" uri="{C3380CC4-5D6E-409C-BE32-E72D297353CC}">
              <c16:uniqueId val="{00000000-22C9-453C-892A-38F20489DB00}"/>
            </c:ext>
          </c:extLst>
        </c:ser>
        <c:dLbls>
          <c:showLegendKey val="0"/>
          <c:showVal val="0"/>
          <c:showCatName val="0"/>
          <c:showSerName val="0"/>
          <c:showPercent val="0"/>
          <c:showBubbleSize val="0"/>
        </c:dLbls>
        <c:gapWidth val="100"/>
        <c:overlap val="-27"/>
        <c:axId val="-1726247232"/>
        <c:axId val="-1726235264"/>
      </c:barChart>
      <c:catAx>
        <c:axId val="-1726247232"/>
        <c:scaling>
          <c:orientation val="minMax"/>
        </c:scaling>
        <c:delete val="0"/>
        <c:axPos val="b"/>
        <c:numFmt formatCode="General" sourceLinked="1"/>
        <c:majorTickMark val="none"/>
        <c:minorTickMark val="none"/>
        <c:tickLblPos val="nextTo"/>
        <c:spPr>
          <a:noFill/>
          <a:ln w="9525" cap="flat" cmpd="sng" algn="ctr">
            <a:no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26235264"/>
        <c:crosses val="autoZero"/>
        <c:auto val="1"/>
        <c:lblAlgn val="ctr"/>
        <c:lblOffset val="100"/>
        <c:noMultiLvlLbl val="0"/>
      </c:catAx>
      <c:valAx>
        <c:axId val="-1726235264"/>
        <c:scaling>
          <c:orientation val="minMax"/>
        </c:scaling>
        <c:delete val="1"/>
        <c:axPos val="l"/>
        <c:numFmt formatCode="General" sourceLinked="1"/>
        <c:majorTickMark val="none"/>
        <c:minorTickMark val="none"/>
        <c:tickLblPos val="nextTo"/>
        <c:crossAx val="-17262472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8EB7CD-BFA1-4E69-B520-C8C79DC53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7208</Words>
  <Characters>41105</Characters>
  <Application>Microsoft Office Word</Application>
  <DocSecurity>0</DocSecurity>
  <Lines>760</Lines>
  <Paragraphs>180</Paragraphs>
  <ScaleCrop>false</ScaleCrop>
  <HeadingPairs>
    <vt:vector size="2" baseType="variant">
      <vt:variant>
        <vt:lpstr>Title</vt:lpstr>
      </vt:variant>
      <vt:variant>
        <vt:i4>1</vt:i4>
      </vt:variant>
    </vt:vector>
  </HeadingPairs>
  <TitlesOfParts>
    <vt:vector size="1" baseType="lpstr">
      <vt:lpstr>CDIP/25/</vt:lpstr>
    </vt:vector>
  </TitlesOfParts>
  <Company>WIPO</Company>
  <LinksUpToDate>false</LinksUpToDate>
  <CharactersWithSpaces>48249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CDIP/25/</dc:title>
  <dc:subject/>
  <dc:creator>BAILLY Delphine</dc:creator>
  <cp:keywords>FOR OFFICIAL USE ONLY</cp:keywords>
  <dc:description/>
  <cp:lastModifiedBy>ESTEVES DOS SANTOS Anabela</cp:lastModifiedBy>
  <cp:revision>3</cp:revision>
  <cp:lastPrinted>2020-02-27T09:30:00Z</cp:lastPrinted>
  <dcterms:created xsi:type="dcterms:W3CDTF">2020-05-11T09:41:00Z</dcterms:created>
  <dcterms:modified xsi:type="dcterms:W3CDTF">2020-05-11T09:41:00Z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d32344b3-4a42-4a7e-92f1-3eb2727578af</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