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AE47" w14:textId="77777777" w:rsidR="008B2CC1" w:rsidRPr="007F7B00" w:rsidRDefault="00472A6E" w:rsidP="00762AC6">
      <w:pPr>
        <w:pBdr>
          <w:bottom w:val="single" w:sz="4" w:space="11" w:color="auto"/>
        </w:pBdr>
        <w:spacing w:after="120"/>
        <w:ind w:right="-57"/>
        <w:jc w:val="right"/>
        <w:rPr>
          <w:lang w:val="es-ES_tradnl"/>
        </w:rPr>
      </w:pPr>
      <w:r w:rsidRPr="007F7B00">
        <w:rPr>
          <w:noProof/>
          <w:lang w:val="es-ES_tradnl" w:eastAsia="fr-CH"/>
        </w:rPr>
        <w:drawing>
          <wp:inline distT="0" distB="0" distL="0" distR="0" wp14:anchorId="19AA754B" wp14:editId="3B62814F">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5EAB667" w14:textId="77777777" w:rsidR="00472A6E" w:rsidRPr="007F7B00" w:rsidRDefault="009C0927" w:rsidP="00472A6E">
      <w:pPr>
        <w:jc w:val="right"/>
        <w:rPr>
          <w:rFonts w:ascii="Arial Black" w:hAnsi="Arial Black"/>
          <w:caps/>
          <w:sz w:val="15"/>
          <w:lang w:val="es-ES_tradnl"/>
        </w:rPr>
      </w:pPr>
      <w:r w:rsidRPr="007F7B00">
        <w:rPr>
          <w:rFonts w:ascii="Arial Black" w:hAnsi="Arial Black"/>
          <w:caps/>
          <w:sz w:val="15"/>
          <w:lang w:val="es-ES_tradnl"/>
        </w:rPr>
        <w:t>CDIP/3</w:t>
      </w:r>
      <w:r w:rsidR="00086819" w:rsidRPr="007F7B00">
        <w:rPr>
          <w:rFonts w:ascii="Arial Black" w:hAnsi="Arial Black"/>
          <w:caps/>
          <w:sz w:val="15"/>
          <w:lang w:val="es-ES_tradnl"/>
        </w:rPr>
        <w:t>2</w:t>
      </w:r>
      <w:r w:rsidRPr="007F7B00">
        <w:rPr>
          <w:rFonts w:ascii="Arial Black" w:hAnsi="Arial Black"/>
          <w:caps/>
          <w:sz w:val="15"/>
          <w:lang w:val="es-ES_tradnl"/>
        </w:rPr>
        <w:t>/</w:t>
      </w:r>
      <w:bookmarkStart w:id="0" w:name="Code"/>
      <w:bookmarkEnd w:id="0"/>
      <w:r w:rsidR="001B591F" w:rsidRPr="007F7B00">
        <w:rPr>
          <w:rFonts w:ascii="Arial Black" w:hAnsi="Arial Black"/>
          <w:caps/>
          <w:sz w:val="15"/>
          <w:lang w:val="es-ES_tradnl"/>
        </w:rPr>
        <w:t>6</w:t>
      </w:r>
    </w:p>
    <w:p w14:paraId="48647ABD" w14:textId="77777777" w:rsidR="008B2CC1" w:rsidRPr="007F7B00" w:rsidRDefault="00472A6E" w:rsidP="00472A6E">
      <w:pPr>
        <w:jc w:val="right"/>
        <w:rPr>
          <w:lang w:val="es-ES_tradnl"/>
        </w:rPr>
      </w:pPr>
      <w:r w:rsidRPr="007F7B00">
        <w:rPr>
          <w:rFonts w:ascii="Arial Black" w:hAnsi="Arial Black"/>
          <w:caps/>
          <w:sz w:val="15"/>
          <w:lang w:val="es-ES_tradnl"/>
        </w:rPr>
        <w:t xml:space="preserve">ORIGINAL: </w:t>
      </w:r>
      <w:bookmarkStart w:id="1" w:name="Original"/>
      <w:r w:rsidR="001B591F" w:rsidRPr="007F7B00">
        <w:rPr>
          <w:rFonts w:ascii="Arial Black" w:hAnsi="Arial Black"/>
          <w:caps/>
          <w:sz w:val="15"/>
          <w:lang w:val="es-ES_tradnl"/>
        </w:rPr>
        <w:t>INGLÉS</w:t>
      </w:r>
    </w:p>
    <w:bookmarkEnd w:id="1"/>
    <w:p w14:paraId="51C57F19" w14:textId="3C972F67" w:rsidR="008B2CC1" w:rsidRPr="007F7B00" w:rsidRDefault="00472A6E" w:rsidP="00472A6E">
      <w:pPr>
        <w:spacing w:after="1200"/>
        <w:jc w:val="right"/>
        <w:rPr>
          <w:lang w:val="es-ES_tradnl"/>
        </w:rPr>
      </w:pPr>
      <w:r w:rsidRPr="007F7B00">
        <w:rPr>
          <w:rFonts w:ascii="Arial Black" w:hAnsi="Arial Black"/>
          <w:caps/>
          <w:sz w:val="15"/>
          <w:lang w:val="es-ES_tradnl"/>
        </w:rPr>
        <w:t xml:space="preserve">fecha: </w:t>
      </w:r>
      <w:bookmarkStart w:id="2" w:name="Date"/>
      <w:r w:rsidR="001B591F" w:rsidRPr="007F7B00">
        <w:rPr>
          <w:rFonts w:ascii="Arial Black" w:hAnsi="Arial Black"/>
          <w:caps/>
          <w:sz w:val="15"/>
          <w:lang w:val="es-ES_tradnl"/>
        </w:rPr>
        <w:t>27 DE FEBRERO DE 2024</w:t>
      </w:r>
    </w:p>
    <w:bookmarkEnd w:id="2"/>
    <w:p w14:paraId="20A9C524" w14:textId="77777777" w:rsidR="00B67CDC" w:rsidRPr="007F7B00" w:rsidRDefault="00762AC6" w:rsidP="00FB31F5">
      <w:pPr>
        <w:pStyle w:val="Heading1"/>
        <w:spacing w:before="0" w:after="600"/>
        <w:rPr>
          <w:sz w:val="28"/>
          <w:lang w:val="es-ES_tradnl"/>
        </w:rPr>
      </w:pPr>
      <w:r w:rsidRPr="007F7B00">
        <w:rPr>
          <w:caps w:val="0"/>
          <w:sz w:val="28"/>
          <w:lang w:val="es-ES_tradnl"/>
        </w:rPr>
        <w:t>Comité de Desarrollo y Propiedad Intelectual (CDIP)</w:t>
      </w:r>
    </w:p>
    <w:p w14:paraId="2BFCAE80" w14:textId="77777777" w:rsidR="005B2EAE" w:rsidRPr="007F7B00" w:rsidRDefault="00DF13F9" w:rsidP="005B2EAE">
      <w:pPr>
        <w:outlineLvl w:val="1"/>
        <w:rPr>
          <w:b/>
          <w:sz w:val="24"/>
          <w:szCs w:val="24"/>
          <w:lang w:val="es-ES_tradnl"/>
        </w:rPr>
      </w:pPr>
      <w:r w:rsidRPr="007F7B00">
        <w:rPr>
          <w:b/>
          <w:sz w:val="24"/>
          <w:szCs w:val="24"/>
          <w:lang w:val="es-ES_tradnl"/>
        </w:rPr>
        <w:t xml:space="preserve">Trigésima </w:t>
      </w:r>
      <w:r w:rsidR="00086819" w:rsidRPr="007F7B00">
        <w:rPr>
          <w:b/>
          <w:sz w:val="24"/>
          <w:szCs w:val="24"/>
          <w:lang w:val="es-ES_tradnl"/>
        </w:rPr>
        <w:t xml:space="preserve">segunda </w:t>
      </w:r>
      <w:r w:rsidR="001A13E2" w:rsidRPr="007F7B00">
        <w:rPr>
          <w:b/>
          <w:sz w:val="24"/>
          <w:szCs w:val="24"/>
          <w:lang w:val="es-ES_tradnl"/>
        </w:rPr>
        <w:t>s</w:t>
      </w:r>
      <w:r w:rsidR="00B67CDC" w:rsidRPr="007F7B00">
        <w:rPr>
          <w:b/>
          <w:sz w:val="24"/>
          <w:szCs w:val="24"/>
          <w:lang w:val="es-ES_tradnl"/>
        </w:rPr>
        <w:t>esión</w:t>
      </w:r>
    </w:p>
    <w:p w14:paraId="17BF35BA" w14:textId="77777777" w:rsidR="00B67CDC" w:rsidRPr="007F7B00" w:rsidRDefault="00DF13F9" w:rsidP="00472A6E">
      <w:pPr>
        <w:spacing w:after="720"/>
        <w:outlineLvl w:val="1"/>
        <w:rPr>
          <w:b/>
          <w:sz w:val="24"/>
          <w:szCs w:val="24"/>
          <w:lang w:val="es-ES_tradnl"/>
        </w:rPr>
      </w:pPr>
      <w:r w:rsidRPr="007F7B00">
        <w:rPr>
          <w:b/>
          <w:sz w:val="24"/>
          <w:szCs w:val="24"/>
          <w:lang w:val="es-ES_tradnl"/>
        </w:rPr>
        <w:t xml:space="preserve">Ginebra, </w:t>
      </w:r>
      <w:r w:rsidR="00086819" w:rsidRPr="007F7B00">
        <w:rPr>
          <w:b/>
          <w:sz w:val="24"/>
          <w:szCs w:val="24"/>
          <w:lang w:val="es-ES_tradnl"/>
        </w:rPr>
        <w:t>29 de abril a 3 de mayo de 2024</w:t>
      </w:r>
    </w:p>
    <w:p w14:paraId="1D7CD027" w14:textId="25D08422" w:rsidR="008B2CC1" w:rsidRPr="007F7B00" w:rsidRDefault="001B591F" w:rsidP="00472A6E">
      <w:pPr>
        <w:spacing w:after="360"/>
        <w:rPr>
          <w:caps/>
          <w:sz w:val="24"/>
          <w:lang w:val="es-ES_tradnl"/>
        </w:rPr>
      </w:pPr>
      <w:bookmarkStart w:id="3" w:name="TitleOfDoc"/>
      <w:r w:rsidRPr="007F7B00">
        <w:rPr>
          <w:sz w:val="24"/>
          <w:lang w:val="es-ES_tradnl"/>
        </w:rPr>
        <w:t xml:space="preserve">PROYECTO DE MEJORA DE LAS CAPACIDADES DE LAS OFICINAS DE PI NACIONALES EN TIEMPOS DE CRISIS </w:t>
      </w:r>
      <w:r w:rsidR="00230E24" w:rsidRPr="001A61D4">
        <w:rPr>
          <w:lang w:val="es-419"/>
        </w:rPr>
        <w:t>–</w:t>
      </w:r>
      <w:r w:rsidRPr="007F7B00">
        <w:rPr>
          <w:sz w:val="24"/>
          <w:lang w:val="es-ES_tradnl"/>
        </w:rPr>
        <w:t xml:space="preserve"> PROPUESTA DE PROYECTO PRESENTADA POR EL REINO UNIDO</w:t>
      </w:r>
    </w:p>
    <w:p w14:paraId="584A28C1" w14:textId="21BFFB6B" w:rsidR="008B2CC1" w:rsidRPr="007F7B00" w:rsidRDefault="001B591F" w:rsidP="00FB31F5">
      <w:pPr>
        <w:spacing w:after="960"/>
        <w:rPr>
          <w:i/>
          <w:lang w:val="es-ES_tradnl"/>
        </w:rPr>
      </w:pPr>
      <w:bookmarkStart w:id="4" w:name="Prepared"/>
      <w:bookmarkEnd w:id="3"/>
      <w:bookmarkEnd w:id="4"/>
      <w:r w:rsidRPr="007F7B00">
        <w:rPr>
          <w:i/>
          <w:lang w:val="es-ES_tradnl"/>
        </w:rPr>
        <w:t>preparado por la Secretaría</w:t>
      </w:r>
    </w:p>
    <w:p w14:paraId="48E181A3" w14:textId="77777777" w:rsidR="001B591F" w:rsidRPr="007F7B00" w:rsidRDefault="001B591F" w:rsidP="001B591F">
      <w:pPr>
        <w:numPr>
          <w:ilvl w:val="0"/>
          <w:numId w:val="12"/>
        </w:numPr>
        <w:spacing w:after="240"/>
        <w:ind w:left="0" w:firstLine="0"/>
        <w:rPr>
          <w:rFonts w:eastAsia="Times New Roman"/>
          <w:szCs w:val="22"/>
          <w:lang w:val="es-ES_tradnl"/>
        </w:rPr>
      </w:pPr>
      <w:r w:rsidRPr="007F7B00">
        <w:rPr>
          <w:szCs w:val="22"/>
          <w:lang w:val="es-ES_tradnl"/>
        </w:rPr>
        <w:t>Mediante una comunicación fechada el 16 de febrero de 2024, la delegación del Reino Unido presentó una propuesta de proyecto piloto sobre "Mejora de las capacidades de las Oficinas de PI nacionales en tiempos de crisis", para su consideración en la trigésima segunda sesión del CDIP.</w:t>
      </w:r>
    </w:p>
    <w:p w14:paraId="0E37142C" w14:textId="77777777" w:rsidR="001B591F" w:rsidRPr="007F7B00" w:rsidRDefault="001B591F" w:rsidP="001B591F">
      <w:pPr>
        <w:numPr>
          <w:ilvl w:val="0"/>
          <w:numId w:val="12"/>
        </w:numPr>
        <w:spacing w:after="240"/>
        <w:ind w:left="0" w:firstLine="0"/>
        <w:rPr>
          <w:rFonts w:eastAsia="Times New Roman"/>
          <w:szCs w:val="22"/>
          <w:lang w:val="es-ES_tradnl"/>
        </w:rPr>
      </w:pPr>
      <w:r w:rsidRPr="007F7B00">
        <w:rPr>
          <w:szCs w:val="22"/>
          <w:lang w:val="es-ES_tradnl"/>
        </w:rPr>
        <w:t>Los Anexos del presente documento contienen esta propuesta, elaborada con el apoyo de la Secretaría de la OMPI.</w:t>
      </w:r>
    </w:p>
    <w:p w14:paraId="720D9A2C" w14:textId="77777777" w:rsidR="001B591F" w:rsidRPr="007F7B00" w:rsidRDefault="001B591F" w:rsidP="001B591F">
      <w:pPr>
        <w:numPr>
          <w:ilvl w:val="0"/>
          <w:numId w:val="12"/>
        </w:numPr>
        <w:spacing w:after="720"/>
        <w:ind w:left="5220" w:firstLine="0"/>
        <w:rPr>
          <w:rFonts w:eastAsia="Times New Roman"/>
          <w:i/>
          <w:szCs w:val="22"/>
          <w:lang w:val="es-ES_tradnl"/>
        </w:rPr>
      </w:pPr>
      <w:r w:rsidRPr="007F7B00">
        <w:rPr>
          <w:i/>
          <w:szCs w:val="22"/>
          <w:lang w:val="es-ES_tradnl"/>
        </w:rPr>
        <w:t>Se invita al Comité a examinar el Anexo del presente documento.</w:t>
      </w:r>
    </w:p>
    <w:p w14:paraId="0EE0810C" w14:textId="77777777" w:rsidR="001B591F" w:rsidRPr="007F7B00" w:rsidRDefault="001B591F" w:rsidP="001B591F">
      <w:pPr>
        <w:spacing w:after="240"/>
        <w:ind w:left="5220"/>
        <w:rPr>
          <w:rFonts w:eastAsia="Times New Roman"/>
          <w:szCs w:val="22"/>
          <w:lang w:val="es-ES_tradnl"/>
        </w:rPr>
        <w:sectPr w:rsidR="001B591F" w:rsidRPr="007F7B00"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7F7B00">
        <w:rPr>
          <w:szCs w:val="22"/>
          <w:lang w:val="es-ES_tradnl"/>
        </w:rPr>
        <w:t>[Sigue el Anexo]</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1B591F" w:rsidRPr="007F7B00" w14:paraId="466AE5C5" w14:textId="77777777" w:rsidTr="00026668">
        <w:trPr>
          <w:trHeight w:val="319"/>
        </w:trPr>
        <w:tc>
          <w:tcPr>
            <w:tcW w:w="9352" w:type="dxa"/>
            <w:gridSpan w:val="2"/>
            <w:shd w:val="clear" w:color="auto" w:fill="00FFCC"/>
          </w:tcPr>
          <w:p w14:paraId="55C374F6" w14:textId="77777777" w:rsidR="001B591F" w:rsidRPr="007F7B00" w:rsidRDefault="001B591F" w:rsidP="00026668">
            <w:pPr>
              <w:pStyle w:val="Heading2"/>
              <w:spacing w:before="120" w:after="120"/>
              <w:jc w:val="center"/>
              <w:rPr>
                <w:b/>
                <w:szCs w:val="22"/>
                <w:lang w:val="es-ES_tradnl"/>
              </w:rPr>
            </w:pPr>
            <w:r w:rsidRPr="007F7B00">
              <w:rPr>
                <w:b/>
                <w:szCs w:val="22"/>
                <w:lang w:val="es-ES_tradnl"/>
              </w:rPr>
              <w:lastRenderedPageBreak/>
              <w:t xml:space="preserve">1. </w:t>
            </w:r>
            <w:r w:rsidRPr="007F7B00">
              <w:rPr>
                <w:b/>
                <w:caps w:val="0"/>
                <w:szCs w:val="22"/>
                <w:lang w:val="es-ES_tradnl"/>
              </w:rPr>
              <w:t>Presentación del proyecto</w:t>
            </w:r>
          </w:p>
        </w:tc>
      </w:tr>
      <w:tr w:rsidR="001B591F" w:rsidRPr="007F7B00" w14:paraId="55E41D12" w14:textId="77777777" w:rsidTr="00026668">
        <w:trPr>
          <w:trHeight w:val="253"/>
        </w:trPr>
        <w:tc>
          <w:tcPr>
            <w:tcW w:w="9352" w:type="dxa"/>
            <w:gridSpan w:val="2"/>
            <w:shd w:val="clear" w:color="auto" w:fill="00FFCC"/>
          </w:tcPr>
          <w:p w14:paraId="0DFD9FB2" w14:textId="77777777" w:rsidR="001B591F" w:rsidRPr="007F7B00" w:rsidRDefault="001B591F" w:rsidP="00026668">
            <w:pPr>
              <w:pStyle w:val="TableParagraph"/>
              <w:spacing w:before="120" w:after="120"/>
              <w:ind w:left="103" w:right="87"/>
              <w:jc w:val="center"/>
              <w:rPr>
                <w:b/>
                <w:lang w:val="es-ES_tradnl"/>
              </w:rPr>
            </w:pPr>
            <w:r w:rsidRPr="007F7B00">
              <w:rPr>
                <w:b/>
                <w:lang w:val="es-ES_tradnl"/>
              </w:rPr>
              <w:t>1.1 Código del proyecto</w:t>
            </w:r>
          </w:p>
        </w:tc>
      </w:tr>
      <w:tr w:rsidR="001B591F" w:rsidRPr="007F7B00" w14:paraId="3B7A36FF" w14:textId="77777777" w:rsidTr="00026668">
        <w:trPr>
          <w:trHeight w:val="50"/>
        </w:trPr>
        <w:tc>
          <w:tcPr>
            <w:tcW w:w="9352" w:type="dxa"/>
            <w:gridSpan w:val="2"/>
          </w:tcPr>
          <w:p w14:paraId="2B3C183A" w14:textId="77777777" w:rsidR="001B591F" w:rsidRPr="007F7B00" w:rsidRDefault="001B591F" w:rsidP="00026668">
            <w:pPr>
              <w:pStyle w:val="TableParagraph"/>
              <w:spacing w:before="120" w:after="120"/>
              <w:ind w:left="110"/>
              <w:jc w:val="center"/>
              <w:rPr>
                <w:lang w:val="es-ES_tradnl"/>
              </w:rPr>
            </w:pPr>
            <w:r w:rsidRPr="007F7B00">
              <w:rPr>
                <w:lang w:val="es-ES_tradnl"/>
              </w:rPr>
              <w:t>DA_4_10_03</w:t>
            </w:r>
          </w:p>
        </w:tc>
      </w:tr>
      <w:tr w:rsidR="001B591F" w:rsidRPr="007F7B00" w14:paraId="47545633" w14:textId="77777777" w:rsidTr="00026668">
        <w:trPr>
          <w:trHeight w:val="251"/>
        </w:trPr>
        <w:tc>
          <w:tcPr>
            <w:tcW w:w="9352" w:type="dxa"/>
            <w:gridSpan w:val="2"/>
            <w:shd w:val="clear" w:color="auto" w:fill="00FFCC"/>
          </w:tcPr>
          <w:p w14:paraId="5A9CAAE1" w14:textId="77777777" w:rsidR="001B591F" w:rsidRPr="007F7B00" w:rsidRDefault="001B591F" w:rsidP="00026668">
            <w:pPr>
              <w:pStyle w:val="TableParagraph"/>
              <w:spacing w:before="120" w:after="120"/>
              <w:ind w:left="103" w:right="90"/>
              <w:jc w:val="center"/>
              <w:rPr>
                <w:b/>
                <w:lang w:val="es-ES_tradnl"/>
              </w:rPr>
            </w:pPr>
            <w:r w:rsidRPr="007F7B00">
              <w:rPr>
                <w:b/>
                <w:lang w:val="es-ES_tradnl"/>
              </w:rPr>
              <w:t>1.2 Título del proyecto</w:t>
            </w:r>
          </w:p>
        </w:tc>
      </w:tr>
      <w:tr w:rsidR="001B591F" w:rsidRPr="007F7B00" w14:paraId="6BCAEA3F" w14:textId="77777777" w:rsidTr="00026668">
        <w:trPr>
          <w:trHeight w:val="50"/>
        </w:trPr>
        <w:tc>
          <w:tcPr>
            <w:tcW w:w="9352" w:type="dxa"/>
            <w:gridSpan w:val="2"/>
          </w:tcPr>
          <w:p w14:paraId="097BC1EA" w14:textId="77777777" w:rsidR="001B591F" w:rsidRPr="007F7B00" w:rsidRDefault="001B591F" w:rsidP="00026668">
            <w:pPr>
              <w:pStyle w:val="TableParagraph"/>
              <w:spacing w:before="120" w:after="120"/>
              <w:ind w:left="110" w:right="188"/>
              <w:jc w:val="center"/>
              <w:rPr>
                <w:lang w:val="es-ES_tradnl"/>
              </w:rPr>
            </w:pPr>
            <w:r w:rsidRPr="007F7B00">
              <w:rPr>
                <w:lang w:val="es-ES_tradnl"/>
              </w:rPr>
              <w:t>Proyecto sobre la mejora de las capacidades de las Oficinas de PI nacionales en tiempos de crisis</w:t>
            </w:r>
          </w:p>
        </w:tc>
      </w:tr>
      <w:tr w:rsidR="001B591F" w:rsidRPr="007F7B00" w14:paraId="4E4A8884" w14:textId="77777777" w:rsidTr="00026668">
        <w:trPr>
          <w:trHeight w:val="252"/>
        </w:trPr>
        <w:tc>
          <w:tcPr>
            <w:tcW w:w="9352" w:type="dxa"/>
            <w:gridSpan w:val="2"/>
            <w:shd w:val="clear" w:color="auto" w:fill="00FFCC"/>
          </w:tcPr>
          <w:p w14:paraId="62897496" w14:textId="77777777" w:rsidR="001B591F" w:rsidRPr="007F7B00" w:rsidRDefault="001B591F" w:rsidP="00026668">
            <w:pPr>
              <w:pStyle w:val="TableParagraph"/>
              <w:spacing w:before="120" w:after="120"/>
              <w:ind w:left="103" w:right="88"/>
              <w:jc w:val="center"/>
              <w:rPr>
                <w:b/>
                <w:lang w:val="es-ES_tradnl"/>
              </w:rPr>
            </w:pPr>
            <w:r w:rsidRPr="007F7B00">
              <w:rPr>
                <w:b/>
                <w:lang w:val="es-ES_tradnl"/>
              </w:rPr>
              <w:t>1.3 Recomendaciones de la Agenda para el Desarrollo</w:t>
            </w:r>
          </w:p>
        </w:tc>
      </w:tr>
      <w:tr w:rsidR="001B591F" w:rsidRPr="007F7B00" w14:paraId="7E16A90E" w14:textId="77777777" w:rsidTr="00026668">
        <w:trPr>
          <w:trHeight w:val="760"/>
        </w:trPr>
        <w:tc>
          <w:tcPr>
            <w:tcW w:w="9352" w:type="dxa"/>
            <w:gridSpan w:val="2"/>
          </w:tcPr>
          <w:p w14:paraId="1C640A9E" w14:textId="4FAB85DC" w:rsidR="001B591F" w:rsidRPr="007F7B00" w:rsidRDefault="001B591F" w:rsidP="00026668">
            <w:pPr>
              <w:pStyle w:val="TableParagraph"/>
              <w:spacing w:before="120" w:after="120"/>
              <w:ind w:left="110"/>
              <w:rPr>
                <w:lang w:val="es-ES_tradnl"/>
              </w:rPr>
            </w:pPr>
            <w:r w:rsidRPr="007F7B00">
              <w:rPr>
                <w:i/>
                <w:lang w:val="es-ES_tradnl"/>
              </w:rPr>
              <w:t>Recomendación 4:</w:t>
            </w:r>
            <w:r w:rsidRPr="007F7B00">
              <w:rPr>
                <w:lang w:val="es-ES_tradnl"/>
              </w:rPr>
              <w:t xml:space="preserve"> 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p w14:paraId="44F820FF" w14:textId="477FEF16" w:rsidR="001B591F" w:rsidRPr="007F7B00" w:rsidRDefault="001B591F" w:rsidP="00026668">
            <w:pPr>
              <w:pStyle w:val="TableParagraph"/>
              <w:spacing w:before="120" w:after="120"/>
              <w:ind w:left="110"/>
              <w:rPr>
                <w:lang w:val="es-ES_tradnl"/>
              </w:rPr>
            </w:pPr>
            <w:r w:rsidRPr="007F7B00">
              <w:rPr>
                <w:i/>
                <w:lang w:val="es-ES_tradnl"/>
              </w:rPr>
              <w:t>Recomendación 10:</w:t>
            </w:r>
            <w:r w:rsidRPr="007F7B00">
              <w:rPr>
                <w:lang w:val="es-ES_tradnl"/>
              </w:rPr>
              <w:t xml:space="preserve">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r>
      <w:tr w:rsidR="001B591F" w:rsidRPr="007F7B00" w14:paraId="7DBA3B8F" w14:textId="77777777" w:rsidTr="00026668">
        <w:trPr>
          <w:trHeight w:val="251"/>
        </w:trPr>
        <w:tc>
          <w:tcPr>
            <w:tcW w:w="9352" w:type="dxa"/>
            <w:gridSpan w:val="2"/>
            <w:shd w:val="clear" w:color="auto" w:fill="00FFCC"/>
          </w:tcPr>
          <w:p w14:paraId="466076CC" w14:textId="77777777" w:rsidR="001B591F" w:rsidRPr="007F7B00" w:rsidRDefault="001B591F" w:rsidP="00026668">
            <w:pPr>
              <w:pStyle w:val="TableParagraph"/>
              <w:spacing w:before="120" w:after="120"/>
              <w:ind w:left="103" w:right="88"/>
              <w:jc w:val="center"/>
              <w:rPr>
                <w:b/>
                <w:lang w:val="es-ES_tradnl"/>
              </w:rPr>
            </w:pPr>
            <w:r w:rsidRPr="007F7B00">
              <w:rPr>
                <w:b/>
                <w:lang w:val="es-ES_tradnl"/>
              </w:rPr>
              <w:t>1.4 Duración del proyecto</w:t>
            </w:r>
          </w:p>
        </w:tc>
      </w:tr>
      <w:tr w:rsidR="001B591F" w:rsidRPr="007F7B00" w14:paraId="4C2E98CF" w14:textId="77777777" w:rsidTr="00026668">
        <w:trPr>
          <w:trHeight w:val="251"/>
        </w:trPr>
        <w:tc>
          <w:tcPr>
            <w:tcW w:w="9352" w:type="dxa"/>
            <w:gridSpan w:val="2"/>
            <w:shd w:val="clear" w:color="auto" w:fill="auto"/>
          </w:tcPr>
          <w:p w14:paraId="6C8BD9C7" w14:textId="77777777" w:rsidR="001B591F" w:rsidRPr="007F7B00" w:rsidRDefault="001B591F" w:rsidP="00026668">
            <w:pPr>
              <w:pStyle w:val="TableParagraph"/>
              <w:spacing w:before="120" w:after="120"/>
              <w:ind w:left="103" w:right="90"/>
              <w:jc w:val="center"/>
              <w:rPr>
                <w:b/>
                <w:lang w:val="es-ES_tradnl"/>
              </w:rPr>
            </w:pPr>
            <w:r w:rsidRPr="007F7B00">
              <w:rPr>
                <w:lang w:val="es-ES_tradnl"/>
              </w:rPr>
              <w:t>18 meses</w:t>
            </w:r>
          </w:p>
        </w:tc>
      </w:tr>
      <w:tr w:rsidR="001B591F" w:rsidRPr="007F7B00" w14:paraId="1CF99FE4" w14:textId="77777777" w:rsidTr="00026668">
        <w:trPr>
          <w:trHeight w:val="251"/>
        </w:trPr>
        <w:tc>
          <w:tcPr>
            <w:tcW w:w="9352" w:type="dxa"/>
            <w:gridSpan w:val="2"/>
            <w:shd w:val="clear" w:color="auto" w:fill="00FFCC"/>
          </w:tcPr>
          <w:p w14:paraId="32A91E3C" w14:textId="77777777" w:rsidR="001B591F" w:rsidRPr="007F7B00" w:rsidRDefault="001B591F" w:rsidP="00026668">
            <w:pPr>
              <w:pStyle w:val="TableParagraph"/>
              <w:spacing w:before="120" w:after="120"/>
              <w:ind w:left="103" w:right="90"/>
              <w:jc w:val="center"/>
              <w:rPr>
                <w:b/>
                <w:lang w:val="es-ES_tradnl"/>
              </w:rPr>
            </w:pPr>
            <w:r w:rsidRPr="007F7B00">
              <w:rPr>
                <w:b/>
                <w:lang w:val="es-ES_tradnl"/>
              </w:rPr>
              <w:t xml:space="preserve">1.5 Presupuesto del proyecto </w:t>
            </w:r>
          </w:p>
        </w:tc>
      </w:tr>
      <w:tr w:rsidR="001B591F" w:rsidRPr="007F7B00" w14:paraId="1F569243" w14:textId="77777777" w:rsidTr="00026668">
        <w:trPr>
          <w:trHeight w:val="251"/>
        </w:trPr>
        <w:tc>
          <w:tcPr>
            <w:tcW w:w="9352" w:type="dxa"/>
            <w:gridSpan w:val="2"/>
            <w:shd w:val="clear" w:color="auto" w:fill="auto"/>
          </w:tcPr>
          <w:p w14:paraId="2F77BB3B" w14:textId="77777777" w:rsidR="001B591F" w:rsidRPr="007F7B00" w:rsidRDefault="001B591F" w:rsidP="00026668">
            <w:pPr>
              <w:pStyle w:val="TableParagraph"/>
              <w:spacing w:before="120" w:after="120"/>
              <w:ind w:left="103" w:right="90"/>
              <w:rPr>
                <w:bCs/>
                <w:lang w:val="es-ES_tradnl"/>
              </w:rPr>
            </w:pPr>
            <w:r w:rsidRPr="007F7B00">
              <w:rPr>
                <w:lang w:val="es-ES_tradnl"/>
              </w:rPr>
              <w:t xml:space="preserve">El presupuesto total del proyecto asciende a 205 000 francos suizos destinados en su totalidad a gastos no relativos a personal. </w:t>
            </w:r>
          </w:p>
        </w:tc>
      </w:tr>
      <w:tr w:rsidR="001B591F" w:rsidRPr="007F7B00" w14:paraId="49F6B848" w14:textId="77777777" w:rsidTr="00026668">
        <w:trPr>
          <w:trHeight w:val="251"/>
        </w:trPr>
        <w:tc>
          <w:tcPr>
            <w:tcW w:w="9352" w:type="dxa"/>
            <w:gridSpan w:val="2"/>
            <w:shd w:val="clear" w:color="auto" w:fill="00FFCC"/>
          </w:tcPr>
          <w:p w14:paraId="5735E749" w14:textId="77777777" w:rsidR="001B591F" w:rsidRPr="007F7B00" w:rsidRDefault="001B591F" w:rsidP="00026668">
            <w:pPr>
              <w:pStyle w:val="TableParagraph"/>
              <w:spacing w:before="120" w:after="120"/>
              <w:ind w:left="103" w:right="90"/>
              <w:jc w:val="center"/>
              <w:rPr>
                <w:b/>
                <w:lang w:val="es-ES_tradnl"/>
              </w:rPr>
            </w:pPr>
            <w:r w:rsidRPr="007F7B00">
              <w:rPr>
                <w:b/>
                <w:lang w:val="es-ES_tradnl"/>
              </w:rPr>
              <w:t>2. Descripción del proyecto</w:t>
            </w:r>
          </w:p>
        </w:tc>
      </w:tr>
      <w:tr w:rsidR="001B591F" w:rsidRPr="007F7B00" w14:paraId="0F812E26" w14:textId="77777777" w:rsidTr="00026668">
        <w:trPr>
          <w:trHeight w:val="620"/>
        </w:trPr>
        <w:tc>
          <w:tcPr>
            <w:tcW w:w="9352" w:type="dxa"/>
            <w:gridSpan w:val="2"/>
          </w:tcPr>
          <w:p w14:paraId="1908770D" w14:textId="3B3D4E45" w:rsidR="001B591F" w:rsidRPr="007F7B00" w:rsidRDefault="001B591F" w:rsidP="00026668">
            <w:pPr>
              <w:pStyle w:val="TableParagraph"/>
              <w:spacing w:before="120" w:after="120"/>
              <w:ind w:left="110" w:right="493"/>
              <w:rPr>
                <w:lang w:val="es-ES_tradnl"/>
              </w:rPr>
            </w:pPr>
            <w:r w:rsidRPr="007F7B00">
              <w:rPr>
                <w:lang w:val="es-ES_tradnl"/>
              </w:rPr>
              <w:t xml:space="preserve">El proyecto propuesto pretende dotar a las oficinas nacionales de propiedad intelectual (PI) de los conocimientos, habilidades y herramientas necesarios para gestionar las crisis que suponen graves amenazas para el ecosistema de la PI. </w:t>
            </w:r>
          </w:p>
          <w:p w14:paraId="74CBFFD7" w14:textId="77777777" w:rsidR="001B591F" w:rsidRPr="007F7B00" w:rsidRDefault="001B591F" w:rsidP="00026668">
            <w:pPr>
              <w:pStyle w:val="TableParagraph"/>
              <w:spacing w:before="120" w:after="120"/>
              <w:ind w:left="110" w:right="493"/>
              <w:rPr>
                <w:lang w:val="es-ES_tradnl"/>
              </w:rPr>
            </w:pPr>
            <w:r w:rsidRPr="007F7B00">
              <w:rPr>
                <w:lang w:val="es-ES_tradnl"/>
              </w:rPr>
              <w:t xml:space="preserve">Las experiencias recientes, como la pandemia de COVID-19, las catástrofes naturales, las guerras y los conflictos, las vulnerabilidades políticas y la creciente incidencia de los ciberataques, proporcionan pruebas suficientes de que las partes interesadas del ecosistema de la PI, incluidos los representantes del mundo académico y de los sectores público y privado, son los más expuestos y vulnerables a los riesgos y las consecuencias negativas de las perturbaciones que afectan a la estabilidad económica, institucional, de los recursos o de las operaciones. </w:t>
            </w:r>
          </w:p>
          <w:p w14:paraId="5122DE4E" w14:textId="05A6C772" w:rsidR="001B591F" w:rsidRPr="007F7B00" w:rsidRDefault="001B591F" w:rsidP="00026668">
            <w:pPr>
              <w:pStyle w:val="TableParagraph"/>
              <w:spacing w:before="120" w:after="120"/>
              <w:ind w:left="110" w:right="493"/>
              <w:rPr>
                <w:lang w:val="es-ES_tradnl"/>
              </w:rPr>
            </w:pPr>
            <w:r w:rsidRPr="007F7B00">
              <w:rPr>
                <w:lang w:val="es-ES_tradnl"/>
              </w:rPr>
              <w:t xml:space="preserve">Por lo tanto, abordar la gestión de las crisis se está convirtiendo en una cuestión emergente, que requiere la necesidad de establecer un marco de resiliencia organizativa en las oficinas nacionales de PI, ya que tienen un papel primordial a la hora de mitigar los riesgos y minimizar los efectos negativos en el ecosistema de la PI. Dicho marco incluye el desarrollo y la puesta en marcha de políticas de gestión de crisis relacionadas con la PI, planes de recuperación en caso de catástrofe y de continuidad de las actividades, así como estrategias de preparación y respuesta. </w:t>
            </w:r>
          </w:p>
          <w:p w14:paraId="41B73246" w14:textId="77777777" w:rsidR="001B591F" w:rsidRPr="007F7B00" w:rsidRDefault="001B591F" w:rsidP="00026668">
            <w:pPr>
              <w:pStyle w:val="TableParagraph"/>
              <w:spacing w:before="120" w:after="120"/>
              <w:ind w:left="110" w:right="493"/>
              <w:rPr>
                <w:lang w:val="es-ES_tradnl"/>
              </w:rPr>
            </w:pPr>
            <w:r w:rsidRPr="007F7B00">
              <w:rPr>
                <w:lang w:val="es-ES_tradnl"/>
              </w:rPr>
              <w:lastRenderedPageBreak/>
              <w:t xml:space="preserve">Los principales elementos implican adoptar la transformación digital, colaborar con las autoridades locales de gestión de crisis y dar prioridad a la comunicación con todas las partes interesadas durante las crisis, </w:t>
            </w:r>
          </w:p>
          <w:p w14:paraId="2C107C66" w14:textId="43478BFA" w:rsidR="001B591F" w:rsidRPr="007F7B00" w:rsidRDefault="001B591F" w:rsidP="00026668">
            <w:pPr>
              <w:pStyle w:val="TableParagraph"/>
              <w:spacing w:before="120" w:after="120"/>
              <w:ind w:left="110" w:right="493"/>
              <w:rPr>
                <w:lang w:val="es-ES_tradnl"/>
              </w:rPr>
            </w:pPr>
            <w:r w:rsidRPr="007F7B00">
              <w:rPr>
                <w:lang w:val="es-ES_tradnl"/>
              </w:rPr>
              <w:t xml:space="preserve">lo que podría considerarse como parte de un enfoque holístico para crear estrategias nacionales de PI. La formación del personal de las oficinas nacionales de PI y el intercambio y aprendizaje de las experiencias ya adquiridas durante situaciones de emergencia y crisis son cruciales para lograr la continuidad de las operaciones. </w:t>
            </w:r>
          </w:p>
        </w:tc>
      </w:tr>
      <w:tr w:rsidR="001B591F" w:rsidRPr="007F7B00" w14:paraId="08FC4CC6" w14:textId="77777777" w:rsidTr="00026668">
        <w:trPr>
          <w:trHeight w:val="280"/>
        </w:trPr>
        <w:tc>
          <w:tcPr>
            <w:tcW w:w="9352" w:type="dxa"/>
            <w:gridSpan w:val="2"/>
            <w:shd w:val="clear" w:color="auto" w:fill="00FFCC"/>
          </w:tcPr>
          <w:p w14:paraId="69D41A27" w14:textId="77777777" w:rsidR="001B591F" w:rsidRPr="007F7B00" w:rsidRDefault="001B591F" w:rsidP="00026668">
            <w:pPr>
              <w:pStyle w:val="TableParagraph"/>
              <w:spacing w:before="120" w:after="120"/>
              <w:ind w:left="110"/>
              <w:jc w:val="center"/>
              <w:rPr>
                <w:b/>
                <w:bCs/>
                <w:lang w:val="es-ES_tradnl"/>
              </w:rPr>
            </w:pPr>
            <w:r w:rsidRPr="007F7B00">
              <w:rPr>
                <w:b/>
                <w:lang w:val="es-ES_tradnl"/>
              </w:rPr>
              <w:lastRenderedPageBreak/>
              <w:t>2.1 Concepto del proyecto</w:t>
            </w:r>
          </w:p>
        </w:tc>
      </w:tr>
      <w:tr w:rsidR="001B591F" w:rsidRPr="007F7B00" w14:paraId="478150F7" w14:textId="77777777" w:rsidTr="00026668">
        <w:trPr>
          <w:trHeight w:val="280"/>
        </w:trPr>
        <w:tc>
          <w:tcPr>
            <w:tcW w:w="9352" w:type="dxa"/>
            <w:gridSpan w:val="2"/>
            <w:shd w:val="clear" w:color="auto" w:fill="auto"/>
          </w:tcPr>
          <w:p w14:paraId="5219EC0B" w14:textId="4B4C9845" w:rsidR="001B591F" w:rsidRPr="007F7B00" w:rsidRDefault="001B591F" w:rsidP="00026668">
            <w:pPr>
              <w:pStyle w:val="TableParagraph"/>
              <w:spacing w:before="120" w:after="120"/>
              <w:ind w:left="110"/>
              <w:rPr>
                <w:lang w:val="es-ES_tradnl"/>
              </w:rPr>
            </w:pPr>
            <w:r w:rsidRPr="007F7B00">
              <w:rPr>
                <w:lang w:val="es-ES_tradnl"/>
              </w:rPr>
              <w:t>Este proyecto se centra en el desarrollo de herramientas para gestionar la PI, la innovación y la creatividad en tiempos de crisis. En concreto, este proyecto tiene por objeto crear y reforzar la resiliencia y la capacidad organizativa de las Oficinas de PI nacionales, dotándolas de los conocimientos técnicos, las habilidades, las capacidades y las herramientas necesarias para prestar servicios en línea, garantizar la continuidad de las operaciones y aplicar medidas para mitigar los riesgos y minimizar las repercusiones negativas causadas por una situación de emergencia o crisis que pueda provocar la pérdida del potencial, el funcionamiento y las operaciones del ecosistema de PI, cuya recuperación llevaría años y décadas.</w:t>
            </w:r>
          </w:p>
        </w:tc>
      </w:tr>
      <w:tr w:rsidR="001B591F" w:rsidRPr="007F7B00" w14:paraId="2FB42B11" w14:textId="77777777" w:rsidTr="00026668">
        <w:trPr>
          <w:trHeight w:val="280"/>
        </w:trPr>
        <w:tc>
          <w:tcPr>
            <w:tcW w:w="9352" w:type="dxa"/>
            <w:gridSpan w:val="2"/>
            <w:shd w:val="clear" w:color="auto" w:fill="00FFCC"/>
          </w:tcPr>
          <w:p w14:paraId="470BEDF2" w14:textId="77777777" w:rsidR="001B591F" w:rsidRPr="007F7B00" w:rsidDel="00821A8E" w:rsidRDefault="001B591F" w:rsidP="00026668">
            <w:pPr>
              <w:pStyle w:val="TableParagraph"/>
              <w:spacing w:before="120" w:after="120"/>
              <w:ind w:left="110"/>
              <w:jc w:val="center"/>
              <w:rPr>
                <w:b/>
                <w:bCs/>
                <w:lang w:val="es-ES_tradnl"/>
              </w:rPr>
            </w:pPr>
            <w:r w:rsidRPr="007F7B00">
              <w:rPr>
                <w:b/>
                <w:lang w:val="es-ES_tradnl"/>
              </w:rPr>
              <w:t>2.2 Objetivo, efectos y productos</w:t>
            </w:r>
          </w:p>
        </w:tc>
      </w:tr>
      <w:tr w:rsidR="001B591F" w:rsidRPr="007F7B00" w14:paraId="6C90DA4E" w14:textId="77777777" w:rsidTr="00026668">
        <w:trPr>
          <w:trHeight w:val="280"/>
        </w:trPr>
        <w:tc>
          <w:tcPr>
            <w:tcW w:w="9352" w:type="dxa"/>
            <w:gridSpan w:val="2"/>
            <w:shd w:val="clear" w:color="auto" w:fill="auto"/>
          </w:tcPr>
          <w:p w14:paraId="2DE4EFF6" w14:textId="77777777" w:rsidR="001B591F" w:rsidRPr="007F7B00" w:rsidRDefault="001B591F" w:rsidP="00026668">
            <w:pPr>
              <w:pStyle w:val="TableParagraph"/>
              <w:spacing w:before="120" w:after="120"/>
              <w:ind w:left="110" w:right="493"/>
              <w:rPr>
                <w:lang w:val="es-ES_tradnl"/>
              </w:rPr>
            </w:pPr>
            <w:r w:rsidRPr="007F7B00">
              <w:rPr>
                <w:lang w:val="es-ES_tradnl"/>
              </w:rPr>
              <w:t xml:space="preserve">El </w:t>
            </w:r>
            <w:r w:rsidRPr="007F7B00">
              <w:rPr>
                <w:b/>
                <w:bCs/>
                <w:lang w:val="es-ES_tradnl"/>
              </w:rPr>
              <w:t>objetivo</w:t>
            </w:r>
            <w:r w:rsidRPr="007F7B00">
              <w:rPr>
                <w:lang w:val="es-ES_tradnl"/>
              </w:rPr>
              <w:t xml:space="preserve"> general del proyecto es mejorar la resiliencia y la continuidad de las operaciones de las Oficinas de PI nacionales en tiempos de crisis.</w:t>
            </w:r>
          </w:p>
          <w:p w14:paraId="42D68077" w14:textId="77777777" w:rsidR="001B591F" w:rsidRPr="007F7B00" w:rsidRDefault="001B591F" w:rsidP="00026668">
            <w:pPr>
              <w:pStyle w:val="TableParagraph"/>
              <w:spacing w:before="120" w:after="120"/>
              <w:ind w:left="110" w:right="493"/>
              <w:rPr>
                <w:lang w:val="es-ES_tradnl"/>
              </w:rPr>
            </w:pPr>
            <w:r w:rsidRPr="007F7B00">
              <w:rPr>
                <w:lang w:val="es-ES_tradnl"/>
              </w:rPr>
              <w:t xml:space="preserve">El </w:t>
            </w:r>
            <w:r w:rsidRPr="007F7B00">
              <w:rPr>
                <w:b/>
                <w:bCs/>
                <w:lang w:val="es-ES_tradnl"/>
              </w:rPr>
              <w:t>resultado</w:t>
            </w:r>
            <w:r w:rsidRPr="007F7B00">
              <w:rPr>
                <w:lang w:val="es-ES_tradnl"/>
              </w:rPr>
              <w:t xml:space="preserve"> previsto del proyecto es la mejora de las capacidades de gestión de crisis de las Oficinas de PI nacionales para mitigar los riesgos y minimizar las repercusiones negativas sobre el ecosistema de PI. </w:t>
            </w:r>
          </w:p>
          <w:p w14:paraId="3A0B35BD" w14:textId="77777777" w:rsidR="001B591F" w:rsidRPr="007F7B00" w:rsidRDefault="001B591F" w:rsidP="00026668">
            <w:pPr>
              <w:pStyle w:val="TableParagraph"/>
              <w:spacing w:before="120" w:after="120"/>
              <w:ind w:left="110" w:right="493"/>
              <w:rPr>
                <w:lang w:val="es-ES_tradnl"/>
              </w:rPr>
            </w:pPr>
            <w:r w:rsidRPr="007F7B00">
              <w:rPr>
                <w:lang w:val="es-ES_tradnl"/>
              </w:rPr>
              <w:t xml:space="preserve">En el proyecto se ofrecerán los siguientes </w:t>
            </w:r>
            <w:r w:rsidRPr="007F7B00">
              <w:rPr>
                <w:b/>
                <w:lang w:val="es-ES_tradnl"/>
              </w:rPr>
              <w:t>productos</w:t>
            </w:r>
            <w:r w:rsidRPr="007F7B00">
              <w:rPr>
                <w:lang w:val="es-ES_tradnl"/>
              </w:rPr>
              <w:t>:</w:t>
            </w:r>
          </w:p>
          <w:p w14:paraId="5B196BB3" w14:textId="77777777" w:rsidR="001B591F" w:rsidRPr="007F7B00" w:rsidRDefault="001B591F" w:rsidP="001B591F">
            <w:pPr>
              <w:pStyle w:val="TableParagraph"/>
              <w:numPr>
                <w:ilvl w:val="0"/>
                <w:numId w:val="8"/>
              </w:numPr>
              <w:spacing w:before="120" w:after="120"/>
              <w:ind w:right="493"/>
              <w:rPr>
                <w:lang w:val="es-ES_tradnl"/>
              </w:rPr>
            </w:pPr>
            <w:r w:rsidRPr="007F7B00">
              <w:rPr>
                <w:rStyle w:val="cf01"/>
                <w:rFonts w:ascii="Arial" w:hAnsi="Arial" w:cs="Arial"/>
                <w:sz w:val="22"/>
                <w:szCs w:val="22"/>
                <w:lang w:val="es-ES_tradnl"/>
              </w:rPr>
              <w:t>Desarrollo de un marco de gestión de crisis estratégico, viable y que funcione correctamente para las Oficinas de PI nacionales que les permita seguir prestando una asistencia adecuada a las partes interesadas del ecosistema de PI en tiempos de crisis.</w:t>
            </w:r>
            <w:r w:rsidRPr="007F7B00">
              <w:rPr>
                <w:lang w:val="es-ES_tradnl"/>
              </w:rPr>
              <w:t xml:space="preserve"> </w:t>
            </w:r>
          </w:p>
          <w:p w14:paraId="79459C46" w14:textId="77777777" w:rsidR="001B591F" w:rsidRPr="007F7B00" w:rsidRDefault="001B591F" w:rsidP="001B591F">
            <w:pPr>
              <w:pStyle w:val="TableParagraph"/>
              <w:numPr>
                <w:ilvl w:val="0"/>
                <w:numId w:val="8"/>
              </w:numPr>
              <w:spacing w:before="120" w:after="120"/>
              <w:ind w:right="493"/>
              <w:rPr>
                <w:lang w:val="es-ES_tradnl"/>
              </w:rPr>
            </w:pPr>
            <w:r w:rsidRPr="007F7B00">
              <w:rPr>
                <w:lang w:val="es-ES_tradnl"/>
              </w:rPr>
              <w:t>Intercambio de experiencias nacionales entre responsables de políticas, reguladores y expertos de las Oficinas de PI nacionales.</w:t>
            </w:r>
          </w:p>
          <w:p w14:paraId="7E8918FF" w14:textId="77777777" w:rsidR="001B591F" w:rsidRPr="007F7B00" w:rsidDel="00821A8E" w:rsidRDefault="001B591F" w:rsidP="001B591F">
            <w:pPr>
              <w:pStyle w:val="TableParagraph"/>
              <w:numPr>
                <w:ilvl w:val="0"/>
                <w:numId w:val="8"/>
              </w:numPr>
              <w:spacing w:before="120" w:after="120"/>
              <w:ind w:right="493"/>
              <w:rPr>
                <w:lang w:val="es-ES_tradnl"/>
              </w:rPr>
            </w:pPr>
            <w:r w:rsidRPr="007F7B00">
              <w:rPr>
                <w:lang w:val="es-ES_tradnl"/>
              </w:rPr>
              <w:t xml:space="preserve">Desarrollo, en cooperación con las divisiones pertinentes de la OMPI, de herramientas de sensibilización sobre PI y gestión de crisis. </w:t>
            </w:r>
          </w:p>
        </w:tc>
      </w:tr>
      <w:tr w:rsidR="001B591F" w:rsidRPr="007F7B00" w14:paraId="72035895" w14:textId="77777777" w:rsidTr="00026668">
        <w:trPr>
          <w:trHeight w:val="280"/>
        </w:trPr>
        <w:tc>
          <w:tcPr>
            <w:tcW w:w="9352" w:type="dxa"/>
            <w:gridSpan w:val="2"/>
            <w:shd w:val="clear" w:color="auto" w:fill="00FFCC"/>
          </w:tcPr>
          <w:p w14:paraId="0C13E34B" w14:textId="77777777" w:rsidR="001B591F" w:rsidRPr="007F7B00" w:rsidRDefault="001B591F" w:rsidP="00026668">
            <w:pPr>
              <w:pStyle w:val="TableParagraph"/>
              <w:spacing w:before="120" w:after="120"/>
              <w:ind w:left="110"/>
              <w:jc w:val="center"/>
              <w:rPr>
                <w:b/>
                <w:bCs/>
                <w:lang w:val="es-ES_tradnl"/>
              </w:rPr>
            </w:pPr>
            <w:r w:rsidRPr="007F7B00">
              <w:rPr>
                <w:b/>
                <w:lang w:val="es-ES_tradnl"/>
              </w:rPr>
              <w:t xml:space="preserve">2.3 Estrategia de ejecución </w:t>
            </w:r>
          </w:p>
        </w:tc>
      </w:tr>
      <w:tr w:rsidR="001B591F" w:rsidRPr="007F7B00" w14:paraId="26D71AAC" w14:textId="77777777" w:rsidTr="00026668">
        <w:trPr>
          <w:trHeight w:val="280"/>
        </w:trPr>
        <w:tc>
          <w:tcPr>
            <w:tcW w:w="9352" w:type="dxa"/>
            <w:gridSpan w:val="2"/>
            <w:shd w:val="clear" w:color="auto" w:fill="auto"/>
          </w:tcPr>
          <w:p w14:paraId="056A5002" w14:textId="77777777" w:rsidR="001B591F" w:rsidRPr="007F7B00" w:rsidRDefault="001B591F" w:rsidP="00026668">
            <w:pPr>
              <w:pStyle w:val="TableParagraph"/>
              <w:spacing w:before="120" w:after="120"/>
              <w:ind w:left="115"/>
              <w:rPr>
                <w:lang w:val="es-ES_tradnl"/>
              </w:rPr>
            </w:pPr>
            <w:r w:rsidRPr="007F7B00">
              <w:rPr>
                <w:lang w:val="es-ES_tradnl"/>
              </w:rPr>
              <w:t>El proyecto propuesto alcanzará sus objetivos mediante la elaboración de los siguientes productos:</w:t>
            </w:r>
          </w:p>
          <w:p w14:paraId="5A8C0436" w14:textId="77795095" w:rsidR="001B591F" w:rsidRPr="007F7B00" w:rsidRDefault="001B591F" w:rsidP="00026668">
            <w:pPr>
              <w:pStyle w:val="TableParagraph"/>
              <w:spacing w:before="120" w:after="120"/>
              <w:ind w:left="115"/>
              <w:rPr>
                <w:lang w:val="es-ES_tradnl"/>
              </w:rPr>
            </w:pPr>
            <w:r w:rsidRPr="007F7B00">
              <w:rPr>
                <w:b/>
                <w:lang w:val="es-ES_tradnl"/>
              </w:rPr>
              <w:t>Producto 1</w:t>
            </w:r>
            <w:r w:rsidRPr="007F7B00">
              <w:rPr>
                <w:lang w:val="es-ES_tradnl"/>
              </w:rPr>
              <w:t xml:space="preserve"> – Desarrollo de un marco de gestión de crisis estratégico, viable y que funcione correctamente para las Oficinas de PI nacionales que les permita seguir prestando una asistencia adecuada a las partes interesadas del ecosistema de PI en tiempos de crisis.</w:t>
            </w:r>
          </w:p>
          <w:p w14:paraId="488A8141" w14:textId="77777777" w:rsidR="001B591F" w:rsidRPr="007F7B00" w:rsidRDefault="001B591F" w:rsidP="00026668">
            <w:pPr>
              <w:pStyle w:val="TableParagraph"/>
              <w:spacing w:before="120" w:after="120"/>
              <w:ind w:left="115"/>
              <w:rPr>
                <w:b/>
                <w:bCs/>
                <w:lang w:val="es-ES_tradnl"/>
              </w:rPr>
            </w:pPr>
            <w:r w:rsidRPr="007F7B00">
              <w:rPr>
                <w:b/>
                <w:lang w:val="es-ES_tradnl"/>
              </w:rPr>
              <w:t>Actividades:</w:t>
            </w:r>
          </w:p>
          <w:p w14:paraId="048D7B33" w14:textId="77777777" w:rsidR="001B591F" w:rsidRPr="007F7B00" w:rsidRDefault="001B591F" w:rsidP="001B591F">
            <w:pPr>
              <w:pStyle w:val="TableParagraph"/>
              <w:numPr>
                <w:ilvl w:val="0"/>
                <w:numId w:val="10"/>
              </w:numPr>
              <w:spacing w:before="120" w:after="120"/>
              <w:ind w:left="840" w:hanging="725"/>
              <w:rPr>
                <w:lang w:val="es-ES_tradnl"/>
              </w:rPr>
            </w:pPr>
            <w:r w:rsidRPr="007F7B00">
              <w:rPr>
                <w:lang w:val="es-ES_tradnl"/>
              </w:rPr>
              <w:t>Llevar a cabo un estudio del alcance de los conocimientos, experiencias y enseñanzas extraídas de situaciones de crisis o emergencias específicas a las que se hayan enfrentado las Oficinas de PI nacionales.</w:t>
            </w:r>
          </w:p>
          <w:p w14:paraId="42BC0C2C" w14:textId="77777777" w:rsidR="001B591F" w:rsidRPr="007F7B00" w:rsidRDefault="001B591F" w:rsidP="001B591F">
            <w:pPr>
              <w:pStyle w:val="TableParagraph"/>
              <w:numPr>
                <w:ilvl w:val="0"/>
                <w:numId w:val="10"/>
              </w:numPr>
              <w:spacing w:before="120" w:after="120"/>
              <w:ind w:left="840" w:hanging="725"/>
              <w:rPr>
                <w:lang w:val="es-ES_tradnl"/>
              </w:rPr>
            </w:pPr>
            <w:r w:rsidRPr="007F7B00">
              <w:rPr>
                <w:lang w:val="es-ES_tradnl"/>
              </w:rPr>
              <w:t>Presentar los resultados del estudio al CDIP para garantizar la repercusión específica del proyecto.</w:t>
            </w:r>
          </w:p>
          <w:p w14:paraId="432BDA1D" w14:textId="77777777" w:rsidR="001B591F" w:rsidRPr="007F7B00" w:rsidRDefault="001B591F" w:rsidP="00026668">
            <w:pPr>
              <w:pStyle w:val="TableParagraph"/>
              <w:spacing w:before="120" w:after="120"/>
              <w:ind w:left="115"/>
              <w:rPr>
                <w:lang w:val="es-ES_tradnl"/>
              </w:rPr>
            </w:pPr>
            <w:r w:rsidRPr="007F7B00">
              <w:rPr>
                <w:b/>
                <w:lang w:val="es-ES_tradnl"/>
              </w:rPr>
              <w:lastRenderedPageBreak/>
              <w:t>Producto 2</w:t>
            </w:r>
            <w:r w:rsidRPr="007F7B00">
              <w:rPr>
                <w:lang w:val="es-ES_tradnl"/>
              </w:rPr>
              <w:t xml:space="preserve"> – Intercambio de experiencias nacionales entre responsables de políticas, reguladores y expertos de las Oficinas de PI nacionales.</w:t>
            </w:r>
          </w:p>
          <w:p w14:paraId="045B541E" w14:textId="77777777" w:rsidR="001B591F" w:rsidRPr="007F7B00" w:rsidRDefault="001B591F" w:rsidP="00026668">
            <w:pPr>
              <w:pStyle w:val="TableParagraph"/>
              <w:spacing w:before="120" w:after="120"/>
              <w:ind w:left="115"/>
              <w:rPr>
                <w:b/>
                <w:bCs/>
                <w:lang w:val="es-ES_tradnl"/>
              </w:rPr>
            </w:pPr>
            <w:r w:rsidRPr="007F7B00">
              <w:rPr>
                <w:b/>
                <w:lang w:val="es-ES_tradnl"/>
              </w:rPr>
              <w:t>Actividades:</w:t>
            </w:r>
          </w:p>
          <w:p w14:paraId="3EB6C49C" w14:textId="77777777" w:rsidR="001B591F" w:rsidRPr="007F7B00" w:rsidRDefault="001B591F" w:rsidP="001B591F">
            <w:pPr>
              <w:pStyle w:val="TableParagraph"/>
              <w:numPr>
                <w:ilvl w:val="0"/>
                <w:numId w:val="11"/>
              </w:numPr>
              <w:spacing w:before="120" w:after="120"/>
              <w:ind w:left="840" w:hanging="725"/>
              <w:rPr>
                <w:lang w:val="es-ES_tradnl"/>
              </w:rPr>
            </w:pPr>
            <w:r w:rsidRPr="007F7B00">
              <w:rPr>
                <w:lang w:val="es-ES_tradnl"/>
              </w:rPr>
              <w:t>Organizar un seminario para compartir conocimientos y experiencias, así como para aprovechar las enseñanzas extraídas.</w:t>
            </w:r>
          </w:p>
          <w:p w14:paraId="04A179FB" w14:textId="38803CE9" w:rsidR="001B591F" w:rsidRPr="007F7B00" w:rsidRDefault="001B591F" w:rsidP="001B591F">
            <w:pPr>
              <w:pStyle w:val="TableParagraph"/>
              <w:numPr>
                <w:ilvl w:val="0"/>
                <w:numId w:val="11"/>
              </w:numPr>
              <w:spacing w:before="120" w:after="120"/>
              <w:ind w:left="840" w:hanging="725"/>
              <w:rPr>
                <w:lang w:val="es-ES_tradnl"/>
              </w:rPr>
            </w:pPr>
            <w:r w:rsidRPr="007F7B00">
              <w:rPr>
                <w:lang w:val="es-ES_tradnl"/>
              </w:rPr>
              <w:t>Identificar a expertos regionales o nacionales para que presten asistencia inmediata a los países que atraviesen crisis que afecten al potencial, el funcionamiento y las operaciones de su respectivo ecosistema de PI. Tras un examen adecuado, esos expertos podrían formar parte de un grupo de especialistas y ser incluidos en IP-ROC. El propio experto interno de la OMPI en continuidad de las operaciones estará a disposición del proyecto para proporcionar la formación, orientación y asistencia necesarias.</w:t>
            </w:r>
          </w:p>
          <w:p w14:paraId="41D1357A" w14:textId="77777777" w:rsidR="001B591F" w:rsidRPr="007F7B00" w:rsidRDefault="001B591F" w:rsidP="00026668">
            <w:pPr>
              <w:pStyle w:val="TableParagraph"/>
              <w:spacing w:before="120" w:after="120"/>
              <w:ind w:left="115"/>
              <w:rPr>
                <w:lang w:val="es-ES_tradnl"/>
              </w:rPr>
            </w:pPr>
            <w:r w:rsidRPr="007F7B00">
              <w:rPr>
                <w:b/>
                <w:lang w:val="es-ES_tradnl"/>
              </w:rPr>
              <w:t>Producto 3</w:t>
            </w:r>
            <w:r w:rsidRPr="007F7B00">
              <w:rPr>
                <w:lang w:val="es-ES_tradnl"/>
              </w:rPr>
              <w:t xml:space="preserve"> – Desarrollo, en cooperación con las divisiones pertinentes de la OMPI, de herramientas de sensibilización sobre PI y gestión de crisis. </w:t>
            </w:r>
          </w:p>
          <w:p w14:paraId="11FD5201" w14:textId="77777777" w:rsidR="001B591F" w:rsidRPr="007F7B00" w:rsidRDefault="001B591F" w:rsidP="00026668">
            <w:pPr>
              <w:pStyle w:val="TableParagraph"/>
              <w:spacing w:before="120" w:after="120"/>
              <w:ind w:left="115"/>
              <w:rPr>
                <w:b/>
                <w:bCs/>
                <w:lang w:val="es-ES_tradnl"/>
              </w:rPr>
            </w:pPr>
            <w:r w:rsidRPr="007F7B00">
              <w:rPr>
                <w:b/>
                <w:lang w:val="es-ES_tradnl"/>
              </w:rPr>
              <w:t>Actividades:</w:t>
            </w:r>
          </w:p>
          <w:p w14:paraId="3E3FAB2F" w14:textId="77777777" w:rsidR="001B591F" w:rsidRPr="007F7B00" w:rsidRDefault="001B591F" w:rsidP="001B591F">
            <w:pPr>
              <w:pStyle w:val="TableParagraph"/>
              <w:numPr>
                <w:ilvl w:val="0"/>
                <w:numId w:val="9"/>
              </w:numPr>
              <w:spacing w:before="120" w:after="120"/>
              <w:ind w:left="840" w:hanging="725"/>
              <w:rPr>
                <w:lang w:val="es-ES_tradnl"/>
              </w:rPr>
            </w:pPr>
            <w:r w:rsidRPr="007F7B00">
              <w:rPr>
                <w:lang w:val="es-ES_tradnl"/>
              </w:rPr>
              <w:t>Desarrollar herramientas de comunicación personalizadas, como infografías, dirigidas a un amplio abanico de partes interesadas.</w:t>
            </w:r>
          </w:p>
          <w:p w14:paraId="2B96F41B" w14:textId="77777777" w:rsidR="001B591F" w:rsidRPr="007F7B00" w:rsidRDefault="001B591F" w:rsidP="001B591F">
            <w:pPr>
              <w:pStyle w:val="TableParagraph"/>
              <w:numPr>
                <w:ilvl w:val="0"/>
                <w:numId w:val="9"/>
              </w:numPr>
              <w:spacing w:before="120" w:after="120"/>
              <w:ind w:left="840" w:hanging="725"/>
              <w:rPr>
                <w:lang w:val="es-ES_tradnl"/>
              </w:rPr>
            </w:pPr>
            <w:r w:rsidRPr="007F7B00">
              <w:rPr>
                <w:lang w:val="es-ES_tradnl"/>
              </w:rPr>
              <w:t>Desarrollar material de formación y guías para el personal de las Oficinas de PI nacionales (que incluyan un esbozo de las políticas disponibles) para mejorar el uso de los datos y la información sobre PI y prestar servicios en línea de forma eficaz en tiempos de crisis.</w:t>
            </w:r>
          </w:p>
          <w:p w14:paraId="591F74F7" w14:textId="77777777" w:rsidR="001B591F" w:rsidRPr="007F7B00" w:rsidRDefault="001B591F" w:rsidP="001B591F">
            <w:pPr>
              <w:pStyle w:val="TableParagraph"/>
              <w:numPr>
                <w:ilvl w:val="0"/>
                <w:numId w:val="9"/>
              </w:numPr>
              <w:spacing w:before="120" w:after="120"/>
              <w:ind w:left="840" w:hanging="725"/>
              <w:rPr>
                <w:lang w:val="es-ES_tradnl"/>
              </w:rPr>
            </w:pPr>
            <w:r w:rsidRPr="007F7B00">
              <w:rPr>
                <w:lang w:val="es-ES_tradnl"/>
              </w:rPr>
              <w:t>Poner todo el material creado en el marco de este proyecto a disposición de todas las Oficinas de PI nacionales y accesible en una página web de la OMPI específica.</w:t>
            </w:r>
          </w:p>
        </w:tc>
      </w:tr>
      <w:tr w:rsidR="001B591F" w:rsidRPr="007F7B00" w14:paraId="64E023E0" w14:textId="77777777" w:rsidTr="00026668">
        <w:trPr>
          <w:trHeight w:val="280"/>
        </w:trPr>
        <w:tc>
          <w:tcPr>
            <w:tcW w:w="9352" w:type="dxa"/>
            <w:gridSpan w:val="2"/>
            <w:shd w:val="clear" w:color="auto" w:fill="00FFCC"/>
          </w:tcPr>
          <w:p w14:paraId="25270464" w14:textId="77777777" w:rsidR="001B591F" w:rsidRPr="007F7B00" w:rsidRDefault="001B591F" w:rsidP="00026668">
            <w:pPr>
              <w:pStyle w:val="TableParagraph"/>
              <w:spacing w:before="120" w:after="120"/>
              <w:ind w:left="110"/>
              <w:jc w:val="center"/>
              <w:rPr>
                <w:b/>
                <w:bCs/>
                <w:lang w:val="es-ES_tradnl"/>
              </w:rPr>
            </w:pPr>
            <w:r w:rsidRPr="007F7B00">
              <w:rPr>
                <w:b/>
                <w:lang w:val="es-ES_tradnl"/>
              </w:rPr>
              <w:lastRenderedPageBreak/>
              <w:t>2.4 Indicadores del proyecto</w:t>
            </w:r>
          </w:p>
        </w:tc>
      </w:tr>
      <w:tr w:rsidR="001B591F" w:rsidRPr="007F7B00" w14:paraId="4792A59F" w14:textId="77777777" w:rsidTr="00026668">
        <w:trPr>
          <w:trHeight w:val="280"/>
        </w:trPr>
        <w:tc>
          <w:tcPr>
            <w:tcW w:w="4676" w:type="dxa"/>
            <w:shd w:val="clear" w:color="auto" w:fill="FFFFFF" w:themeFill="background1"/>
          </w:tcPr>
          <w:p w14:paraId="05CD4762" w14:textId="77777777" w:rsidR="001B591F" w:rsidRPr="007F7B00" w:rsidRDefault="001B591F" w:rsidP="00026668">
            <w:pPr>
              <w:pStyle w:val="TableParagraph"/>
              <w:spacing w:before="120" w:after="120"/>
              <w:ind w:left="110"/>
              <w:jc w:val="center"/>
              <w:rPr>
                <w:u w:val="single"/>
                <w:lang w:val="es-ES_tradnl"/>
              </w:rPr>
            </w:pPr>
            <w:r w:rsidRPr="007F7B00">
              <w:rPr>
                <w:u w:val="single"/>
                <w:lang w:val="es-ES_tradnl"/>
              </w:rPr>
              <w:t>Objetivo del proyecto</w:t>
            </w:r>
          </w:p>
          <w:p w14:paraId="2F382982" w14:textId="77777777" w:rsidR="001B591F" w:rsidRPr="007F7B00" w:rsidRDefault="001B591F" w:rsidP="00026668">
            <w:pPr>
              <w:pStyle w:val="TableParagraph"/>
              <w:spacing w:before="120" w:after="120"/>
              <w:ind w:left="110"/>
              <w:rPr>
                <w:lang w:val="es-ES_tradnl"/>
              </w:rPr>
            </w:pPr>
            <w:r w:rsidRPr="007F7B00">
              <w:rPr>
                <w:lang w:val="es-ES_tradnl"/>
              </w:rPr>
              <w:t>Mejorar la resiliencia y la continuidad de las operaciones de las Oficinas de PI nacionales en tiempos de crisis.</w:t>
            </w:r>
          </w:p>
        </w:tc>
        <w:tc>
          <w:tcPr>
            <w:tcW w:w="4676" w:type="dxa"/>
            <w:shd w:val="clear" w:color="auto" w:fill="FFFFFF" w:themeFill="background1"/>
          </w:tcPr>
          <w:p w14:paraId="189D2ED4" w14:textId="77777777" w:rsidR="001B591F" w:rsidRPr="007F7B00" w:rsidRDefault="001B591F" w:rsidP="00026668">
            <w:pPr>
              <w:pStyle w:val="TableParagraph"/>
              <w:spacing w:before="120" w:after="120"/>
              <w:ind w:left="110"/>
              <w:jc w:val="center"/>
              <w:rPr>
                <w:u w:val="single"/>
                <w:lang w:val="es-ES_tradnl"/>
              </w:rPr>
            </w:pPr>
            <w:r w:rsidRPr="007F7B00">
              <w:rPr>
                <w:u w:val="single"/>
                <w:lang w:val="es-ES_tradnl"/>
              </w:rPr>
              <w:t>Indicador del objetivo</w:t>
            </w:r>
          </w:p>
          <w:p w14:paraId="611A433F" w14:textId="77777777" w:rsidR="001B591F" w:rsidRPr="007F7B00" w:rsidRDefault="001B591F" w:rsidP="00026668">
            <w:pPr>
              <w:pStyle w:val="TableParagraph"/>
              <w:spacing w:before="120" w:after="120"/>
              <w:ind w:left="110"/>
              <w:rPr>
                <w:lang w:val="es-ES_tradnl"/>
              </w:rPr>
            </w:pPr>
            <w:r w:rsidRPr="007F7B00">
              <w:rPr>
                <w:lang w:val="es-ES_tradnl"/>
              </w:rPr>
              <w:t>Al menos el 60% de los participantes consideran que han mejorado sus conocimientos, habilidades y capacidad para prestar servicios a las partes interesadas en la PI en tiempos de crisis al final de la ejecución del proyecto.</w:t>
            </w:r>
          </w:p>
        </w:tc>
      </w:tr>
      <w:tr w:rsidR="001B591F" w:rsidRPr="007F7B00" w14:paraId="0A67DB64" w14:textId="77777777" w:rsidTr="00026668">
        <w:trPr>
          <w:trHeight w:val="280"/>
        </w:trPr>
        <w:tc>
          <w:tcPr>
            <w:tcW w:w="4676" w:type="dxa"/>
            <w:shd w:val="clear" w:color="auto" w:fill="FFFFFF" w:themeFill="background1"/>
          </w:tcPr>
          <w:p w14:paraId="5FE8A784" w14:textId="77777777" w:rsidR="001B591F" w:rsidRPr="007F7B00" w:rsidRDefault="001B591F" w:rsidP="00026668">
            <w:pPr>
              <w:pStyle w:val="TableParagraph"/>
              <w:spacing w:before="120" w:after="120"/>
              <w:ind w:left="110"/>
              <w:jc w:val="center"/>
              <w:rPr>
                <w:u w:val="single"/>
                <w:lang w:val="es-ES_tradnl"/>
              </w:rPr>
            </w:pPr>
            <w:r w:rsidRPr="007F7B00">
              <w:rPr>
                <w:u w:val="single"/>
                <w:lang w:val="es-ES_tradnl"/>
              </w:rPr>
              <w:t>Efecto del proyecto:</w:t>
            </w:r>
          </w:p>
          <w:p w14:paraId="7B6F5C39" w14:textId="77777777" w:rsidR="001B591F" w:rsidRPr="007F7B00" w:rsidRDefault="001B591F" w:rsidP="00026668">
            <w:pPr>
              <w:pStyle w:val="TableParagraph"/>
              <w:spacing w:before="120" w:after="120"/>
              <w:ind w:left="110"/>
              <w:rPr>
                <w:lang w:val="es-ES_tradnl"/>
              </w:rPr>
            </w:pPr>
            <w:r w:rsidRPr="007F7B00">
              <w:rPr>
                <w:lang w:val="es-ES_tradnl"/>
              </w:rPr>
              <w:t>Mejora de las capacidades de gestión de crisis de las Oficinas de PI nacionales para mitigar los riesgos y minimizar las repercusiones negativas en el ecosistema de PI.</w:t>
            </w:r>
          </w:p>
        </w:tc>
        <w:tc>
          <w:tcPr>
            <w:tcW w:w="4676" w:type="dxa"/>
            <w:shd w:val="clear" w:color="auto" w:fill="FFFFFF" w:themeFill="background1"/>
          </w:tcPr>
          <w:p w14:paraId="7A31FEC6" w14:textId="77777777" w:rsidR="001B591F" w:rsidRPr="007F7B00" w:rsidRDefault="001B591F" w:rsidP="00026668">
            <w:pPr>
              <w:pStyle w:val="TableParagraph"/>
              <w:spacing w:before="120" w:after="120"/>
              <w:ind w:left="110"/>
              <w:jc w:val="center"/>
              <w:rPr>
                <w:u w:val="single"/>
                <w:lang w:val="es-ES_tradnl"/>
              </w:rPr>
            </w:pPr>
            <w:r w:rsidRPr="007F7B00">
              <w:rPr>
                <w:u w:val="single"/>
                <w:lang w:val="es-ES_tradnl"/>
              </w:rPr>
              <w:t>Indicador del efecto:</w:t>
            </w:r>
          </w:p>
          <w:p w14:paraId="6B07ECBC" w14:textId="77777777" w:rsidR="001B591F" w:rsidRPr="007F7B00" w:rsidRDefault="001B591F" w:rsidP="001B591F">
            <w:pPr>
              <w:pStyle w:val="TableParagraph"/>
              <w:numPr>
                <w:ilvl w:val="0"/>
                <w:numId w:val="16"/>
              </w:numPr>
              <w:spacing w:before="120" w:after="120"/>
              <w:ind w:left="214" w:hanging="183"/>
              <w:rPr>
                <w:lang w:val="es-ES_tradnl"/>
              </w:rPr>
            </w:pPr>
            <w:r w:rsidRPr="007F7B00">
              <w:rPr>
                <w:lang w:val="es-ES_tradnl"/>
              </w:rPr>
              <w:t>Establecimiento de un marco de resiliencia organizativa en las Oficinas de PI nacionales.</w:t>
            </w:r>
          </w:p>
          <w:p w14:paraId="2A11DD69" w14:textId="77777777" w:rsidR="001B591F" w:rsidRPr="007F7B00" w:rsidRDefault="001B591F" w:rsidP="001B591F">
            <w:pPr>
              <w:pStyle w:val="TableParagraph"/>
              <w:numPr>
                <w:ilvl w:val="0"/>
                <w:numId w:val="16"/>
              </w:numPr>
              <w:spacing w:before="120" w:after="120"/>
              <w:ind w:left="214" w:hanging="183"/>
              <w:rPr>
                <w:u w:val="single"/>
                <w:lang w:val="es-ES_tradnl"/>
              </w:rPr>
            </w:pPr>
            <w:r w:rsidRPr="007F7B00">
              <w:rPr>
                <w:lang w:val="es-ES_tradnl"/>
              </w:rPr>
              <w:t>Establecimiento de una red de expertos en PI para facilitar la prestación de servicios, el intercambio de información y la cooperación en tiempos de crisis.</w:t>
            </w:r>
          </w:p>
        </w:tc>
      </w:tr>
      <w:tr w:rsidR="001B591F" w:rsidRPr="007F7B00" w14:paraId="0954CFC6" w14:textId="77777777" w:rsidTr="00026668">
        <w:trPr>
          <w:trHeight w:val="280"/>
        </w:trPr>
        <w:tc>
          <w:tcPr>
            <w:tcW w:w="4676" w:type="dxa"/>
            <w:shd w:val="clear" w:color="auto" w:fill="FFFFFF" w:themeFill="background1"/>
          </w:tcPr>
          <w:p w14:paraId="4D58416D" w14:textId="77777777" w:rsidR="001B591F" w:rsidRPr="007F7B00" w:rsidRDefault="001B591F" w:rsidP="00026668">
            <w:pPr>
              <w:pStyle w:val="TableParagraph"/>
              <w:spacing w:before="120" w:after="120"/>
              <w:ind w:left="110"/>
              <w:jc w:val="center"/>
              <w:rPr>
                <w:u w:val="single"/>
                <w:lang w:val="es-ES_tradnl"/>
              </w:rPr>
            </w:pPr>
            <w:r w:rsidRPr="007F7B00">
              <w:rPr>
                <w:u w:val="single"/>
                <w:lang w:val="es-ES_tradnl"/>
              </w:rPr>
              <w:t>Productos del proyecto:</w:t>
            </w:r>
          </w:p>
          <w:p w14:paraId="4DD2D1FB" w14:textId="77777777" w:rsidR="001B591F" w:rsidRPr="007F7B00" w:rsidRDefault="001B591F" w:rsidP="00026668">
            <w:pPr>
              <w:pStyle w:val="TableParagraph"/>
              <w:spacing w:before="120"/>
              <w:ind w:left="115"/>
              <w:rPr>
                <w:lang w:val="es-ES_tradnl"/>
              </w:rPr>
            </w:pPr>
            <w:r w:rsidRPr="007F7B00">
              <w:rPr>
                <w:lang w:val="es-ES_tradnl"/>
              </w:rPr>
              <w:t xml:space="preserve">Desarrollo de un marco de gestión de crisis estratégico, viable y que funcione correctamente para las Oficinas de PI nacionales que les permita seguir prestando una asistencia adecuada a las partes </w:t>
            </w:r>
            <w:r w:rsidRPr="007F7B00">
              <w:rPr>
                <w:lang w:val="es-ES_tradnl"/>
              </w:rPr>
              <w:lastRenderedPageBreak/>
              <w:t xml:space="preserve">interesadas del ecosistema de PI en tiempos de crisis. </w:t>
            </w:r>
          </w:p>
          <w:p w14:paraId="2BCE6CCA" w14:textId="77777777" w:rsidR="001B591F" w:rsidRPr="007F7B00" w:rsidRDefault="001B591F" w:rsidP="00026668">
            <w:pPr>
              <w:pStyle w:val="TableParagraph"/>
              <w:ind w:left="115"/>
              <w:rPr>
                <w:lang w:val="es-ES_tradnl"/>
              </w:rPr>
            </w:pPr>
          </w:p>
        </w:tc>
        <w:tc>
          <w:tcPr>
            <w:tcW w:w="4676" w:type="dxa"/>
            <w:shd w:val="clear" w:color="auto" w:fill="FFFFFF" w:themeFill="background1"/>
          </w:tcPr>
          <w:p w14:paraId="29305CB9" w14:textId="77777777" w:rsidR="001B591F" w:rsidRPr="007F7B00" w:rsidRDefault="001B591F" w:rsidP="00026668">
            <w:pPr>
              <w:pStyle w:val="TableParagraph"/>
              <w:spacing w:before="120" w:after="120"/>
              <w:ind w:left="110"/>
              <w:jc w:val="center"/>
              <w:rPr>
                <w:u w:val="single"/>
                <w:lang w:val="es-ES_tradnl"/>
              </w:rPr>
            </w:pPr>
            <w:r w:rsidRPr="007F7B00">
              <w:rPr>
                <w:u w:val="single"/>
                <w:lang w:val="es-ES_tradnl"/>
              </w:rPr>
              <w:lastRenderedPageBreak/>
              <w:t>Indicador del producto:</w:t>
            </w:r>
          </w:p>
          <w:p w14:paraId="3F61E8CB" w14:textId="77777777" w:rsidR="001B591F" w:rsidRPr="007F7B00" w:rsidRDefault="001B591F" w:rsidP="001B591F">
            <w:pPr>
              <w:pStyle w:val="TableParagraph"/>
              <w:numPr>
                <w:ilvl w:val="0"/>
                <w:numId w:val="17"/>
              </w:numPr>
              <w:spacing w:before="120" w:after="120"/>
              <w:ind w:left="214" w:hanging="183"/>
              <w:rPr>
                <w:lang w:val="es-ES_tradnl"/>
              </w:rPr>
            </w:pPr>
            <w:r w:rsidRPr="007F7B00">
              <w:rPr>
                <w:lang w:val="es-ES_tradnl"/>
              </w:rPr>
              <w:t>Un estudio del alcance de las mejores prácticas, experiencias y enseñanzas extraídas de situaciones específicas de crisis o emergencias.</w:t>
            </w:r>
          </w:p>
          <w:p w14:paraId="2A2C8771" w14:textId="77777777" w:rsidR="001B591F" w:rsidRPr="007F7B00" w:rsidRDefault="001B591F" w:rsidP="001B591F">
            <w:pPr>
              <w:pStyle w:val="TableParagraph"/>
              <w:numPr>
                <w:ilvl w:val="0"/>
                <w:numId w:val="17"/>
              </w:numPr>
              <w:spacing w:before="120" w:after="120"/>
              <w:ind w:left="214" w:hanging="183"/>
              <w:rPr>
                <w:lang w:val="es-ES_tradnl"/>
              </w:rPr>
            </w:pPr>
            <w:r w:rsidRPr="007F7B00">
              <w:rPr>
                <w:lang w:val="es-ES_tradnl"/>
              </w:rPr>
              <w:lastRenderedPageBreak/>
              <w:t>Estudio de alcance validado por el CDIP.</w:t>
            </w:r>
          </w:p>
        </w:tc>
      </w:tr>
      <w:tr w:rsidR="001B591F" w:rsidRPr="007F7B00" w14:paraId="277F2F3B" w14:textId="77777777" w:rsidTr="00026668">
        <w:trPr>
          <w:trHeight w:val="280"/>
        </w:trPr>
        <w:tc>
          <w:tcPr>
            <w:tcW w:w="4676" w:type="dxa"/>
            <w:shd w:val="clear" w:color="auto" w:fill="FFFFFF" w:themeFill="background1"/>
          </w:tcPr>
          <w:p w14:paraId="15B38A9E" w14:textId="77777777" w:rsidR="001B591F" w:rsidRPr="007F7B00" w:rsidRDefault="001B591F" w:rsidP="00026668">
            <w:pPr>
              <w:pStyle w:val="TableParagraph"/>
              <w:spacing w:before="120" w:after="120"/>
              <w:ind w:left="110"/>
              <w:rPr>
                <w:lang w:val="es-ES_tradnl"/>
              </w:rPr>
            </w:pPr>
            <w:r w:rsidRPr="007F7B00">
              <w:rPr>
                <w:lang w:val="es-ES_tradnl"/>
              </w:rPr>
              <w:lastRenderedPageBreak/>
              <w:t>Intercambio de experiencias nacionales entre responsables de políticas, reguladores y expertos de las Oficinas de PI nacionales.</w:t>
            </w:r>
          </w:p>
        </w:tc>
        <w:tc>
          <w:tcPr>
            <w:tcW w:w="4676" w:type="dxa"/>
            <w:shd w:val="clear" w:color="auto" w:fill="FFFFFF" w:themeFill="background1"/>
          </w:tcPr>
          <w:p w14:paraId="23D97EE8" w14:textId="77777777" w:rsidR="001B591F" w:rsidRPr="007F7B00" w:rsidRDefault="001B591F" w:rsidP="001B591F">
            <w:pPr>
              <w:pStyle w:val="TableParagraph"/>
              <w:numPr>
                <w:ilvl w:val="0"/>
                <w:numId w:val="18"/>
              </w:numPr>
              <w:spacing w:before="120" w:after="120"/>
              <w:ind w:left="214" w:hanging="180"/>
              <w:rPr>
                <w:lang w:val="es-ES_tradnl"/>
              </w:rPr>
            </w:pPr>
            <w:r w:rsidRPr="007F7B00">
              <w:rPr>
                <w:lang w:val="es-ES_tradnl"/>
              </w:rPr>
              <w:t>Al menos un seminario organizado sobre la gestión de la PI y la prestación de servicios en tiempos de crisis.</w:t>
            </w:r>
          </w:p>
          <w:p w14:paraId="69E643E6" w14:textId="77777777" w:rsidR="001B591F" w:rsidRPr="007F7B00" w:rsidRDefault="001B591F" w:rsidP="001B591F">
            <w:pPr>
              <w:pStyle w:val="TableParagraph"/>
              <w:numPr>
                <w:ilvl w:val="0"/>
                <w:numId w:val="18"/>
              </w:numPr>
              <w:spacing w:before="120" w:after="120"/>
              <w:ind w:left="214" w:hanging="183"/>
              <w:rPr>
                <w:lang w:val="es-ES_tradnl"/>
              </w:rPr>
            </w:pPr>
            <w:r w:rsidRPr="007F7B00">
              <w:rPr>
                <w:lang w:val="es-ES_tradnl"/>
              </w:rPr>
              <w:t>Al menos el 80% de los participantes consideran útil la información difundida en el seminario.</w:t>
            </w:r>
          </w:p>
          <w:p w14:paraId="41C7C28B" w14:textId="77777777" w:rsidR="001B591F" w:rsidRPr="007F7B00" w:rsidRDefault="001B591F" w:rsidP="001B591F">
            <w:pPr>
              <w:pStyle w:val="TableParagraph"/>
              <w:numPr>
                <w:ilvl w:val="0"/>
                <w:numId w:val="18"/>
              </w:numPr>
              <w:spacing w:before="120" w:after="120"/>
              <w:ind w:left="214" w:hanging="183"/>
              <w:rPr>
                <w:lang w:val="es-ES_tradnl"/>
              </w:rPr>
            </w:pPr>
            <w:r w:rsidRPr="007F7B00">
              <w:rPr>
                <w:lang w:val="es-ES_tradnl"/>
              </w:rPr>
              <w:t>Al menos un experto por región señalado como apto para su inclusión en el IP-ROC.</w:t>
            </w:r>
          </w:p>
        </w:tc>
      </w:tr>
      <w:tr w:rsidR="001B591F" w:rsidRPr="007F7B00" w14:paraId="697B07EF" w14:textId="77777777" w:rsidTr="00026668">
        <w:trPr>
          <w:trHeight w:val="280"/>
        </w:trPr>
        <w:tc>
          <w:tcPr>
            <w:tcW w:w="4676" w:type="dxa"/>
            <w:shd w:val="clear" w:color="auto" w:fill="FFFFFF" w:themeFill="background1"/>
          </w:tcPr>
          <w:p w14:paraId="5543B104" w14:textId="77777777" w:rsidR="001B591F" w:rsidRPr="007F7B00" w:rsidRDefault="001B591F" w:rsidP="00026668">
            <w:pPr>
              <w:pStyle w:val="TableParagraph"/>
              <w:spacing w:before="120" w:after="120"/>
              <w:ind w:left="110"/>
              <w:rPr>
                <w:lang w:val="es-ES_tradnl"/>
              </w:rPr>
            </w:pPr>
            <w:r w:rsidRPr="007F7B00">
              <w:rPr>
                <w:lang w:val="es-ES_tradnl"/>
              </w:rPr>
              <w:t>Desarrollo, en cooperación con las divisiones pertinentes de la OMPI, de herramientas de sensibilización sobre PI y gestión de crisis.</w:t>
            </w:r>
          </w:p>
        </w:tc>
        <w:tc>
          <w:tcPr>
            <w:tcW w:w="4676" w:type="dxa"/>
            <w:shd w:val="clear" w:color="auto" w:fill="FFFFFF" w:themeFill="background1"/>
          </w:tcPr>
          <w:p w14:paraId="20EAC457" w14:textId="77777777" w:rsidR="001B591F" w:rsidRPr="007F7B00" w:rsidRDefault="001B591F" w:rsidP="00026668">
            <w:pPr>
              <w:pStyle w:val="TableParagraph"/>
              <w:spacing w:before="120" w:after="120"/>
              <w:ind w:left="110"/>
              <w:rPr>
                <w:lang w:val="es-ES_tradnl"/>
              </w:rPr>
            </w:pPr>
            <w:r w:rsidRPr="007F7B00">
              <w:rPr>
                <w:lang w:val="es-ES_tradnl"/>
              </w:rPr>
              <w:t>Un conjunto de herramientas de comunicación, material de formación, guías y un esquema de las políticas disponibles, adaptados a los representantes de las Oficinas de PI nacionales, desarrollados y difundidos a todas las Oficinas de PI nacionales a través de una página web de la OMPI específica.</w:t>
            </w:r>
          </w:p>
        </w:tc>
      </w:tr>
      <w:tr w:rsidR="001B591F" w:rsidRPr="007F7B00" w14:paraId="14E78004" w14:textId="77777777" w:rsidTr="00026668">
        <w:trPr>
          <w:trHeight w:val="280"/>
        </w:trPr>
        <w:tc>
          <w:tcPr>
            <w:tcW w:w="9352" w:type="dxa"/>
            <w:gridSpan w:val="2"/>
            <w:shd w:val="clear" w:color="auto" w:fill="00FFCC"/>
          </w:tcPr>
          <w:p w14:paraId="2FEC3CDC" w14:textId="77777777" w:rsidR="001B591F" w:rsidRPr="007F7B00" w:rsidRDefault="001B591F" w:rsidP="00026668">
            <w:pPr>
              <w:pStyle w:val="TableParagraph"/>
              <w:spacing w:before="120" w:after="120"/>
              <w:ind w:left="110"/>
              <w:jc w:val="center"/>
              <w:rPr>
                <w:b/>
                <w:bCs/>
                <w:lang w:val="es-ES_tradnl"/>
              </w:rPr>
            </w:pPr>
            <w:r w:rsidRPr="007F7B00">
              <w:rPr>
                <w:b/>
                <w:lang w:val="es-ES_tradnl"/>
              </w:rPr>
              <w:t>2.5 Estrategia de sostenibilidad</w:t>
            </w:r>
          </w:p>
        </w:tc>
      </w:tr>
      <w:tr w:rsidR="001B591F" w:rsidRPr="007F7B00" w14:paraId="405447E9" w14:textId="77777777" w:rsidTr="00026668">
        <w:trPr>
          <w:trHeight w:val="370"/>
        </w:trPr>
        <w:tc>
          <w:tcPr>
            <w:tcW w:w="9352" w:type="dxa"/>
            <w:gridSpan w:val="2"/>
          </w:tcPr>
          <w:p w14:paraId="1026E6DB" w14:textId="5C08FF32" w:rsidR="001B591F" w:rsidRPr="007F7B00" w:rsidRDefault="001B591F" w:rsidP="00026668">
            <w:pPr>
              <w:pStyle w:val="TableParagraph"/>
              <w:spacing w:before="120" w:after="120"/>
              <w:ind w:left="119"/>
              <w:rPr>
                <w:lang w:val="es-ES_tradnl"/>
              </w:rPr>
            </w:pPr>
            <w:r w:rsidRPr="007F7B00">
              <w:rPr>
                <w:lang w:val="es-ES_tradnl"/>
              </w:rPr>
              <w:t xml:space="preserve">Para garantizar la sostenibilidad de los productos del proyecto, la OMPI creará una página web específica en la que se podrá acceder fácilmente a todo el material entregado en el marco de este proyecto. </w:t>
            </w:r>
          </w:p>
          <w:p w14:paraId="3F732B63" w14:textId="77777777" w:rsidR="001B591F" w:rsidRPr="007F7B00" w:rsidRDefault="001B591F" w:rsidP="00026668">
            <w:pPr>
              <w:pStyle w:val="TableParagraph"/>
              <w:spacing w:before="120" w:after="120"/>
              <w:ind w:left="119"/>
              <w:rPr>
                <w:lang w:val="es-ES_tradnl"/>
              </w:rPr>
            </w:pPr>
            <w:r w:rsidRPr="007F7B00">
              <w:rPr>
                <w:lang w:val="es-ES_tradnl"/>
              </w:rPr>
              <w:t>La estrategia de sostenibilidad se actualizará en el curso de la ejecución del proyecto.</w:t>
            </w:r>
          </w:p>
        </w:tc>
      </w:tr>
      <w:tr w:rsidR="001B591F" w:rsidRPr="007F7B00" w14:paraId="469874AD" w14:textId="77777777" w:rsidTr="00026668">
        <w:trPr>
          <w:trHeight w:val="253"/>
        </w:trPr>
        <w:tc>
          <w:tcPr>
            <w:tcW w:w="9352" w:type="dxa"/>
            <w:gridSpan w:val="2"/>
            <w:shd w:val="clear" w:color="auto" w:fill="00FFCC"/>
          </w:tcPr>
          <w:p w14:paraId="7C579267" w14:textId="77777777" w:rsidR="001B591F" w:rsidRPr="007F7B00" w:rsidRDefault="001B591F" w:rsidP="00026668">
            <w:pPr>
              <w:pStyle w:val="TableParagraph"/>
              <w:spacing w:before="120" w:after="120"/>
              <w:ind w:left="102" w:right="90"/>
              <w:jc w:val="center"/>
              <w:rPr>
                <w:b/>
                <w:lang w:val="es-ES_tradnl"/>
              </w:rPr>
            </w:pPr>
            <w:r w:rsidRPr="007F7B00">
              <w:rPr>
                <w:b/>
                <w:lang w:val="es-ES_tradnl"/>
              </w:rPr>
              <w:t>2.6 Criterios de selección para los países piloto/beneficiarios</w:t>
            </w:r>
          </w:p>
        </w:tc>
      </w:tr>
      <w:tr w:rsidR="001B591F" w:rsidRPr="007F7B00" w14:paraId="3FD300CD" w14:textId="77777777" w:rsidTr="00026668">
        <w:trPr>
          <w:trHeight w:val="253"/>
        </w:trPr>
        <w:tc>
          <w:tcPr>
            <w:tcW w:w="9352" w:type="dxa"/>
            <w:gridSpan w:val="2"/>
            <w:shd w:val="clear" w:color="auto" w:fill="FFFFFF" w:themeFill="background1"/>
          </w:tcPr>
          <w:p w14:paraId="61C0E30B" w14:textId="77777777" w:rsidR="001B591F" w:rsidRPr="007F7B00" w:rsidRDefault="001B591F" w:rsidP="00026668">
            <w:pPr>
              <w:pStyle w:val="TableParagraph"/>
              <w:spacing w:before="120" w:after="120"/>
              <w:ind w:left="102" w:right="90"/>
              <w:jc w:val="center"/>
              <w:rPr>
                <w:lang w:val="es-ES_tradnl"/>
              </w:rPr>
            </w:pPr>
            <w:r w:rsidRPr="007F7B00">
              <w:rPr>
                <w:lang w:val="es-ES_tradnl"/>
              </w:rPr>
              <w:t>No procede</w:t>
            </w:r>
          </w:p>
        </w:tc>
      </w:tr>
      <w:tr w:rsidR="001B591F" w:rsidRPr="007F7B00" w14:paraId="54F35C5B" w14:textId="77777777" w:rsidTr="00026668">
        <w:trPr>
          <w:trHeight w:val="253"/>
        </w:trPr>
        <w:tc>
          <w:tcPr>
            <w:tcW w:w="9352" w:type="dxa"/>
            <w:gridSpan w:val="2"/>
            <w:shd w:val="clear" w:color="auto" w:fill="00FFCC"/>
          </w:tcPr>
          <w:p w14:paraId="1CD29037" w14:textId="77777777" w:rsidR="001B591F" w:rsidRPr="007F7B00" w:rsidRDefault="001B591F" w:rsidP="00026668">
            <w:pPr>
              <w:pStyle w:val="TableParagraph"/>
              <w:spacing w:before="120" w:after="120"/>
              <w:ind w:left="102" w:right="90"/>
              <w:jc w:val="center"/>
              <w:rPr>
                <w:b/>
                <w:lang w:val="es-ES_tradnl"/>
              </w:rPr>
            </w:pPr>
            <w:r w:rsidRPr="007F7B00">
              <w:rPr>
                <w:b/>
                <w:lang w:val="es-ES_tradnl"/>
              </w:rPr>
              <w:t>2.7 Esquema organizativo de ejecución</w:t>
            </w:r>
          </w:p>
        </w:tc>
      </w:tr>
      <w:tr w:rsidR="001B591F" w:rsidRPr="007F7B00" w14:paraId="642FD17C" w14:textId="77777777" w:rsidTr="00026668">
        <w:trPr>
          <w:trHeight w:val="64"/>
        </w:trPr>
        <w:tc>
          <w:tcPr>
            <w:tcW w:w="9352" w:type="dxa"/>
            <w:gridSpan w:val="2"/>
          </w:tcPr>
          <w:p w14:paraId="172AE8C0" w14:textId="77777777" w:rsidR="001B591F" w:rsidRPr="007F7B00" w:rsidRDefault="001B591F" w:rsidP="00026668">
            <w:pPr>
              <w:pStyle w:val="TableParagraph"/>
              <w:spacing w:before="120" w:after="120"/>
              <w:ind w:left="110" w:right="614"/>
              <w:rPr>
                <w:lang w:val="es-ES_tradnl"/>
              </w:rPr>
            </w:pPr>
            <w:r w:rsidRPr="007F7B00">
              <w:rPr>
                <w:lang w:val="es-ES_tradnl"/>
              </w:rPr>
              <w:t>División de Soluciones Operativas para las Oficinas de PI, Sector de Infraestructura y Plataformas</w:t>
            </w:r>
          </w:p>
        </w:tc>
      </w:tr>
      <w:tr w:rsidR="001B591F" w:rsidRPr="007F7B00" w14:paraId="06F0D7B1" w14:textId="77777777" w:rsidTr="00026668">
        <w:trPr>
          <w:trHeight w:val="254"/>
        </w:trPr>
        <w:tc>
          <w:tcPr>
            <w:tcW w:w="9352" w:type="dxa"/>
            <w:gridSpan w:val="2"/>
            <w:shd w:val="clear" w:color="auto" w:fill="00FFCC"/>
          </w:tcPr>
          <w:p w14:paraId="198463AE" w14:textId="77777777" w:rsidR="001B591F" w:rsidRPr="007F7B00" w:rsidRDefault="001B591F" w:rsidP="00026668">
            <w:pPr>
              <w:pStyle w:val="TableParagraph"/>
              <w:spacing w:before="120" w:after="120"/>
              <w:ind w:left="102" w:right="90"/>
              <w:jc w:val="center"/>
              <w:rPr>
                <w:b/>
                <w:lang w:val="es-ES_tradnl"/>
              </w:rPr>
            </w:pPr>
            <w:r w:rsidRPr="007F7B00">
              <w:rPr>
                <w:b/>
                <w:lang w:val="es-ES_tradnl"/>
              </w:rPr>
              <w:t>2.8 Vínculos con otras entidades organizativas</w:t>
            </w:r>
          </w:p>
        </w:tc>
      </w:tr>
      <w:tr w:rsidR="001B591F" w:rsidRPr="007F7B00" w14:paraId="74A5F41E" w14:textId="77777777" w:rsidTr="00026668">
        <w:trPr>
          <w:trHeight w:val="50"/>
        </w:trPr>
        <w:tc>
          <w:tcPr>
            <w:tcW w:w="9352" w:type="dxa"/>
            <w:gridSpan w:val="2"/>
          </w:tcPr>
          <w:p w14:paraId="608F4DBB" w14:textId="2257DE8F" w:rsidR="001B591F" w:rsidRPr="007F7B00" w:rsidRDefault="001B591F" w:rsidP="00026668">
            <w:pPr>
              <w:pStyle w:val="TableParagraph"/>
              <w:spacing w:before="120" w:after="120"/>
              <w:ind w:left="110"/>
              <w:rPr>
                <w:lang w:val="es-ES_tradnl"/>
              </w:rPr>
            </w:pPr>
            <w:r w:rsidRPr="007F7B00">
              <w:rPr>
                <w:lang w:val="es-ES_tradnl"/>
              </w:rPr>
              <w:t>Sector de Desarrollo Regional y Nacional; Departamento de Servicios del PCT; Registro de Madrid: Registro de La Haya; División de Gestión del Derecho de Autor; División de PI para las Empresas; División de Fomento del Respeto por la PI; Departamento de Tecnologías de la Información y la Comunicación.</w:t>
            </w:r>
          </w:p>
        </w:tc>
      </w:tr>
      <w:tr w:rsidR="001B591F" w:rsidRPr="007F7B00" w14:paraId="3134E881" w14:textId="77777777" w:rsidTr="00026668">
        <w:trPr>
          <w:trHeight w:val="361"/>
        </w:trPr>
        <w:tc>
          <w:tcPr>
            <w:tcW w:w="9352" w:type="dxa"/>
            <w:gridSpan w:val="2"/>
            <w:shd w:val="clear" w:color="auto" w:fill="00FFCC"/>
          </w:tcPr>
          <w:p w14:paraId="1D932666" w14:textId="77777777" w:rsidR="001B591F" w:rsidRPr="007F7B00" w:rsidRDefault="001B591F" w:rsidP="00026668">
            <w:pPr>
              <w:pStyle w:val="TableParagraph"/>
              <w:spacing w:before="120" w:after="120"/>
              <w:ind w:left="110"/>
              <w:jc w:val="center"/>
              <w:rPr>
                <w:lang w:val="es-ES_tradnl"/>
              </w:rPr>
            </w:pPr>
            <w:r w:rsidRPr="007F7B00">
              <w:rPr>
                <w:b/>
                <w:lang w:val="es-ES_tradnl"/>
              </w:rPr>
              <w:t>2.9 Vínculos con otros proyectos de la AD</w:t>
            </w:r>
          </w:p>
        </w:tc>
      </w:tr>
      <w:tr w:rsidR="001B591F" w:rsidRPr="007F7B00" w14:paraId="7FC4C15C" w14:textId="77777777" w:rsidTr="00026668">
        <w:trPr>
          <w:trHeight w:val="568"/>
        </w:trPr>
        <w:tc>
          <w:tcPr>
            <w:tcW w:w="9352" w:type="dxa"/>
            <w:gridSpan w:val="2"/>
          </w:tcPr>
          <w:p w14:paraId="55C86159" w14:textId="6E6F3AF9" w:rsidR="001B591F" w:rsidRPr="007F7B00" w:rsidRDefault="001B591F" w:rsidP="00026668">
            <w:pPr>
              <w:pStyle w:val="TableParagraph"/>
              <w:spacing w:before="120" w:after="120"/>
              <w:ind w:left="110"/>
              <w:rPr>
                <w:lang w:val="es-ES_tradnl"/>
              </w:rPr>
            </w:pPr>
            <w:r w:rsidRPr="007F7B00">
              <w:rPr>
                <w:lang w:val="es-ES_tradnl"/>
              </w:rPr>
              <w:t>Proyecto de la AD sobre instituciones de PI inteligentes (</w:t>
            </w:r>
            <w:hyperlink r:id="rId15" w:history="1">
              <w:r w:rsidRPr="007F7B00">
                <w:rPr>
                  <w:rStyle w:val="Hyperlink"/>
                  <w:lang w:val="es-ES_tradnl"/>
                </w:rPr>
                <w:t>CDIP/3/INF/2</w:t>
              </w:r>
            </w:hyperlink>
            <w:r w:rsidRPr="007F7B00">
              <w:rPr>
                <w:lang w:val="es-ES_tradnl"/>
              </w:rPr>
              <w:t>)</w:t>
            </w:r>
          </w:p>
          <w:p w14:paraId="034B6DED" w14:textId="0AB09EF6" w:rsidR="001B591F" w:rsidRPr="007F7B00" w:rsidRDefault="001B591F" w:rsidP="00026668">
            <w:pPr>
              <w:pStyle w:val="TableParagraph"/>
              <w:spacing w:before="120" w:after="120"/>
              <w:ind w:left="110"/>
              <w:rPr>
                <w:lang w:val="es-ES_tradnl"/>
              </w:rPr>
            </w:pPr>
            <w:r w:rsidRPr="007F7B00">
              <w:rPr>
                <w:lang w:val="es-ES_tradnl"/>
              </w:rPr>
              <w:t>Proyecto de la AD sobre la mejora de la capacidad institucional y de los usuarios de la PI a escala nacional, subregional y regional (</w:t>
            </w:r>
            <w:hyperlink r:id="rId16" w:history="1">
              <w:r w:rsidRPr="007F7B00">
                <w:rPr>
                  <w:rStyle w:val="Hyperlink"/>
                  <w:lang w:val="es-ES_tradnl"/>
                </w:rPr>
                <w:t>CDIP/3/INF/2</w:t>
              </w:r>
            </w:hyperlink>
            <w:r w:rsidRPr="007F7B00">
              <w:rPr>
                <w:lang w:val="es-ES_tradnl"/>
              </w:rPr>
              <w:t>)</w:t>
            </w:r>
          </w:p>
        </w:tc>
      </w:tr>
      <w:tr w:rsidR="001B591F" w:rsidRPr="007F7B00" w14:paraId="002FF67F" w14:textId="77777777" w:rsidTr="00026668">
        <w:trPr>
          <w:trHeight w:val="406"/>
        </w:trPr>
        <w:tc>
          <w:tcPr>
            <w:tcW w:w="9352" w:type="dxa"/>
            <w:gridSpan w:val="2"/>
            <w:shd w:val="clear" w:color="auto" w:fill="00FFCC"/>
          </w:tcPr>
          <w:p w14:paraId="3A3AE355" w14:textId="77777777" w:rsidR="001B591F" w:rsidRPr="007F7B00" w:rsidRDefault="001B591F" w:rsidP="007F7B00">
            <w:pPr>
              <w:pStyle w:val="TableParagraph"/>
              <w:keepNext/>
              <w:keepLines/>
              <w:widowControl/>
              <w:spacing w:before="120" w:after="120"/>
              <w:ind w:left="108"/>
              <w:jc w:val="center"/>
              <w:rPr>
                <w:lang w:val="es-ES_tradnl"/>
              </w:rPr>
            </w:pPr>
            <w:r w:rsidRPr="007F7B00">
              <w:rPr>
                <w:b/>
                <w:lang w:val="es-ES_tradnl"/>
              </w:rPr>
              <w:lastRenderedPageBreak/>
              <w:t>2.10 Contribución a los resultados previstos del programa de trabajo y presupuesto de la OMPI</w:t>
            </w:r>
          </w:p>
        </w:tc>
      </w:tr>
      <w:tr w:rsidR="001B591F" w:rsidRPr="007F7B00" w14:paraId="67F62E5B" w14:textId="77777777" w:rsidTr="00026668">
        <w:trPr>
          <w:trHeight w:val="451"/>
        </w:trPr>
        <w:tc>
          <w:tcPr>
            <w:tcW w:w="9352" w:type="dxa"/>
            <w:gridSpan w:val="2"/>
          </w:tcPr>
          <w:p w14:paraId="4B10059B" w14:textId="77777777" w:rsidR="001B591F" w:rsidRPr="007F7B00" w:rsidRDefault="001B591F" w:rsidP="00026668">
            <w:pPr>
              <w:pStyle w:val="TableParagraph"/>
              <w:spacing w:before="120" w:after="120"/>
              <w:ind w:left="110"/>
              <w:jc w:val="center"/>
              <w:rPr>
                <w:u w:val="single"/>
                <w:lang w:val="es-ES_tradnl"/>
              </w:rPr>
            </w:pPr>
            <w:r w:rsidRPr="007F7B00">
              <w:rPr>
                <w:u w:val="single"/>
                <w:lang w:val="es-ES_tradnl"/>
              </w:rPr>
              <w:t>Programa de trabajo y presupuesto para 2024/25:</w:t>
            </w:r>
          </w:p>
          <w:p w14:paraId="40B3F03D" w14:textId="77777777" w:rsidR="001B591F" w:rsidRPr="007F7B00" w:rsidRDefault="001B591F" w:rsidP="00026668">
            <w:pPr>
              <w:pStyle w:val="TableParagraph"/>
              <w:spacing w:before="120" w:after="120"/>
              <w:ind w:left="110"/>
              <w:rPr>
                <w:lang w:val="es-ES_tradnl"/>
              </w:rPr>
            </w:pPr>
            <w:r w:rsidRPr="007F7B00">
              <w:rPr>
                <w:lang w:val="es-ES_tradnl"/>
              </w:rPr>
              <w:t>4.2 Desarrollo de ecosistemas equilibrados y eficaces de PI, innovación y creatividad en los Estados miembros.</w:t>
            </w:r>
          </w:p>
          <w:p w14:paraId="52142FB9" w14:textId="77777777" w:rsidR="001B591F" w:rsidRPr="007F7B00" w:rsidRDefault="001B591F" w:rsidP="00026668">
            <w:pPr>
              <w:pStyle w:val="TableParagraph"/>
              <w:spacing w:before="120" w:after="120"/>
              <w:ind w:left="110"/>
              <w:rPr>
                <w:lang w:val="es-ES_tradnl"/>
              </w:rPr>
            </w:pPr>
            <w:r w:rsidRPr="007F7B00">
              <w:rPr>
                <w:lang w:val="es-ES_tradnl"/>
              </w:rPr>
              <w:t>4.3 Aumento de los conocimientos y competencias en materia de PI en todos los Estados miembros.</w:t>
            </w:r>
          </w:p>
          <w:p w14:paraId="6B77A4B2" w14:textId="77777777" w:rsidR="001B591F" w:rsidRPr="007F7B00" w:rsidRDefault="001B591F" w:rsidP="00026668">
            <w:pPr>
              <w:pStyle w:val="TableParagraph"/>
              <w:spacing w:before="120" w:after="120"/>
              <w:ind w:left="110"/>
              <w:rPr>
                <w:lang w:val="es-ES_tradnl"/>
              </w:rPr>
            </w:pPr>
            <w:r w:rsidRPr="007F7B00">
              <w:rPr>
                <w:lang w:val="es-ES_tradnl"/>
              </w:rPr>
              <w:t>4.5 Mejora de la infraestructura de PI para las Oficinas de PI.</w:t>
            </w:r>
          </w:p>
        </w:tc>
      </w:tr>
      <w:tr w:rsidR="001B591F" w:rsidRPr="007F7B00" w14:paraId="19C33630" w14:textId="77777777" w:rsidTr="00026668">
        <w:trPr>
          <w:trHeight w:val="352"/>
        </w:trPr>
        <w:tc>
          <w:tcPr>
            <w:tcW w:w="9352" w:type="dxa"/>
            <w:gridSpan w:val="2"/>
            <w:shd w:val="clear" w:color="auto" w:fill="00FFCC"/>
          </w:tcPr>
          <w:p w14:paraId="6A5D5643" w14:textId="77777777" w:rsidR="001B591F" w:rsidRPr="007F7B00" w:rsidRDefault="001B591F" w:rsidP="00026668">
            <w:pPr>
              <w:pStyle w:val="TableParagraph"/>
              <w:spacing w:before="120" w:after="120"/>
              <w:ind w:left="110" w:right="77"/>
              <w:jc w:val="center"/>
              <w:rPr>
                <w:b/>
                <w:lang w:val="es-ES_tradnl"/>
              </w:rPr>
            </w:pPr>
            <w:r w:rsidRPr="007F7B00">
              <w:rPr>
                <w:b/>
                <w:lang w:val="es-ES_tradnl"/>
              </w:rPr>
              <w:t>2.11 Riesgo y mitigación</w:t>
            </w:r>
          </w:p>
        </w:tc>
      </w:tr>
      <w:tr w:rsidR="001B591F" w:rsidRPr="007F7B00" w14:paraId="7008299C" w14:textId="77777777" w:rsidTr="00026668">
        <w:trPr>
          <w:trHeight w:val="424"/>
        </w:trPr>
        <w:tc>
          <w:tcPr>
            <w:tcW w:w="9352" w:type="dxa"/>
            <w:gridSpan w:val="2"/>
            <w:shd w:val="clear" w:color="auto" w:fill="FFFFFF" w:themeFill="background1"/>
          </w:tcPr>
          <w:p w14:paraId="71028DDA" w14:textId="0165FA17" w:rsidR="001B591F" w:rsidRPr="007F7B00" w:rsidRDefault="001B591F" w:rsidP="00026668">
            <w:pPr>
              <w:pStyle w:val="TableParagraph"/>
              <w:spacing w:before="120" w:after="120"/>
              <w:ind w:left="110" w:right="77"/>
              <w:rPr>
                <w:lang w:val="es-ES_tradnl"/>
              </w:rPr>
            </w:pPr>
            <w:r w:rsidRPr="007F7B00">
              <w:rPr>
                <w:b/>
                <w:i/>
                <w:lang w:val="es-ES_tradnl"/>
              </w:rPr>
              <w:t>Riesgo 1:</w:t>
            </w:r>
            <w:r w:rsidRPr="007F7B00">
              <w:rPr>
                <w:lang w:val="es-ES_tradnl"/>
              </w:rPr>
              <w:t xml:space="preserve"> Insuficiencia de datos disponibles y de calidad.</w:t>
            </w:r>
          </w:p>
          <w:p w14:paraId="0A08C9CD" w14:textId="6AF64CA1" w:rsidR="001B591F" w:rsidRPr="007F7B00" w:rsidRDefault="001B591F" w:rsidP="00026668">
            <w:pPr>
              <w:pStyle w:val="TableParagraph"/>
              <w:spacing w:before="120" w:after="120"/>
              <w:ind w:left="110" w:right="77"/>
              <w:rPr>
                <w:lang w:val="es-ES_tradnl"/>
              </w:rPr>
            </w:pPr>
            <w:r w:rsidRPr="007F7B00">
              <w:rPr>
                <w:b/>
                <w:i/>
                <w:lang w:val="es-ES_tradnl"/>
              </w:rPr>
              <w:t>Mitigación 1:</w:t>
            </w:r>
            <w:r w:rsidRPr="007F7B00">
              <w:rPr>
                <w:lang w:val="es-ES_tradnl"/>
              </w:rPr>
              <w:t xml:space="preserve"> Se utilizarán diferentes metodologías de investigación para garantizar una recopilación de datos suficiente y precisa. </w:t>
            </w:r>
          </w:p>
          <w:p w14:paraId="0E327CA4" w14:textId="7F2F6C10" w:rsidR="001B591F" w:rsidRPr="007F7B00" w:rsidRDefault="001B591F" w:rsidP="00026668">
            <w:pPr>
              <w:pStyle w:val="TableParagraph"/>
              <w:spacing w:before="120" w:after="120"/>
              <w:ind w:left="110" w:right="77"/>
              <w:rPr>
                <w:lang w:val="es-ES_tradnl"/>
              </w:rPr>
            </w:pPr>
            <w:r w:rsidRPr="007F7B00">
              <w:rPr>
                <w:b/>
                <w:i/>
                <w:lang w:val="es-ES_tradnl"/>
              </w:rPr>
              <w:t>Riesgo 2:</w:t>
            </w:r>
            <w:r w:rsidRPr="007F7B00">
              <w:rPr>
                <w:lang w:val="es-ES_tradnl"/>
              </w:rPr>
              <w:t xml:space="preserve"> Participación limitada de las partes interesadas.</w:t>
            </w:r>
          </w:p>
          <w:p w14:paraId="41E457C6" w14:textId="2AC73061" w:rsidR="001B591F" w:rsidRPr="007F7B00" w:rsidRDefault="001B591F" w:rsidP="00026668">
            <w:pPr>
              <w:pStyle w:val="TableParagraph"/>
              <w:spacing w:before="120" w:after="120"/>
              <w:ind w:left="110" w:right="77"/>
              <w:rPr>
                <w:b/>
                <w:lang w:val="es-ES_tradnl"/>
              </w:rPr>
            </w:pPr>
            <w:r w:rsidRPr="007F7B00">
              <w:rPr>
                <w:b/>
                <w:i/>
                <w:lang w:val="es-ES_tradnl"/>
              </w:rPr>
              <w:t>Mitigación 2:</w:t>
            </w:r>
            <w:r w:rsidRPr="007F7B00">
              <w:rPr>
                <w:lang w:val="es-ES_tradnl"/>
              </w:rPr>
              <w:t xml:space="preserve"> Se elaborará un amplio plan de participación.</w:t>
            </w:r>
          </w:p>
        </w:tc>
      </w:tr>
    </w:tbl>
    <w:p w14:paraId="043127FB" w14:textId="77777777" w:rsidR="001B591F" w:rsidRPr="007F7B00" w:rsidRDefault="001B591F" w:rsidP="001B591F">
      <w:pPr>
        <w:spacing w:line="234" w:lineRule="exact"/>
        <w:rPr>
          <w:szCs w:val="22"/>
          <w:lang w:val="es-ES_tradnl"/>
        </w:rPr>
      </w:pPr>
    </w:p>
    <w:p w14:paraId="6CD787A5" w14:textId="77777777" w:rsidR="001B591F" w:rsidRPr="007F7B00" w:rsidRDefault="001B591F" w:rsidP="001B591F">
      <w:pPr>
        <w:spacing w:line="234" w:lineRule="exact"/>
        <w:rPr>
          <w:szCs w:val="22"/>
          <w:lang w:val="es-ES_tradnl"/>
        </w:rPr>
      </w:pPr>
    </w:p>
    <w:p w14:paraId="237BBF60" w14:textId="77777777" w:rsidR="001B591F" w:rsidRPr="007F7B00" w:rsidRDefault="001B591F" w:rsidP="001B591F">
      <w:pPr>
        <w:spacing w:line="234" w:lineRule="exact"/>
        <w:rPr>
          <w:szCs w:val="22"/>
          <w:lang w:val="es-ES_tradnl"/>
        </w:rPr>
        <w:sectPr w:rsidR="001B591F" w:rsidRPr="007F7B00" w:rsidSect="00845015">
          <w:headerReference w:type="even" r:id="rId17"/>
          <w:headerReference w:type="default" r:id="rId18"/>
          <w:footerReference w:type="even" r:id="rId19"/>
          <w:footerReference w:type="default" r:id="rId20"/>
          <w:headerReference w:type="first" r:id="rId21"/>
          <w:footerReference w:type="first" r:id="rId22"/>
          <w:pgSz w:w="11910" w:h="16850"/>
          <w:pgMar w:top="1600" w:right="2100" w:bottom="1459" w:left="1280" w:header="706" w:footer="706" w:gutter="0"/>
          <w:pgNumType w:start="1"/>
          <w:cols w:space="720"/>
          <w:titlePg/>
          <w:docGrid w:linePitch="299"/>
        </w:sectPr>
      </w:pPr>
    </w:p>
    <w:p w14:paraId="5D699838" w14:textId="57868F4D" w:rsidR="001B591F" w:rsidRPr="007F7B00" w:rsidRDefault="001B591F" w:rsidP="001B591F">
      <w:pPr>
        <w:pStyle w:val="ListParagraph"/>
        <w:numPr>
          <w:ilvl w:val="0"/>
          <w:numId w:val="13"/>
        </w:numPr>
        <w:spacing w:after="240" w:line="234" w:lineRule="exact"/>
        <w:ind w:left="187" w:hanging="187"/>
        <w:rPr>
          <w:b/>
          <w:bCs/>
          <w:lang w:val="es-ES_tradnl"/>
        </w:rPr>
      </w:pPr>
      <w:r w:rsidRPr="007F7B00">
        <w:rPr>
          <w:b/>
          <w:lang w:val="es-ES_tradnl"/>
        </w:rPr>
        <w:lastRenderedPageBreak/>
        <w:t xml:space="preserve"> CALENDARIO PROVISIONAL DE EJECUCIÓN</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21"/>
        <w:gridCol w:w="1199"/>
        <w:gridCol w:w="1200"/>
        <w:gridCol w:w="1200"/>
        <w:gridCol w:w="1209"/>
        <w:gridCol w:w="1200"/>
        <w:gridCol w:w="1200"/>
      </w:tblGrid>
      <w:tr w:rsidR="001B591F" w:rsidRPr="007F7B00" w14:paraId="1C09FDE6" w14:textId="77777777" w:rsidTr="00026668">
        <w:trPr>
          <w:trHeight w:val="20"/>
        </w:trPr>
        <w:tc>
          <w:tcPr>
            <w:tcW w:w="2502" w:type="pct"/>
            <w:vMerge w:val="restart"/>
            <w:shd w:val="clear" w:color="auto" w:fill="auto"/>
            <w:vAlign w:val="center"/>
          </w:tcPr>
          <w:p w14:paraId="37018E16" w14:textId="77777777" w:rsidR="001B591F" w:rsidRPr="007F7B00" w:rsidRDefault="001B591F" w:rsidP="00026668">
            <w:pPr>
              <w:rPr>
                <w:b/>
                <w:szCs w:val="22"/>
                <w:lang w:val="es-ES_tradnl"/>
              </w:rPr>
            </w:pPr>
            <w:r w:rsidRPr="007F7B00">
              <w:rPr>
                <w:b/>
                <w:szCs w:val="22"/>
                <w:lang w:val="es-ES_tradnl"/>
              </w:rPr>
              <w:t>Aportes concretos del proyecto</w:t>
            </w:r>
          </w:p>
        </w:tc>
        <w:tc>
          <w:tcPr>
            <w:tcW w:w="2498" w:type="pct"/>
            <w:gridSpan w:val="6"/>
            <w:shd w:val="clear" w:color="auto" w:fill="auto"/>
          </w:tcPr>
          <w:p w14:paraId="51B4B17E" w14:textId="77777777" w:rsidR="001B591F" w:rsidRPr="007F7B00" w:rsidRDefault="001B591F" w:rsidP="00026668">
            <w:pPr>
              <w:jc w:val="center"/>
              <w:rPr>
                <w:b/>
                <w:szCs w:val="22"/>
                <w:lang w:val="es-ES_tradnl"/>
              </w:rPr>
            </w:pPr>
            <w:r w:rsidRPr="007F7B00">
              <w:rPr>
                <w:b/>
                <w:szCs w:val="22"/>
                <w:lang w:val="es-ES_tradnl"/>
              </w:rPr>
              <w:t>Trimestres</w:t>
            </w:r>
          </w:p>
        </w:tc>
      </w:tr>
      <w:tr w:rsidR="001B591F" w:rsidRPr="007F7B00" w14:paraId="7444341B" w14:textId="77777777" w:rsidTr="00026668">
        <w:trPr>
          <w:trHeight w:val="20"/>
        </w:trPr>
        <w:tc>
          <w:tcPr>
            <w:tcW w:w="2502" w:type="pct"/>
            <w:vMerge/>
            <w:shd w:val="clear" w:color="auto" w:fill="auto"/>
          </w:tcPr>
          <w:p w14:paraId="465E3333" w14:textId="77777777" w:rsidR="001B591F" w:rsidRPr="007F7B00" w:rsidRDefault="001B591F" w:rsidP="00026668">
            <w:pPr>
              <w:rPr>
                <w:b/>
                <w:szCs w:val="22"/>
                <w:lang w:val="es-ES_tradnl"/>
              </w:rPr>
            </w:pPr>
          </w:p>
        </w:tc>
        <w:tc>
          <w:tcPr>
            <w:tcW w:w="1666" w:type="pct"/>
            <w:gridSpan w:val="4"/>
            <w:shd w:val="clear" w:color="auto" w:fill="auto"/>
          </w:tcPr>
          <w:p w14:paraId="26DF12C8" w14:textId="77777777" w:rsidR="001B591F" w:rsidRPr="007F7B00" w:rsidRDefault="001B591F" w:rsidP="00026668">
            <w:pPr>
              <w:jc w:val="center"/>
              <w:rPr>
                <w:b/>
                <w:szCs w:val="22"/>
                <w:lang w:val="es-ES_tradnl"/>
              </w:rPr>
            </w:pPr>
            <w:r w:rsidRPr="007F7B00">
              <w:rPr>
                <w:b/>
                <w:szCs w:val="22"/>
                <w:lang w:val="es-ES_tradnl"/>
              </w:rPr>
              <w:t>Año 1</w:t>
            </w:r>
          </w:p>
        </w:tc>
        <w:tc>
          <w:tcPr>
            <w:tcW w:w="832" w:type="pct"/>
            <w:gridSpan w:val="2"/>
          </w:tcPr>
          <w:p w14:paraId="56E041AB" w14:textId="77777777" w:rsidR="001B591F" w:rsidRPr="007F7B00" w:rsidRDefault="001B591F" w:rsidP="00026668">
            <w:pPr>
              <w:jc w:val="center"/>
              <w:rPr>
                <w:b/>
                <w:szCs w:val="22"/>
                <w:lang w:val="es-ES_tradnl"/>
              </w:rPr>
            </w:pPr>
            <w:r w:rsidRPr="007F7B00">
              <w:rPr>
                <w:b/>
                <w:szCs w:val="22"/>
                <w:lang w:val="es-ES_tradnl"/>
              </w:rPr>
              <w:t>Año 2</w:t>
            </w:r>
          </w:p>
        </w:tc>
      </w:tr>
      <w:tr w:rsidR="001B591F" w:rsidRPr="007F7B00" w14:paraId="0E66F78E" w14:textId="77777777" w:rsidTr="00026668">
        <w:trPr>
          <w:trHeight w:val="20"/>
        </w:trPr>
        <w:tc>
          <w:tcPr>
            <w:tcW w:w="2502" w:type="pct"/>
            <w:vMerge/>
            <w:shd w:val="clear" w:color="auto" w:fill="auto"/>
          </w:tcPr>
          <w:p w14:paraId="778FDABA" w14:textId="77777777" w:rsidR="001B591F" w:rsidRPr="007F7B00" w:rsidRDefault="001B591F" w:rsidP="00026668">
            <w:pPr>
              <w:pBdr>
                <w:top w:val="nil"/>
                <w:left w:val="nil"/>
                <w:bottom w:val="nil"/>
                <w:right w:val="nil"/>
                <w:between w:val="nil"/>
              </w:pBdr>
              <w:rPr>
                <w:szCs w:val="22"/>
                <w:lang w:val="es-ES_tradnl"/>
              </w:rPr>
            </w:pPr>
          </w:p>
        </w:tc>
        <w:tc>
          <w:tcPr>
            <w:tcW w:w="415" w:type="pct"/>
            <w:shd w:val="clear" w:color="auto" w:fill="D9D9D9" w:themeFill="background1" w:themeFillShade="D9"/>
          </w:tcPr>
          <w:p w14:paraId="64C71990" w14:textId="77777777" w:rsidR="001B591F" w:rsidRPr="007F7B00" w:rsidRDefault="001B591F" w:rsidP="00026668">
            <w:pPr>
              <w:jc w:val="center"/>
              <w:rPr>
                <w:szCs w:val="22"/>
                <w:lang w:val="es-ES_tradnl"/>
              </w:rPr>
            </w:pPr>
            <w:r w:rsidRPr="007F7B00">
              <w:rPr>
                <w:szCs w:val="22"/>
                <w:lang w:val="es-ES_tradnl"/>
              </w:rPr>
              <w:t>T1</w:t>
            </w:r>
          </w:p>
        </w:tc>
        <w:tc>
          <w:tcPr>
            <w:tcW w:w="416" w:type="pct"/>
            <w:shd w:val="clear" w:color="auto" w:fill="D9D9D9" w:themeFill="background1" w:themeFillShade="D9"/>
          </w:tcPr>
          <w:p w14:paraId="452C9D3A" w14:textId="77777777" w:rsidR="001B591F" w:rsidRPr="007F7B00" w:rsidRDefault="001B591F" w:rsidP="00026668">
            <w:pPr>
              <w:jc w:val="center"/>
              <w:rPr>
                <w:szCs w:val="22"/>
                <w:lang w:val="es-ES_tradnl"/>
              </w:rPr>
            </w:pPr>
            <w:r w:rsidRPr="007F7B00">
              <w:rPr>
                <w:szCs w:val="22"/>
                <w:lang w:val="es-ES_tradnl"/>
              </w:rPr>
              <w:t>T2</w:t>
            </w:r>
          </w:p>
        </w:tc>
        <w:tc>
          <w:tcPr>
            <w:tcW w:w="416" w:type="pct"/>
            <w:shd w:val="clear" w:color="auto" w:fill="D9D9D9" w:themeFill="background1" w:themeFillShade="D9"/>
          </w:tcPr>
          <w:p w14:paraId="5B9893D5" w14:textId="77777777" w:rsidR="001B591F" w:rsidRPr="007F7B00" w:rsidRDefault="001B591F" w:rsidP="00026668">
            <w:pPr>
              <w:jc w:val="center"/>
              <w:rPr>
                <w:szCs w:val="22"/>
                <w:lang w:val="es-ES_tradnl"/>
              </w:rPr>
            </w:pPr>
            <w:r w:rsidRPr="007F7B00">
              <w:rPr>
                <w:szCs w:val="22"/>
                <w:lang w:val="es-ES_tradnl"/>
              </w:rPr>
              <w:t>T3</w:t>
            </w:r>
          </w:p>
        </w:tc>
        <w:tc>
          <w:tcPr>
            <w:tcW w:w="419" w:type="pct"/>
            <w:shd w:val="clear" w:color="auto" w:fill="D9D9D9" w:themeFill="background1" w:themeFillShade="D9"/>
          </w:tcPr>
          <w:p w14:paraId="076C4373" w14:textId="77777777" w:rsidR="001B591F" w:rsidRPr="007F7B00" w:rsidRDefault="001B591F" w:rsidP="00026668">
            <w:pPr>
              <w:jc w:val="center"/>
              <w:rPr>
                <w:szCs w:val="22"/>
                <w:lang w:val="es-ES_tradnl"/>
              </w:rPr>
            </w:pPr>
            <w:r w:rsidRPr="007F7B00">
              <w:rPr>
                <w:szCs w:val="22"/>
                <w:lang w:val="es-ES_tradnl"/>
              </w:rPr>
              <w:t>T4</w:t>
            </w:r>
          </w:p>
        </w:tc>
        <w:tc>
          <w:tcPr>
            <w:tcW w:w="416" w:type="pct"/>
            <w:shd w:val="clear" w:color="auto" w:fill="D9D9D9" w:themeFill="background1" w:themeFillShade="D9"/>
          </w:tcPr>
          <w:p w14:paraId="5F6449EC" w14:textId="77777777" w:rsidR="001B591F" w:rsidRPr="007F7B00" w:rsidRDefault="001B591F" w:rsidP="00026668">
            <w:pPr>
              <w:jc w:val="center"/>
              <w:rPr>
                <w:szCs w:val="22"/>
                <w:lang w:val="es-ES_tradnl"/>
              </w:rPr>
            </w:pPr>
            <w:r w:rsidRPr="007F7B00">
              <w:rPr>
                <w:szCs w:val="22"/>
                <w:lang w:val="es-ES_tradnl"/>
              </w:rPr>
              <w:t>T1</w:t>
            </w:r>
          </w:p>
        </w:tc>
        <w:tc>
          <w:tcPr>
            <w:tcW w:w="416" w:type="pct"/>
            <w:shd w:val="clear" w:color="auto" w:fill="D9D9D9" w:themeFill="background1" w:themeFillShade="D9"/>
          </w:tcPr>
          <w:p w14:paraId="2574D6F3" w14:textId="77777777" w:rsidR="001B591F" w:rsidRPr="007F7B00" w:rsidRDefault="001B591F" w:rsidP="00026668">
            <w:pPr>
              <w:jc w:val="center"/>
              <w:rPr>
                <w:szCs w:val="22"/>
                <w:lang w:val="es-ES_tradnl"/>
              </w:rPr>
            </w:pPr>
            <w:r w:rsidRPr="007F7B00">
              <w:rPr>
                <w:szCs w:val="22"/>
                <w:lang w:val="es-ES_tradnl"/>
              </w:rPr>
              <w:t>T2</w:t>
            </w:r>
          </w:p>
        </w:tc>
      </w:tr>
      <w:tr w:rsidR="001B591F" w:rsidRPr="007F7B00" w14:paraId="08AB1CE7" w14:textId="77777777" w:rsidTr="00026668">
        <w:trPr>
          <w:trHeight w:val="20"/>
        </w:trPr>
        <w:tc>
          <w:tcPr>
            <w:tcW w:w="2502" w:type="pct"/>
            <w:shd w:val="clear" w:color="auto" w:fill="auto"/>
          </w:tcPr>
          <w:p w14:paraId="1F33BCCF" w14:textId="77777777" w:rsidR="001B591F" w:rsidRPr="007F7B00" w:rsidRDefault="001B591F" w:rsidP="00026668">
            <w:pPr>
              <w:rPr>
                <w:szCs w:val="22"/>
                <w:lang w:val="es-ES_tradnl"/>
              </w:rPr>
            </w:pPr>
            <w:r w:rsidRPr="007F7B00">
              <w:rPr>
                <w:szCs w:val="22"/>
                <w:lang w:val="es-ES_tradnl"/>
              </w:rPr>
              <w:t>Actividades previas a la ejecución:</w:t>
            </w:r>
            <w:r w:rsidRPr="007F7B00">
              <w:rPr>
                <w:rStyle w:val="FootnoteReference"/>
                <w:szCs w:val="22"/>
                <w:lang w:val="es-ES_tradnl"/>
              </w:rPr>
              <w:footnoteReference w:id="2"/>
            </w:r>
            <w:r w:rsidRPr="007F7B00">
              <w:rPr>
                <w:szCs w:val="22"/>
                <w:lang w:val="es-ES_tradnl"/>
              </w:rPr>
              <w:t xml:space="preserve"> </w:t>
            </w:r>
          </w:p>
          <w:p w14:paraId="1EDF09D9" w14:textId="77777777" w:rsidR="001B591F" w:rsidRPr="007F7B00" w:rsidRDefault="001B591F" w:rsidP="00026668">
            <w:pPr>
              <w:rPr>
                <w:szCs w:val="22"/>
                <w:lang w:val="es-ES_tradnl"/>
              </w:rPr>
            </w:pPr>
            <w:r w:rsidRPr="007F7B00">
              <w:rPr>
                <w:szCs w:val="22"/>
                <w:lang w:val="es-ES_tradnl"/>
              </w:rPr>
              <w:t>- Consultas con los coordinadores nacionales y regionales</w:t>
            </w:r>
          </w:p>
        </w:tc>
        <w:tc>
          <w:tcPr>
            <w:tcW w:w="415" w:type="pct"/>
            <w:shd w:val="clear" w:color="auto" w:fill="D9D9D9" w:themeFill="background1" w:themeFillShade="D9"/>
            <w:vAlign w:val="center"/>
          </w:tcPr>
          <w:p w14:paraId="6D898998"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50707C29"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06581920" w14:textId="77777777" w:rsidR="001B591F" w:rsidRPr="007F7B00" w:rsidRDefault="001B591F" w:rsidP="00026668">
            <w:pPr>
              <w:jc w:val="center"/>
              <w:rPr>
                <w:szCs w:val="22"/>
                <w:lang w:val="es-ES_tradnl"/>
              </w:rPr>
            </w:pPr>
          </w:p>
        </w:tc>
        <w:tc>
          <w:tcPr>
            <w:tcW w:w="419" w:type="pct"/>
            <w:shd w:val="clear" w:color="auto" w:fill="D9D9D9" w:themeFill="background1" w:themeFillShade="D9"/>
            <w:vAlign w:val="center"/>
          </w:tcPr>
          <w:p w14:paraId="7CC88722"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33F5317E"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60787847" w14:textId="77777777" w:rsidR="001B591F" w:rsidRPr="007F7B00" w:rsidRDefault="001B591F" w:rsidP="00026668">
            <w:pPr>
              <w:jc w:val="center"/>
              <w:rPr>
                <w:szCs w:val="22"/>
                <w:lang w:val="es-ES_tradnl"/>
              </w:rPr>
            </w:pPr>
          </w:p>
        </w:tc>
      </w:tr>
      <w:tr w:rsidR="001B591F" w:rsidRPr="007F7B00" w14:paraId="1A6921C6" w14:textId="77777777" w:rsidTr="00026668">
        <w:trPr>
          <w:trHeight w:val="20"/>
        </w:trPr>
        <w:tc>
          <w:tcPr>
            <w:tcW w:w="2502" w:type="pct"/>
            <w:shd w:val="clear" w:color="auto" w:fill="auto"/>
          </w:tcPr>
          <w:p w14:paraId="27808CFB" w14:textId="77777777" w:rsidR="001B591F" w:rsidRPr="007F7B00" w:rsidRDefault="001B591F" w:rsidP="00026668">
            <w:pPr>
              <w:pStyle w:val="TableParagraph"/>
              <w:ind w:right="140"/>
              <w:rPr>
                <w:iCs/>
                <w:lang w:val="es-ES_tradnl"/>
              </w:rPr>
            </w:pPr>
            <w:r w:rsidRPr="007F7B00">
              <w:rPr>
                <w:lang w:val="es-ES_tradnl"/>
              </w:rPr>
              <w:t>Estudio del alcance de los conocimientos, experiencias y enseñanzas extraídas de situaciones de crisis o emergencias específicas</w:t>
            </w:r>
          </w:p>
        </w:tc>
        <w:tc>
          <w:tcPr>
            <w:tcW w:w="415" w:type="pct"/>
            <w:shd w:val="clear" w:color="auto" w:fill="D9D9D9" w:themeFill="background1" w:themeFillShade="D9"/>
            <w:vAlign w:val="center"/>
          </w:tcPr>
          <w:p w14:paraId="09AD4278" w14:textId="77777777" w:rsidR="001B591F" w:rsidRPr="007F7B00" w:rsidRDefault="001B591F" w:rsidP="00026668">
            <w:pPr>
              <w:jc w:val="center"/>
              <w:rPr>
                <w:szCs w:val="22"/>
                <w:lang w:val="es-ES_tradnl"/>
              </w:rPr>
            </w:pPr>
            <w:r w:rsidRPr="007F7B00">
              <w:rPr>
                <w:szCs w:val="22"/>
                <w:lang w:val="es-ES_tradnl"/>
              </w:rPr>
              <w:t>X</w:t>
            </w:r>
          </w:p>
        </w:tc>
        <w:tc>
          <w:tcPr>
            <w:tcW w:w="416" w:type="pct"/>
            <w:shd w:val="clear" w:color="auto" w:fill="D9D9D9" w:themeFill="background1" w:themeFillShade="D9"/>
            <w:vAlign w:val="center"/>
          </w:tcPr>
          <w:p w14:paraId="56DB9B6E" w14:textId="77777777" w:rsidR="001B591F" w:rsidRPr="007F7B00" w:rsidRDefault="001B591F" w:rsidP="00026668">
            <w:pPr>
              <w:jc w:val="center"/>
              <w:rPr>
                <w:szCs w:val="22"/>
                <w:lang w:val="es-ES_tradnl"/>
              </w:rPr>
            </w:pPr>
            <w:r w:rsidRPr="007F7B00">
              <w:rPr>
                <w:szCs w:val="22"/>
                <w:lang w:val="es-ES_tradnl"/>
              </w:rPr>
              <w:t>X</w:t>
            </w:r>
          </w:p>
        </w:tc>
        <w:tc>
          <w:tcPr>
            <w:tcW w:w="416" w:type="pct"/>
            <w:shd w:val="clear" w:color="auto" w:fill="D9D9D9" w:themeFill="background1" w:themeFillShade="D9"/>
            <w:vAlign w:val="center"/>
          </w:tcPr>
          <w:p w14:paraId="41E6C0C0" w14:textId="77777777" w:rsidR="001B591F" w:rsidRPr="007F7B00" w:rsidRDefault="001B591F" w:rsidP="00026668">
            <w:pPr>
              <w:jc w:val="center"/>
              <w:rPr>
                <w:szCs w:val="22"/>
                <w:lang w:val="es-ES_tradnl"/>
              </w:rPr>
            </w:pPr>
          </w:p>
        </w:tc>
        <w:tc>
          <w:tcPr>
            <w:tcW w:w="419" w:type="pct"/>
            <w:shd w:val="clear" w:color="auto" w:fill="D9D9D9" w:themeFill="background1" w:themeFillShade="D9"/>
            <w:vAlign w:val="center"/>
          </w:tcPr>
          <w:p w14:paraId="4C7D4DE8"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7E22940B"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0F96773D" w14:textId="77777777" w:rsidR="001B591F" w:rsidRPr="007F7B00" w:rsidRDefault="001B591F" w:rsidP="00026668">
            <w:pPr>
              <w:jc w:val="center"/>
              <w:rPr>
                <w:szCs w:val="22"/>
                <w:lang w:val="es-ES_tradnl"/>
              </w:rPr>
            </w:pPr>
          </w:p>
        </w:tc>
      </w:tr>
      <w:tr w:rsidR="001B591F" w:rsidRPr="007F7B00" w14:paraId="22D15819" w14:textId="77777777" w:rsidTr="00026668">
        <w:trPr>
          <w:trHeight w:val="20"/>
        </w:trPr>
        <w:tc>
          <w:tcPr>
            <w:tcW w:w="2502" w:type="pct"/>
            <w:shd w:val="clear" w:color="auto" w:fill="auto"/>
          </w:tcPr>
          <w:p w14:paraId="4E416EC3" w14:textId="77777777" w:rsidR="001B591F" w:rsidRPr="007F7B00" w:rsidRDefault="001B591F" w:rsidP="00026668">
            <w:pPr>
              <w:pStyle w:val="TableParagraph"/>
              <w:ind w:right="175"/>
              <w:rPr>
                <w:iCs/>
                <w:lang w:val="es-ES_tradnl"/>
              </w:rPr>
            </w:pPr>
            <w:r w:rsidRPr="007F7B00">
              <w:rPr>
                <w:lang w:val="es-ES_tradnl"/>
              </w:rPr>
              <w:t>Seminario sobre la gestión de la PI y la prestación de servicios en tiempos de crisis</w:t>
            </w:r>
          </w:p>
        </w:tc>
        <w:tc>
          <w:tcPr>
            <w:tcW w:w="415" w:type="pct"/>
            <w:shd w:val="clear" w:color="auto" w:fill="D9D9D9" w:themeFill="background1" w:themeFillShade="D9"/>
            <w:vAlign w:val="center"/>
          </w:tcPr>
          <w:p w14:paraId="3F4313C5"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0B5A39BF"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1F660B50" w14:textId="77777777" w:rsidR="001B591F" w:rsidRPr="007F7B00" w:rsidRDefault="001B591F" w:rsidP="00026668">
            <w:pPr>
              <w:jc w:val="center"/>
              <w:rPr>
                <w:szCs w:val="22"/>
                <w:lang w:val="es-ES_tradnl"/>
              </w:rPr>
            </w:pPr>
            <w:r w:rsidRPr="007F7B00">
              <w:rPr>
                <w:szCs w:val="22"/>
                <w:lang w:val="es-ES_tradnl"/>
              </w:rPr>
              <w:t>X</w:t>
            </w:r>
          </w:p>
        </w:tc>
        <w:tc>
          <w:tcPr>
            <w:tcW w:w="419" w:type="pct"/>
            <w:shd w:val="clear" w:color="auto" w:fill="D9D9D9" w:themeFill="background1" w:themeFillShade="D9"/>
            <w:vAlign w:val="center"/>
          </w:tcPr>
          <w:p w14:paraId="28CCB502"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5048E95D"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182D743F" w14:textId="77777777" w:rsidR="001B591F" w:rsidRPr="007F7B00" w:rsidRDefault="001B591F" w:rsidP="00026668">
            <w:pPr>
              <w:jc w:val="center"/>
              <w:rPr>
                <w:szCs w:val="22"/>
                <w:lang w:val="es-ES_tradnl"/>
              </w:rPr>
            </w:pPr>
          </w:p>
        </w:tc>
      </w:tr>
      <w:tr w:rsidR="001B591F" w:rsidRPr="007F7B00" w14:paraId="5D85CF10" w14:textId="77777777" w:rsidTr="00026668">
        <w:trPr>
          <w:trHeight w:val="20"/>
        </w:trPr>
        <w:tc>
          <w:tcPr>
            <w:tcW w:w="2502" w:type="pct"/>
            <w:shd w:val="clear" w:color="auto" w:fill="auto"/>
          </w:tcPr>
          <w:p w14:paraId="542D8E4C" w14:textId="77777777" w:rsidR="001B591F" w:rsidRPr="007F7B00" w:rsidRDefault="001B591F" w:rsidP="00026668">
            <w:pPr>
              <w:pStyle w:val="TableParagraph"/>
              <w:ind w:right="175"/>
              <w:rPr>
                <w:bCs/>
                <w:iCs/>
                <w:lang w:val="es-ES_tradnl"/>
              </w:rPr>
            </w:pPr>
            <w:r w:rsidRPr="007F7B00">
              <w:rPr>
                <w:lang w:val="es-ES_tradnl"/>
              </w:rPr>
              <w:t>Identificación y selección de expertos nacionales y regionales para su inclusión en IP-ROC</w:t>
            </w:r>
          </w:p>
        </w:tc>
        <w:tc>
          <w:tcPr>
            <w:tcW w:w="415" w:type="pct"/>
            <w:shd w:val="clear" w:color="auto" w:fill="D9D9D9" w:themeFill="background1" w:themeFillShade="D9"/>
            <w:vAlign w:val="center"/>
          </w:tcPr>
          <w:p w14:paraId="72B8E3EE"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3A0D1800" w14:textId="77777777" w:rsidR="001B591F" w:rsidRPr="007F7B00" w:rsidRDefault="001B591F" w:rsidP="00026668">
            <w:pPr>
              <w:jc w:val="center"/>
              <w:rPr>
                <w:szCs w:val="22"/>
                <w:lang w:val="es-ES_tradnl"/>
              </w:rPr>
            </w:pPr>
            <w:r w:rsidRPr="007F7B00">
              <w:rPr>
                <w:szCs w:val="22"/>
                <w:lang w:val="es-ES_tradnl"/>
              </w:rPr>
              <w:t>X</w:t>
            </w:r>
          </w:p>
        </w:tc>
        <w:tc>
          <w:tcPr>
            <w:tcW w:w="416" w:type="pct"/>
            <w:shd w:val="clear" w:color="auto" w:fill="D9D9D9" w:themeFill="background1" w:themeFillShade="D9"/>
            <w:vAlign w:val="center"/>
          </w:tcPr>
          <w:p w14:paraId="235E7944" w14:textId="77777777" w:rsidR="001B591F" w:rsidRPr="007F7B00" w:rsidRDefault="001B591F" w:rsidP="00026668">
            <w:pPr>
              <w:jc w:val="center"/>
              <w:rPr>
                <w:szCs w:val="22"/>
                <w:lang w:val="es-ES_tradnl"/>
              </w:rPr>
            </w:pPr>
            <w:r w:rsidRPr="007F7B00">
              <w:rPr>
                <w:szCs w:val="22"/>
                <w:lang w:val="es-ES_tradnl"/>
              </w:rPr>
              <w:t>X</w:t>
            </w:r>
          </w:p>
        </w:tc>
        <w:tc>
          <w:tcPr>
            <w:tcW w:w="419" w:type="pct"/>
            <w:shd w:val="clear" w:color="auto" w:fill="D9D9D9" w:themeFill="background1" w:themeFillShade="D9"/>
            <w:vAlign w:val="center"/>
          </w:tcPr>
          <w:p w14:paraId="7A5EE131" w14:textId="77777777" w:rsidR="001B591F" w:rsidRPr="007F7B00" w:rsidRDefault="001B591F" w:rsidP="00026668">
            <w:pPr>
              <w:jc w:val="center"/>
              <w:rPr>
                <w:szCs w:val="22"/>
                <w:lang w:val="es-ES_tradnl"/>
              </w:rPr>
            </w:pPr>
            <w:r w:rsidRPr="007F7B00">
              <w:rPr>
                <w:szCs w:val="22"/>
                <w:lang w:val="es-ES_tradnl"/>
              </w:rPr>
              <w:t>X</w:t>
            </w:r>
          </w:p>
        </w:tc>
        <w:tc>
          <w:tcPr>
            <w:tcW w:w="416" w:type="pct"/>
            <w:shd w:val="clear" w:color="auto" w:fill="D9D9D9" w:themeFill="background1" w:themeFillShade="D9"/>
            <w:vAlign w:val="center"/>
          </w:tcPr>
          <w:p w14:paraId="24F21D8C" w14:textId="77777777" w:rsidR="001B591F" w:rsidRPr="007F7B00" w:rsidRDefault="001B591F" w:rsidP="00026668">
            <w:pPr>
              <w:jc w:val="center"/>
              <w:rPr>
                <w:szCs w:val="22"/>
                <w:lang w:val="es-ES_tradnl"/>
              </w:rPr>
            </w:pPr>
            <w:r w:rsidRPr="007F7B00">
              <w:rPr>
                <w:szCs w:val="22"/>
                <w:lang w:val="es-ES_tradnl"/>
              </w:rPr>
              <w:t>X</w:t>
            </w:r>
          </w:p>
        </w:tc>
        <w:tc>
          <w:tcPr>
            <w:tcW w:w="416" w:type="pct"/>
            <w:shd w:val="clear" w:color="auto" w:fill="D9D9D9" w:themeFill="background1" w:themeFillShade="D9"/>
            <w:vAlign w:val="center"/>
          </w:tcPr>
          <w:p w14:paraId="77644A5D" w14:textId="77777777" w:rsidR="001B591F" w:rsidRPr="007F7B00" w:rsidRDefault="001B591F" w:rsidP="00026668">
            <w:pPr>
              <w:jc w:val="center"/>
              <w:rPr>
                <w:szCs w:val="22"/>
                <w:lang w:val="es-ES_tradnl"/>
              </w:rPr>
            </w:pPr>
          </w:p>
        </w:tc>
      </w:tr>
      <w:tr w:rsidR="001B591F" w:rsidRPr="007F7B00" w14:paraId="26FBD03D" w14:textId="77777777" w:rsidTr="00026668">
        <w:trPr>
          <w:trHeight w:val="20"/>
        </w:trPr>
        <w:tc>
          <w:tcPr>
            <w:tcW w:w="2502" w:type="pct"/>
            <w:shd w:val="clear" w:color="auto" w:fill="auto"/>
          </w:tcPr>
          <w:p w14:paraId="71658D9F" w14:textId="77777777" w:rsidR="001B591F" w:rsidRPr="007F7B00" w:rsidRDefault="001B591F" w:rsidP="00026668">
            <w:pPr>
              <w:pStyle w:val="TableParagraph"/>
              <w:ind w:right="175"/>
              <w:rPr>
                <w:iCs/>
                <w:lang w:val="es-ES_tradnl"/>
              </w:rPr>
            </w:pPr>
            <w:r w:rsidRPr="007F7B00">
              <w:rPr>
                <w:lang w:val="es-ES_tradnl"/>
              </w:rPr>
              <w:t>Desarrollo de herramientas de sensibilización sobre PI y gestión de crisis</w:t>
            </w:r>
          </w:p>
        </w:tc>
        <w:tc>
          <w:tcPr>
            <w:tcW w:w="415" w:type="pct"/>
            <w:shd w:val="clear" w:color="auto" w:fill="D9D9D9" w:themeFill="background1" w:themeFillShade="D9"/>
            <w:vAlign w:val="center"/>
          </w:tcPr>
          <w:p w14:paraId="5FF713C8"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24BEC5C9"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45B67999" w14:textId="77777777" w:rsidR="001B591F" w:rsidRPr="007F7B00" w:rsidRDefault="001B591F" w:rsidP="00026668">
            <w:pPr>
              <w:jc w:val="center"/>
              <w:rPr>
                <w:szCs w:val="22"/>
                <w:lang w:val="es-ES_tradnl"/>
              </w:rPr>
            </w:pPr>
            <w:r w:rsidRPr="007F7B00">
              <w:rPr>
                <w:szCs w:val="22"/>
                <w:lang w:val="es-ES_tradnl"/>
              </w:rPr>
              <w:t>X</w:t>
            </w:r>
          </w:p>
        </w:tc>
        <w:tc>
          <w:tcPr>
            <w:tcW w:w="419" w:type="pct"/>
            <w:shd w:val="clear" w:color="auto" w:fill="D9D9D9" w:themeFill="background1" w:themeFillShade="D9"/>
            <w:vAlign w:val="center"/>
          </w:tcPr>
          <w:p w14:paraId="0463CAA9" w14:textId="77777777" w:rsidR="001B591F" w:rsidRPr="007F7B00" w:rsidRDefault="001B591F" w:rsidP="00026668">
            <w:pPr>
              <w:jc w:val="center"/>
              <w:rPr>
                <w:szCs w:val="22"/>
                <w:lang w:val="es-ES_tradnl"/>
              </w:rPr>
            </w:pPr>
            <w:r w:rsidRPr="007F7B00">
              <w:rPr>
                <w:szCs w:val="22"/>
                <w:lang w:val="es-ES_tradnl"/>
              </w:rPr>
              <w:t>X</w:t>
            </w:r>
          </w:p>
        </w:tc>
        <w:tc>
          <w:tcPr>
            <w:tcW w:w="416" w:type="pct"/>
            <w:shd w:val="clear" w:color="auto" w:fill="D9D9D9" w:themeFill="background1" w:themeFillShade="D9"/>
            <w:vAlign w:val="center"/>
          </w:tcPr>
          <w:p w14:paraId="03627457" w14:textId="77777777" w:rsidR="001B591F" w:rsidRPr="007F7B00" w:rsidRDefault="001B591F" w:rsidP="00026668">
            <w:pPr>
              <w:jc w:val="center"/>
              <w:rPr>
                <w:szCs w:val="22"/>
                <w:lang w:val="es-ES_tradnl"/>
              </w:rPr>
            </w:pPr>
            <w:r w:rsidRPr="007F7B00">
              <w:rPr>
                <w:szCs w:val="22"/>
                <w:lang w:val="es-ES_tradnl"/>
              </w:rPr>
              <w:t>X</w:t>
            </w:r>
          </w:p>
        </w:tc>
        <w:tc>
          <w:tcPr>
            <w:tcW w:w="416" w:type="pct"/>
            <w:shd w:val="clear" w:color="auto" w:fill="D9D9D9" w:themeFill="background1" w:themeFillShade="D9"/>
            <w:vAlign w:val="center"/>
          </w:tcPr>
          <w:p w14:paraId="7315D0E5" w14:textId="77777777" w:rsidR="001B591F" w:rsidRPr="007F7B00" w:rsidRDefault="001B591F" w:rsidP="00026668">
            <w:pPr>
              <w:jc w:val="center"/>
              <w:rPr>
                <w:szCs w:val="22"/>
                <w:lang w:val="es-ES_tradnl"/>
              </w:rPr>
            </w:pPr>
          </w:p>
        </w:tc>
      </w:tr>
      <w:tr w:rsidR="001B591F" w:rsidRPr="007F7B00" w14:paraId="5AC38716" w14:textId="77777777" w:rsidTr="00026668">
        <w:trPr>
          <w:trHeight w:val="20"/>
        </w:trPr>
        <w:tc>
          <w:tcPr>
            <w:tcW w:w="2502" w:type="pct"/>
            <w:shd w:val="clear" w:color="auto" w:fill="auto"/>
          </w:tcPr>
          <w:p w14:paraId="25706F21" w14:textId="77777777" w:rsidR="001B591F" w:rsidRPr="007F7B00" w:rsidRDefault="001B591F" w:rsidP="00026668">
            <w:pPr>
              <w:rPr>
                <w:szCs w:val="22"/>
                <w:lang w:val="es-ES_tradnl"/>
              </w:rPr>
            </w:pPr>
            <w:r w:rsidRPr="007F7B00">
              <w:rPr>
                <w:szCs w:val="22"/>
                <w:lang w:val="es-ES_tradnl"/>
              </w:rPr>
              <w:t>Evaluación del proyecto</w:t>
            </w:r>
          </w:p>
        </w:tc>
        <w:tc>
          <w:tcPr>
            <w:tcW w:w="415" w:type="pct"/>
            <w:shd w:val="clear" w:color="auto" w:fill="D9D9D9" w:themeFill="background1" w:themeFillShade="D9"/>
            <w:vAlign w:val="center"/>
          </w:tcPr>
          <w:p w14:paraId="65641CF4"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4CB79FEC"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3B7EEE10" w14:textId="77777777" w:rsidR="001B591F" w:rsidRPr="007F7B00" w:rsidRDefault="001B591F" w:rsidP="00026668">
            <w:pPr>
              <w:jc w:val="center"/>
              <w:rPr>
                <w:szCs w:val="22"/>
                <w:lang w:val="es-ES_tradnl"/>
              </w:rPr>
            </w:pPr>
          </w:p>
        </w:tc>
        <w:tc>
          <w:tcPr>
            <w:tcW w:w="419" w:type="pct"/>
            <w:shd w:val="clear" w:color="auto" w:fill="D9D9D9" w:themeFill="background1" w:themeFillShade="D9"/>
            <w:vAlign w:val="center"/>
          </w:tcPr>
          <w:p w14:paraId="0F7FA0AD"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2E43BD8D"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77CBA69B" w14:textId="77777777" w:rsidR="001B591F" w:rsidRPr="007F7B00" w:rsidRDefault="001B591F" w:rsidP="00026668">
            <w:pPr>
              <w:jc w:val="center"/>
              <w:rPr>
                <w:szCs w:val="22"/>
                <w:lang w:val="es-ES_tradnl"/>
              </w:rPr>
            </w:pPr>
            <w:r w:rsidRPr="007F7B00">
              <w:rPr>
                <w:szCs w:val="22"/>
                <w:lang w:val="es-ES_tradnl"/>
              </w:rPr>
              <w:t>X</w:t>
            </w:r>
          </w:p>
        </w:tc>
      </w:tr>
      <w:tr w:rsidR="001B591F" w:rsidRPr="007F7B00" w14:paraId="054A90F4" w14:textId="77777777" w:rsidTr="00026668">
        <w:trPr>
          <w:trHeight w:val="20"/>
        </w:trPr>
        <w:tc>
          <w:tcPr>
            <w:tcW w:w="2502" w:type="pct"/>
            <w:shd w:val="clear" w:color="auto" w:fill="auto"/>
          </w:tcPr>
          <w:p w14:paraId="1A223DB9" w14:textId="77777777" w:rsidR="001B591F" w:rsidRPr="007F7B00" w:rsidRDefault="001B591F" w:rsidP="00026668">
            <w:pPr>
              <w:rPr>
                <w:szCs w:val="22"/>
                <w:lang w:val="es-ES_tradnl"/>
              </w:rPr>
            </w:pPr>
            <w:r w:rsidRPr="007F7B00">
              <w:rPr>
                <w:szCs w:val="22"/>
                <w:lang w:val="es-ES_tradnl"/>
              </w:rPr>
              <w:t>Acto paralelo del CDIP</w:t>
            </w:r>
          </w:p>
        </w:tc>
        <w:tc>
          <w:tcPr>
            <w:tcW w:w="415" w:type="pct"/>
            <w:shd w:val="clear" w:color="auto" w:fill="D9D9D9" w:themeFill="background1" w:themeFillShade="D9"/>
            <w:vAlign w:val="center"/>
          </w:tcPr>
          <w:p w14:paraId="2EA696CF"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47F44A4E"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01D37AA4" w14:textId="77777777" w:rsidR="001B591F" w:rsidRPr="007F7B00" w:rsidRDefault="001B591F" w:rsidP="00026668">
            <w:pPr>
              <w:jc w:val="center"/>
              <w:rPr>
                <w:szCs w:val="22"/>
                <w:lang w:val="es-ES_tradnl"/>
              </w:rPr>
            </w:pPr>
          </w:p>
        </w:tc>
        <w:tc>
          <w:tcPr>
            <w:tcW w:w="419" w:type="pct"/>
            <w:shd w:val="clear" w:color="auto" w:fill="D9D9D9" w:themeFill="background1" w:themeFillShade="D9"/>
            <w:vAlign w:val="center"/>
          </w:tcPr>
          <w:p w14:paraId="29149310"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155A8A1C" w14:textId="77777777" w:rsidR="001B591F" w:rsidRPr="007F7B00" w:rsidRDefault="001B591F" w:rsidP="00026668">
            <w:pPr>
              <w:jc w:val="center"/>
              <w:rPr>
                <w:szCs w:val="22"/>
                <w:lang w:val="es-ES_tradnl"/>
              </w:rPr>
            </w:pPr>
          </w:p>
        </w:tc>
        <w:tc>
          <w:tcPr>
            <w:tcW w:w="416" w:type="pct"/>
            <w:shd w:val="clear" w:color="auto" w:fill="D9D9D9" w:themeFill="background1" w:themeFillShade="D9"/>
            <w:vAlign w:val="center"/>
          </w:tcPr>
          <w:p w14:paraId="4D710E9E" w14:textId="77777777" w:rsidR="001B591F" w:rsidRPr="007F7B00" w:rsidRDefault="001B591F" w:rsidP="00026668">
            <w:pPr>
              <w:jc w:val="center"/>
              <w:rPr>
                <w:szCs w:val="22"/>
                <w:lang w:val="es-ES_tradnl"/>
              </w:rPr>
            </w:pPr>
            <w:r w:rsidRPr="007F7B00">
              <w:rPr>
                <w:szCs w:val="22"/>
                <w:lang w:val="es-ES_tradnl"/>
              </w:rPr>
              <w:t>X</w:t>
            </w:r>
          </w:p>
        </w:tc>
      </w:tr>
    </w:tbl>
    <w:p w14:paraId="18A7940B" w14:textId="77777777" w:rsidR="001B591F" w:rsidRPr="007F7B00" w:rsidRDefault="001B591F" w:rsidP="001B591F">
      <w:pPr>
        <w:spacing w:line="234" w:lineRule="exact"/>
        <w:rPr>
          <w:szCs w:val="22"/>
          <w:lang w:val="es-ES_tradnl"/>
        </w:rPr>
      </w:pPr>
    </w:p>
    <w:p w14:paraId="6FE734B2" w14:textId="77777777" w:rsidR="001B591F" w:rsidRPr="007F7B00" w:rsidRDefault="001B591F" w:rsidP="001B591F">
      <w:pPr>
        <w:spacing w:line="234" w:lineRule="exact"/>
        <w:rPr>
          <w:szCs w:val="22"/>
          <w:lang w:val="es-ES_tradnl"/>
        </w:rPr>
      </w:pPr>
    </w:p>
    <w:p w14:paraId="13DD948A" w14:textId="77777777" w:rsidR="001B591F" w:rsidRPr="007F7B00" w:rsidRDefault="001B591F" w:rsidP="001B591F">
      <w:pPr>
        <w:spacing w:line="234" w:lineRule="exact"/>
        <w:rPr>
          <w:szCs w:val="22"/>
          <w:lang w:val="es-ES_tradnl"/>
        </w:rPr>
        <w:sectPr w:rsidR="001B591F" w:rsidRPr="007F7B00" w:rsidSect="00BB6227">
          <w:headerReference w:type="first" r:id="rId23"/>
          <w:pgSz w:w="16850" w:h="11910" w:orient="landscape"/>
          <w:pgMar w:top="1280" w:right="1600" w:bottom="480" w:left="1459" w:header="706" w:footer="706" w:gutter="0"/>
          <w:cols w:space="720"/>
          <w:titlePg/>
          <w:docGrid w:linePitch="299"/>
        </w:sectPr>
      </w:pPr>
    </w:p>
    <w:p w14:paraId="36983FFC" w14:textId="77777777" w:rsidR="001B591F" w:rsidRPr="007F7B00" w:rsidRDefault="001B591F" w:rsidP="001B591F">
      <w:pPr>
        <w:pStyle w:val="ListParagraph"/>
        <w:numPr>
          <w:ilvl w:val="0"/>
          <w:numId w:val="14"/>
        </w:numPr>
        <w:spacing w:after="240"/>
        <w:ind w:left="360"/>
        <w:rPr>
          <w:b/>
          <w:bCs/>
          <w:lang w:val="es-ES_tradnl"/>
        </w:rPr>
      </w:pPr>
      <w:r w:rsidRPr="007F7B00">
        <w:rPr>
          <w:b/>
          <w:lang w:val="es-ES_tradnl"/>
        </w:rPr>
        <w:lastRenderedPageBreak/>
        <w:t>PRESUPUESTO DEL PROYECTO POR PRODUCTO</w:t>
      </w:r>
    </w:p>
    <w:tbl>
      <w:tblPr>
        <w:tblW w:w="4903" w:type="pct"/>
        <w:tblLook w:val="04A0" w:firstRow="1" w:lastRow="0" w:firstColumn="1" w:lastColumn="0" w:noHBand="0" w:noVBand="1"/>
      </w:tblPr>
      <w:tblGrid>
        <w:gridCol w:w="4995"/>
        <w:gridCol w:w="1664"/>
        <w:gridCol w:w="1984"/>
        <w:gridCol w:w="1843"/>
        <w:gridCol w:w="1843"/>
        <w:gridCol w:w="1700"/>
      </w:tblGrid>
      <w:tr w:rsidR="001B591F" w:rsidRPr="007F7B00" w14:paraId="5C79557E" w14:textId="77777777" w:rsidTr="001B591F">
        <w:trPr>
          <w:trHeight w:val="50"/>
        </w:trPr>
        <w:tc>
          <w:tcPr>
            <w:tcW w:w="1780" w:type="pct"/>
            <w:tcBorders>
              <w:top w:val="single" w:sz="4" w:space="0" w:color="BFBFBF"/>
              <w:left w:val="single" w:sz="4" w:space="0" w:color="BFBFBF"/>
              <w:bottom w:val="nil"/>
              <w:right w:val="single" w:sz="4" w:space="0" w:color="A6A6A6"/>
            </w:tcBorders>
            <w:shd w:val="clear" w:color="000000" w:fill="C7CFD8"/>
            <w:noWrap/>
            <w:vAlign w:val="center"/>
            <w:hideMark/>
          </w:tcPr>
          <w:p w14:paraId="09DB75D3" w14:textId="77777777" w:rsidR="001B591F" w:rsidRPr="007F7B00" w:rsidRDefault="001B591F" w:rsidP="00026668">
            <w:pPr>
              <w:spacing w:before="120" w:after="120"/>
              <w:rPr>
                <w:rFonts w:eastAsia="Times New Roman"/>
                <w:i/>
                <w:iCs/>
                <w:color w:val="002839"/>
                <w:sz w:val="18"/>
                <w:szCs w:val="18"/>
                <w:lang w:val="es-ES_tradnl"/>
              </w:rPr>
            </w:pPr>
            <w:r w:rsidRPr="007F7B00">
              <w:rPr>
                <w:i/>
                <w:color w:val="002839"/>
                <w:sz w:val="18"/>
                <w:szCs w:val="18"/>
                <w:lang w:val="es-ES_tradnl"/>
              </w:rPr>
              <w:t>(francos suizos)</w:t>
            </w:r>
          </w:p>
        </w:tc>
        <w:tc>
          <w:tcPr>
            <w:tcW w:w="130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4343D9DF"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Año 1</w:t>
            </w:r>
          </w:p>
        </w:tc>
        <w:tc>
          <w:tcPr>
            <w:tcW w:w="1314"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D0A1F06"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Año 2</w:t>
            </w:r>
          </w:p>
        </w:tc>
        <w:tc>
          <w:tcPr>
            <w:tcW w:w="606"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2854E8F2"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Total</w:t>
            </w:r>
          </w:p>
        </w:tc>
      </w:tr>
      <w:tr w:rsidR="001B591F" w:rsidRPr="007F7B00" w14:paraId="0F8280ED" w14:textId="77777777" w:rsidTr="001B591F">
        <w:trPr>
          <w:trHeight w:val="525"/>
        </w:trPr>
        <w:tc>
          <w:tcPr>
            <w:tcW w:w="1780" w:type="pct"/>
            <w:tcBorders>
              <w:top w:val="nil"/>
              <w:left w:val="single" w:sz="4" w:space="0" w:color="BFBFBF"/>
              <w:bottom w:val="single" w:sz="4" w:space="0" w:color="BFBFBF"/>
              <w:right w:val="nil"/>
            </w:tcBorders>
            <w:shd w:val="clear" w:color="000000" w:fill="C7CFD8"/>
            <w:noWrap/>
            <w:vAlign w:val="center"/>
            <w:hideMark/>
          </w:tcPr>
          <w:p w14:paraId="35D1AADA" w14:textId="77777777" w:rsidR="001B591F" w:rsidRPr="007F7B00" w:rsidRDefault="001B591F" w:rsidP="00026668">
            <w:pPr>
              <w:spacing w:before="120" w:after="120"/>
              <w:rPr>
                <w:rFonts w:eastAsia="Times New Roman"/>
                <w:b/>
                <w:bCs/>
                <w:color w:val="002839"/>
                <w:sz w:val="18"/>
                <w:szCs w:val="18"/>
                <w:lang w:val="es-ES_tradnl"/>
              </w:rPr>
            </w:pPr>
            <w:r w:rsidRPr="007F7B00">
              <w:rPr>
                <w:b/>
                <w:color w:val="002839"/>
                <w:sz w:val="18"/>
                <w:szCs w:val="18"/>
                <w:lang w:val="es-ES_tradnl"/>
              </w:rPr>
              <w:t xml:space="preserve">Productos del proyecto </w:t>
            </w:r>
          </w:p>
        </w:tc>
        <w:tc>
          <w:tcPr>
            <w:tcW w:w="593" w:type="pct"/>
            <w:tcBorders>
              <w:top w:val="nil"/>
              <w:left w:val="single" w:sz="4" w:space="0" w:color="A6A6A6"/>
              <w:bottom w:val="single" w:sz="4" w:space="0" w:color="BFBFBF"/>
              <w:right w:val="single" w:sz="4" w:space="0" w:color="A6A6A6"/>
            </w:tcBorders>
            <w:shd w:val="clear" w:color="000000" w:fill="C7CFD8"/>
            <w:vAlign w:val="center"/>
            <w:hideMark/>
          </w:tcPr>
          <w:p w14:paraId="47942C23"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 xml:space="preserve">Personal </w:t>
            </w:r>
          </w:p>
        </w:tc>
        <w:tc>
          <w:tcPr>
            <w:tcW w:w="707" w:type="pct"/>
            <w:tcBorders>
              <w:top w:val="nil"/>
              <w:left w:val="nil"/>
              <w:bottom w:val="single" w:sz="4" w:space="0" w:color="BFBFBF"/>
              <w:right w:val="single" w:sz="4" w:space="0" w:color="A6A6A6"/>
            </w:tcBorders>
            <w:shd w:val="clear" w:color="000000" w:fill="C7CFD8"/>
            <w:vAlign w:val="center"/>
            <w:hideMark/>
          </w:tcPr>
          <w:p w14:paraId="1A6E045F"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 xml:space="preserve">No relativo a personal </w:t>
            </w:r>
          </w:p>
        </w:tc>
        <w:tc>
          <w:tcPr>
            <w:tcW w:w="657" w:type="pct"/>
            <w:tcBorders>
              <w:top w:val="nil"/>
              <w:left w:val="nil"/>
              <w:bottom w:val="single" w:sz="4" w:space="0" w:color="BFBFBF"/>
              <w:right w:val="single" w:sz="4" w:space="0" w:color="A6A6A6"/>
            </w:tcBorders>
            <w:shd w:val="clear" w:color="000000" w:fill="C7CFD8"/>
            <w:vAlign w:val="center"/>
            <w:hideMark/>
          </w:tcPr>
          <w:p w14:paraId="09AA7932"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 xml:space="preserve">Personal </w:t>
            </w:r>
          </w:p>
        </w:tc>
        <w:tc>
          <w:tcPr>
            <w:tcW w:w="657" w:type="pct"/>
            <w:tcBorders>
              <w:top w:val="nil"/>
              <w:left w:val="nil"/>
              <w:bottom w:val="single" w:sz="4" w:space="0" w:color="BFBFBF"/>
              <w:right w:val="single" w:sz="4" w:space="0" w:color="A6A6A6"/>
            </w:tcBorders>
            <w:shd w:val="clear" w:color="000000" w:fill="C7CFD8"/>
            <w:vAlign w:val="center"/>
            <w:hideMark/>
          </w:tcPr>
          <w:p w14:paraId="6BF82DFB"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 xml:space="preserve">No relativo a personal </w:t>
            </w:r>
          </w:p>
        </w:tc>
        <w:tc>
          <w:tcPr>
            <w:tcW w:w="606" w:type="pct"/>
            <w:vMerge/>
            <w:tcBorders>
              <w:top w:val="single" w:sz="4" w:space="0" w:color="BFBFBF"/>
              <w:left w:val="nil"/>
              <w:bottom w:val="single" w:sz="4" w:space="0" w:color="BFBFBF"/>
              <w:right w:val="single" w:sz="4" w:space="0" w:color="BFBFBF"/>
            </w:tcBorders>
            <w:vAlign w:val="center"/>
            <w:hideMark/>
          </w:tcPr>
          <w:p w14:paraId="2B08E694" w14:textId="77777777" w:rsidR="001B591F" w:rsidRPr="007F7B00" w:rsidRDefault="001B591F" w:rsidP="00026668">
            <w:pPr>
              <w:spacing w:before="120" w:after="120"/>
              <w:rPr>
                <w:rFonts w:eastAsia="Times New Roman"/>
                <w:b/>
                <w:bCs/>
                <w:color w:val="002839"/>
                <w:sz w:val="18"/>
                <w:szCs w:val="18"/>
                <w:lang w:val="es-ES_tradnl"/>
              </w:rPr>
            </w:pPr>
          </w:p>
        </w:tc>
      </w:tr>
      <w:tr w:rsidR="001B591F" w:rsidRPr="007F7B00" w14:paraId="1F6AD959" w14:textId="77777777" w:rsidTr="001B591F">
        <w:trPr>
          <w:trHeight w:val="364"/>
        </w:trPr>
        <w:tc>
          <w:tcPr>
            <w:tcW w:w="1780" w:type="pct"/>
            <w:tcBorders>
              <w:top w:val="nil"/>
              <w:left w:val="single" w:sz="4" w:space="0" w:color="BFBFBF"/>
              <w:bottom w:val="single" w:sz="4" w:space="0" w:color="BFBFBF"/>
              <w:right w:val="single" w:sz="4" w:space="0" w:color="BFBFBF"/>
            </w:tcBorders>
            <w:shd w:val="clear" w:color="auto" w:fill="auto"/>
            <w:vAlign w:val="center"/>
            <w:hideMark/>
          </w:tcPr>
          <w:p w14:paraId="1C98D0AD"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 xml:space="preserve">Estudio del alcance de los conocimientos, experiencias y enseñanzas extraídas de situaciones de crisis o emergencias específicas </w:t>
            </w:r>
          </w:p>
        </w:tc>
        <w:tc>
          <w:tcPr>
            <w:tcW w:w="593" w:type="pct"/>
            <w:tcBorders>
              <w:top w:val="nil"/>
              <w:left w:val="nil"/>
              <w:bottom w:val="single" w:sz="4" w:space="0" w:color="BFBFBF"/>
              <w:right w:val="single" w:sz="4" w:space="0" w:color="BFBFBF"/>
            </w:tcBorders>
            <w:shd w:val="clear" w:color="auto" w:fill="auto"/>
            <w:noWrap/>
            <w:vAlign w:val="bottom"/>
            <w:hideMark/>
          </w:tcPr>
          <w:p w14:paraId="2D8A48C0"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2D15C7AA"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xml:space="preserve">30 000 </w:t>
            </w:r>
          </w:p>
        </w:tc>
        <w:tc>
          <w:tcPr>
            <w:tcW w:w="657" w:type="pct"/>
            <w:tcBorders>
              <w:top w:val="nil"/>
              <w:left w:val="nil"/>
              <w:bottom w:val="single" w:sz="4" w:space="0" w:color="BFBFBF"/>
              <w:right w:val="single" w:sz="4" w:space="0" w:color="BFBFBF"/>
            </w:tcBorders>
            <w:shd w:val="clear" w:color="auto" w:fill="auto"/>
            <w:noWrap/>
            <w:vAlign w:val="bottom"/>
            <w:hideMark/>
          </w:tcPr>
          <w:p w14:paraId="37999D66"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657" w:type="pct"/>
            <w:tcBorders>
              <w:top w:val="nil"/>
              <w:left w:val="nil"/>
              <w:bottom w:val="single" w:sz="4" w:space="0" w:color="BFBFBF"/>
              <w:right w:val="single" w:sz="4" w:space="0" w:color="BFBFBF"/>
            </w:tcBorders>
            <w:shd w:val="clear" w:color="auto" w:fill="auto"/>
            <w:vAlign w:val="bottom"/>
            <w:hideMark/>
          </w:tcPr>
          <w:p w14:paraId="1B382753"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2839"/>
                <w:sz w:val="18"/>
                <w:szCs w:val="18"/>
                <w:lang w:val="es-ES_tradnl"/>
              </w:rPr>
              <w:t>-</w:t>
            </w:r>
          </w:p>
        </w:tc>
        <w:tc>
          <w:tcPr>
            <w:tcW w:w="606" w:type="pct"/>
            <w:tcBorders>
              <w:top w:val="nil"/>
              <w:left w:val="nil"/>
              <w:bottom w:val="single" w:sz="4" w:space="0" w:color="BFBFBF"/>
              <w:right w:val="single" w:sz="4" w:space="0" w:color="BFBFBF"/>
            </w:tcBorders>
            <w:shd w:val="clear" w:color="auto" w:fill="auto"/>
            <w:noWrap/>
            <w:vAlign w:val="bottom"/>
            <w:hideMark/>
          </w:tcPr>
          <w:p w14:paraId="544969C0"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30 000 </w:t>
            </w:r>
          </w:p>
        </w:tc>
      </w:tr>
      <w:tr w:rsidR="001B591F" w:rsidRPr="007F7B00" w14:paraId="12D5E25E" w14:textId="77777777" w:rsidTr="001B591F">
        <w:trPr>
          <w:trHeight w:val="175"/>
        </w:trPr>
        <w:tc>
          <w:tcPr>
            <w:tcW w:w="1780" w:type="pct"/>
            <w:tcBorders>
              <w:top w:val="nil"/>
              <w:left w:val="single" w:sz="4" w:space="0" w:color="BFBFBF"/>
              <w:bottom w:val="single" w:sz="4" w:space="0" w:color="BFBFBF"/>
              <w:right w:val="single" w:sz="4" w:space="0" w:color="BFBFBF"/>
            </w:tcBorders>
            <w:shd w:val="clear" w:color="auto" w:fill="auto"/>
            <w:vAlign w:val="center"/>
            <w:hideMark/>
          </w:tcPr>
          <w:p w14:paraId="6120E2B4"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Seminario sobre la gestión de la PI y la prestación de servicios en tiempos de crisis</w:t>
            </w:r>
          </w:p>
        </w:tc>
        <w:tc>
          <w:tcPr>
            <w:tcW w:w="593" w:type="pct"/>
            <w:tcBorders>
              <w:top w:val="nil"/>
              <w:left w:val="nil"/>
              <w:bottom w:val="single" w:sz="4" w:space="0" w:color="BFBFBF"/>
              <w:right w:val="single" w:sz="4" w:space="0" w:color="BFBFBF"/>
            </w:tcBorders>
            <w:shd w:val="clear" w:color="auto" w:fill="auto"/>
            <w:noWrap/>
            <w:vAlign w:val="bottom"/>
            <w:hideMark/>
          </w:tcPr>
          <w:p w14:paraId="45A5F625"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0AE0D2B8"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xml:space="preserve">95 000 </w:t>
            </w:r>
          </w:p>
        </w:tc>
        <w:tc>
          <w:tcPr>
            <w:tcW w:w="657" w:type="pct"/>
            <w:tcBorders>
              <w:top w:val="nil"/>
              <w:left w:val="nil"/>
              <w:bottom w:val="single" w:sz="4" w:space="0" w:color="BFBFBF"/>
              <w:right w:val="single" w:sz="4" w:space="0" w:color="BFBFBF"/>
            </w:tcBorders>
            <w:shd w:val="clear" w:color="auto" w:fill="auto"/>
            <w:noWrap/>
            <w:vAlign w:val="bottom"/>
            <w:hideMark/>
          </w:tcPr>
          <w:p w14:paraId="6E00982F"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657" w:type="pct"/>
            <w:tcBorders>
              <w:top w:val="nil"/>
              <w:left w:val="nil"/>
              <w:bottom w:val="single" w:sz="4" w:space="0" w:color="BFBFBF"/>
              <w:right w:val="single" w:sz="4" w:space="0" w:color="BFBFBF"/>
            </w:tcBorders>
            <w:shd w:val="clear" w:color="auto" w:fill="auto"/>
            <w:vAlign w:val="bottom"/>
            <w:hideMark/>
          </w:tcPr>
          <w:p w14:paraId="27DB3DE2"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w:t>
            </w:r>
            <w:r w:rsidRPr="007F7B00">
              <w:rPr>
                <w:color w:val="002839"/>
                <w:sz w:val="18"/>
                <w:szCs w:val="18"/>
                <w:lang w:val="es-ES_tradnl"/>
              </w:rPr>
              <w:t>-</w:t>
            </w:r>
          </w:p>
        </w:tc>
        <w:tc>
          <w:tcPr>
            <w:tcW w:w="606" w:type="pct"/>
            <w:tcBorders>
              <w:top w:val="nil"/>
              <w:left w:val="nil"/>
              <w:bottom w:val="single" w:sz="4" w:space="0" w:color="BFBFBF"/>
              <w:right w:val="single" w:sz="4" w:space="0" w:color="BFBFBF"/>
            </w:tcBorders>
            <w:shd w:val="clear" w:color="auto" w:fill="auto"/>
            <w:noWrap/>
            <w:vAlign w:val="bottom"/>
            <w:hideMark/>
          </w:tcPr>
          <w:p w14:paraId="20E1D5DA"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95 000 </w:t>
            </w:r>
          </w:p>
        </w:tc>
      </w:tr>
      <w:tr w:rsidR="001B591F" w:rsidRPr="007F7B00" w14:paraId="7EF8B9E9" w14:textId="77777777" w:rsidTr="001B591F">
        <w:trPr>
          <w:trHeight w:val="193"/>
        </w:trPr>
        <w:tc>
          <w:tcPr>
            <w:tcW w:w="1780" w:type="pct"/>
            <w:tcBorders>
              <w:top w:val="nil"/>
              <w:left w:val="single" w:sz="4" w:space="0" w:color="BFBFBF"/>
              <w:bottom w:val="single" w:sz="4" w:space="0" w:color="BFBFBF"/>
              <w:right w:val="single" w:sz="4" w:space="0" w:color="BFBFBF"/>
            </w:tcBorders>
            <w:shd w:val="clear" w:color="auto" w:fill="auto"/>
            <w:vAlign w:val="center"/>
            <w:hideMark/>
          </w:tcPr>
          <w:p w14:paraId="3259DF48"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 xml:space="preserve">Identificación y selección de expertos nacionales y regionales para su inclusión en IP-ROC </w:t>
            </w:r>
          </w:p>
        </w:tc>
        <w:tc>
          <w:tcPr>
            <w:tcW w:w="593" w:type="pct"/>
            <w:tcBorders>
              <w:top w:val="nil"/>
              <w:left w:val="nil"/>
              <w:bottom w:val="single" w:sz="4" w:space="0" w:color="BFBFBF"/>
              <w:right w:val="single" w:sz="4" w:space="0" w:color="BFBFBF"/>
            </w:tcBorders>
            <w:shd w:val="clear" w:color="auto" w:fill="auto"/>
            <w:noWrap/>
            <w:vAlign w:val="bottom"/>
            <w:hideMark/>
          </w:tcPr>
          <w:p w14:paraId="3CD78A4C"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33E167D7"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xml:space="preserve">10 000 </w:t>
            </w:r>
          </w:p>
        </w:tc>
        <w:tc>
          <w:tcPr>
            <w:tcW w:w="657" w:type="pct"/>
            <w:tcBorders>
              <w:top w:val="nil"/>
              <w:left w:val="nil"/>
              <w:bottom w:val="single" w:sz="4" w:space="0" w:color="BFBFBF"/>
              <w:right w:val="single" w:sz="4" w:space="0" w:color="BFBFBF"/>
            </w:tcBorders>
            <w:shd w:val="clear" w:color="auto" w:fill="auto"/>
            <w:noWrap/>
            <w:vAlign w:val="bottom"/>
            <w:hideMark/>
          </w:tcPr>
          <w:p w14:paraId="695981F6"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w:t>
            </w:r>
          </w:p>
        </w:tc>
        <w:tc>
          <w:tcPr>
            <w:tcW w:w="657" w:type="pct"/>
            <w:tcBorders>
              <w:top w:val="nil"/>
              <w:left w:val="nil"/>
              <w:bottom w:val="single" w:sz="4" w:space="0" w:color="BFBFBF"/>
              <w:right w:val="single" w:sz="4" w:space="0" w:color="BFBFBF"/>
            </w:tcBorders>
            <w:shd w:val="clear" w:color="auto" w:fill="auto"/>
            <w:vAlign w:val="bottom"/>
            <w:hideMark/>
          </w:tcPr>
          <w:p w14:paraId="29DBB8EC"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w:t>
            </w:r>
            <w:r w:rsidRPr="007F7B00">
              <w:rPr>
                <w:color w:val="002839"/>
                <w:sz w:val="18"/>
                <w:szCs w:val="18"/>
                <w:lang w:val="es-ES_tradnl"/>
              </w:rPr>
              <w:t>-</w:t>
            </w:r>
          </w:p>
        </w:tc>
        <w:tc>
          <w:tcPr>
            <w:tcW w:w="606" w:type="pct"/>
            <w:tcBorders>
              <w:top w:val="nil"/>
              <w:left w:val="nil"/>
              <w:bottom w:val="single" w:sz="4" w:space="0" w:color="BFBFBF"/>
              <w:right w:val="single" w:sz="4" w:space="0" w:color="BFBFBF"/>
            </w:tcBorders>
            <w:shd w:val="clear" w:color="auto" w:fill="auto"/>
            <w:noWrap/>
            <w:vAlign w:val="bottom"/>
            <w:hideMark/>
          </w:tcPr>
          <w:p w14:paraId="6D52078E"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10 000 </w:t>
            </w:r>
          </w:p>
        </w:tc>
      </w:tr>
      <w:tr w:rsidR="001B591F" w:rsidRPr="007F7B00" w14:paraId="3E2AEEB7" w14:textId="77777777" w:rsidTr="001B591F">
        <w:trPr>
          <w:trHeight w:val="50"/>
        </w:trPr>
        <w:tc>
          <w:tcPr>
            <w:tcW w:w="1780" w:type="pct"/>
            <w:tcBorders>
              <w:top w:val="nil"/>
              <w:left w:val="single" w:sz="4" w:space="0" w:color="BFBFBF"/>
              <w:bottom w:val="single" w:sz="4" w:space="0" w:color="BFBFBF"/>
              <w:right w:val="single" w:sz="4" w:space="0" w:color="BFBFBF"/>
            </w:tcBorders>
            <w:shd w:val="clear" w:color="auto" w:fill="auto"/>
            <w:vAlign w:val="center"/>
            <w:hideMark/>
          </w:tcPr>
          <w:p w14:paraId="27010C11"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Desarrollo de herramientas de sensibilización sobre PI y gestión de crisis</w:t>
            </w:r>
          </w:p>
        </w:tc>
        <w:tc>
          <w:tcPr>
            <w:tcW w:w="593" w:type="pct"/>
            <w:tcBorders>
              <w:top w:val="nil"/>
              <w:left w:val="nil"/>
              <w:bottom w:val="single" w:sz="4" w:space="0" w:color="BFBFBF"/>
              <w:right w:val="single" w:sz="4" w:space="0" w:color="BFBFBF"/>
            </w:tcBorders>
            <w:shd w:val="clear" w:color="auto" w:fill="auto"/>
            <w:noWrap/>
            <w:vAlign w:val="bottom"/>
            <w:hideMark/>
          </w:tcPr>
          <w:p w14:paraId="6E38BBB8"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707" w:type="pct"/>
            <w:tcBorders>
              <w:top w:val="nil"/>
              <w:left w:val="nil"/>
              <w:bottom w:val="single" w:sz="4" w:space="0" w:color="BFBFBF"/>
              <w:right w:val="single" w:sz="4" w:space="0" w:color="BFBFBF"/>
            </w:tcBorders>
            <w:shd w:val="clear" w:color="auto" w:fill="auto"/>
            <w:vAlign w:val="bottom"/>
            <w:hideMark/>
          </w:tcPr>
          <w:p w14:paraId="11866FFE"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xml:space="preserve">20 000 </w:t>
            </w:r>
          </w:p>
        </w:tc>
        <w:tc>
          <w:tcPr>
            <w:tcW w:w="657" w:type="pct"/>
            <w:tcBorders>
              <w:top w:val="nil"/>
              <w:left w:val="nil"/>
              <w:bottom w:val="single" w:sz="4" w:space="0" w:color="BFBFBF"/>
              <w:right w:val="single" w:sz="4" w:space="0" w:color="BFBFBF"/>
            </w:tcBorders>
            <w:shd w:val="clear" w:color="auto" w:fill="auto"/>
            <w:noWrap/>
            <w:vAlign w:val="bottom"/>
            <w:hideMark/>
          </w:tcPr>
          <w:p w14:paraId="6D831759"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w:t>
            </w:r>
          </w:p>
        </w:tc>
        <w:tc>
          <w:tcPr>
            <w:tcW w:w="657" w:type="pct"/>
            <w:tcBorders>
              <w:top w:val="nil"/>
              <w:left w:val="nil"/>
              <w:bottom w:val="single" w:sz="4" w:space="0" w:color="BFBFBF"/>
              <w:right w:val="single" w:sz="4" w:space="0" w:color="BFBFBF"/>
            </w:tcBorders>
            <w:shd w:val="clear" w:color="auto" w:fill="auto"/>
            <w:vAlign w:val="bottom"/>
            <w:hideMark/>
          </w:tcPr>
          <w:p w14:paraId="59239463"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xml:space="preserve">20 000 </w:t>
            </w:r>
          </w:p>
        </w:tc>
        <w:tc>
          <w:tcPr>
            <w:tcW w:w="606" w:type="pct"/>
            <w:tcBorders>
              <w:top w:val="nil"/>
              <w:left w:val="nil"/>
              <w:bottom w:val="single" w:sz="4" w:space="0" w:color="BFBFBF"/>
              <w:right w:val="single" w:sz="4" w:space="0" w:color="BFBFBF"/>
            </w:tcBorders>
            <w:shd w:val="clear" w:color="auto" w:fill="auto"/>
            <w:noWrap/>
            <w:vAlign w:val="bottom"/>
            <w:hideMark/>
          </w:tcPr>
          <w:p w14:paraId="450078E6"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40 000 </w:t>
            </w:r>
          </w:p>
        </w:tc>
      </w:tr>
      <w:tr w:rsidR="001B591F" w:rsidRPr="007F7B00" w14:paraId="6254733B" w14:textId="77777777" w:rsidTr="001B591F">
        <w:trPr>
          <w:trHeight w:val="50"/>
        </w:trPr>
        <w:tc>
          <w:tcPr>
            <w:tcW w:w="1780" w:type="pct"/>
            <w:tcBorders>
              <w:top w:val="nil"/>
              <w:left w:val="single" w:sz="4" w:space="0" w:color="BFBFBF"/>
              <w:bottom w:val="single" w:sz="4" w:space="0" w:color="BFBFBF"/>
              <w:right w:val="single" w:sz="4" w:space="0" w:color="BFBFBF"/>
            </w:tcBorders>
            <w:shd w:val="clear" w:color="auto" w:fill="auto"/>
            <w:vAlign w:val="center"/>
            <w:hideMark/>
          </w:tcPr>
          <w:p w14:paraId="1014B02F"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 xml:space="preserve">Evaluación del proyecto </w:t>
            </w:r>
          </w:p>
        </w:tc>
        <w:tc>
          <w:tcPr>
            <w:tcW w:w="593" w:type="pct"/>
            <w:tcBorders>
              <w:top w:val="nil"/>
              <w:left w:val="nil"/>
              <w:bottom w:val="single" w:sz="4" w:space="0" w:color="BFBFBF"/>
              <w:right w:val="single" w:sz="4" w:space="0" w:color="BFBFBF"/>
            </w:tcBorders>
            <w:shd w:val="clear" w:color="auto" w:fill="auto"/>
            <w:noWrap/>
            <w:vAlign w:val="bottom"/>
            <w:hideMark/>
          </w:tcPr>
          <w:p w14:paraId="04B7BC6A"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17C3F0F9"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w:t>
            </w:r>
            <w:r w:rsidRPr="007F7B00">
              <w:rPr>
                <w:color w:val="002839"/>
                <w:sz w:val="18"/>
                <w:szCs w:val="18"/>
                <w:lang w:val="es-ES_tradnl"/>
              </w:rPr>
              <w:t>-</w:t>
            </w:r>
          </w:p>
        </w:tc>
        <w:tc>
          <w:tcPr>
            <w:tcW w:w="657" w:type="pct"/>
            <w:tcBorders>
              <w:top w:val="nil"/>
              <w:left w:val="nil"/>
              <w:bottom w:val="single" w:sz="4" w:space="0" w:color="BFBFBF"/>
              <w:right w:val="single" w:sz="4" w:space="0" w:color="BFBFBF"/>
            </w:tcBorders>
            <w:shd w:val="clear" w:color="auto" w:fill="auto"/>
            <w:noWrap/>
            <w:vAlign w:val="bottom"/>
            <w:hideMark/>
          </w:tcPr>
          <w:p w14:paraId="5300385A"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657" w:type="pct"/>
            <w:tcBorders>
              <w:top w:val="nil"/>
              <w:left w:val="nil"/>
              <w:bottom w:val="single" w:sz="4" w:space="0" w:color="BFBFBF"/>
              <w:right w:val="single" w:sz="4" w:space="0" w:color="BFBFBF"/>
            </w:tcBorders>
            <w:shd w:val="clear" w:color="auto" w:fill="auto"/>
            <w:vAlign w:val="bottom"/>
            <w:hideMark/>
          </w:tcPr>
          <w:p w14:paraId="4A7EC1DE"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xml:space="preserve">15 000 </w:t>
            </w:r>
          </w:p>
        </w:tc>
        <w:tc>
          <w:tcPr>
            <w:tcW w:w="606" w:type="pct"/>
            <w:tcBorders>
              <w:top w:val="nil"/>
              <w:left w:val="nil"/>
              <w:bottom w:val="single" w:sz="4" w:space="0" w:color="BFBFBF"/>
              <w:right w:val="single" w:sz="4" w:space="0" w:color="BFBFBF"/>
            </w:tcBorders>
            <w:shd w:val="clear" w:color="auto" w:fill="auto"/>
            <w:noWrap/>
            <w:vAlign w:val="bottom"/>
            <w:hideMark/>
          </w:tcPr>
          <w:p w14:paraId="7BE02E12"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15 000 </w:t>
            </w:r>
          </w:p>
        </w:tc>
      </w:tr>
      <w:tr w:rsidR="001B591F" w:rsidRPr="007F7B00" w14:paraId="4BD6B888" w14:textId="77777777" w:rsidTr="001B591F">
        <w:trPr>
          <w:trHeight w:val="50"/>
        </w:trPr>
        <w:tc>
          <w:tcPr>
            <w:tcW w:w="1780" w:type="pct"/>
            <w:tcBorders>
              <w:top w:val="nil"/>
              <w:left w:val="single" w:sz="4" w:space="0" w:color="BFBFBF"/>
              <w:bottom w:val="single" w:sz="4" w:space="0" w:color="BFBFBF"/>
              <w:right w:val="single" w:sz="4" w:space="0" w:color="BFBFBF"/>
            </w:tcBorders>
            <w:shd w:val="clear" w:color="auto" w:fill="auto"/>
            <w:vAlign w:val="center"/>
            <w:hideMark/>
          </w:tcPr>
          <w:p w14:paraId="5CD580AA"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 xml:space="preserve">Acto paralelo del CDIP </w:t>
            </w:r>
          </w:p>
        </w:tc>
        <w:tc>
          <w:tcPr>
            <w:tcW w:w="593" w:type="pct"/>
            <w:tcBorders>
              <w:top w:val="nil"/>
              <w:left w:val="nil"/>
              <w:bottom w:val="single" w:sz="4" w:space="0" w:color="BFBFBF"/>
              <w:right w:val="single" w:sz="4" w:space="0" w:color="BFBFBF"/>
            </w:tcBorders>
            <w:shd w:val="clear" w:color="auto" w:fill="auto"/>
            <w:noWrap/>
            <w:vAlign w:val="bottom"/>
            <w:hideMark/>
          </w:tcPr>
          <w:p w14:paraId="05B5D89F"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707" w:type="pct"/>
            <w:tcBorders>
              <w:top w:val="nil"/>
              <w:left w:val="nil"/>
              <w:bottom w:val="single" w:sz="4" w:space="0" w:color="BFBFBF"/>
              <w:right w:val="single" w:sz="4" w:space="0" w:color="BFBFBF"/>
            </w:tcBorders>
            <w:shd w:val="clear" w:color="auto" w:fill="auto"/>
            <w:vAlign w:val="bottom"/>
            <w:hideMark/>
          </w:tcPr>
          <w:p w14:paraId="2C43FD97"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w:t>
            </w:r>
            <w:r w:rsidRPr="007F7B00">
              <w:rPr>
                <w:color w:val="002839"/>
                <w:sz w:val="18"/>
                <w:szCs w:val="18"/>
                <w:lang w:val="es-ES_tradnl"/>
              </w:rPr>
              <w:t>-</w:t>
            </w:r>
          </w:p>
        </w:tc>
        <w:tc>
          <w:tcPr>
            <w:tcW w:w="657" w:type="pct"/>
            <w:tcBorders>
              <w:top w:val="nil"/>
              <w:left w:val="nil"/>
              <w:bottom w:val="single" w:sz="4" w:space="0" w:color="BFBFBF"/>
              <w:right w:val="single" w:sz="4" w:space="0" w:color="BFBFBF"/>
            </w:tcBorders>
            <w:shd w:val="clear" w:color="auto" w:fill="auto"/>
            <w:noWrap/>
            <w:vAlign w:val="bottom"/>
            <w:hideMark/>
          </w:tcPr>
          <w:p w14:paraId="47645BAD"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w:t>
            </w:r>
          </w:p>
        </w:tc>
        <w:tc>
          <w:tcPr>
            <w:tcW w:w="657" w:type="pct"/>
            <w:tcBorders>
              <w:top w:val="nil"/>
              <w:left w:val="nil"/>
              <w:bottom w:val="single" w:sz="4" w:space="0" w:color="BFBFBF"/>
              <w:right w:val="single" w:sz="4" w:space="0" w:color="BFBFBF"/>
            </w:tcBorders>
            <w:shd w:val="clear" w:color="auto" w:fill="auto"/>
            <w:vAlign w:val="bottom"/>
            <w:hideMark/>
          </w:tcPr>
          <w:p w14:paraId="701DE32C" w14:textId="77777777" w:rsidR="001B591F" w:rsidRPr="007F7B00" w:rsidRDefault="001B591F" w:rsidP="00026668">
            <w:pPr>
              <w:spacing w:before="120" w:after="120"/>
              <w:jc w:val="right"/>
              <w:rPr>
                <w:rFonts w:eastAsia="Times New Roman"/>
                <w:color w:val="000000"/>
                <w:sz w:val="18"/>
                <w:szCs w:val="18"/>
                <w:lang w:val="es-ES_tradnl"/>
              </w:rPr>
            </w:pPr>
            <w:r w:rsidRPr="007F7B00">
              <w:rPr>
                <w:color w:val="000000"/>
                <w:sz w:val="18"/>
                <w:szCs w:val="18"/>
                <w:lang w:val="es-ES_tradnl"/>
              </w:rPr>
              <w:t xml:space="preserve">15 000 </w:t>
            </w:r>
          </w:p>
        </w:tc>
        <w:tc>
          <w:tcPr>
            <w:tcW w:w="606" w:type="pct"/>
            <w:tcBorders>
              <w:top w:val="nil"/>
              <w:left w:val="nil"/>
              <w:bottom w:val="single" w:sz="4" w:space="0" w:color="BFBFBF"/>
              <w:right w:val="single" w:sz="4" w:space="0" w:color="BFBFBF"/>
            </w:tcBorders>
            <w:shd w:val="clear" w:color="auto" w:fill="auto"/>
            <w:noWrap/>
            <w:vAlign w:val="bottom"/>
            <w:hideMark/>
          </w:tcPr>
          <w:p w14:paraId="45A0FB55"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15 000 </w:t>
            </w:r>
          </w:p>
        </w:tc>
      </w:tr>
      <w:tr w:rsidR="001B591F" w:rsidRPr="007F7B00" w14:paraId="0111B4EE" w14:textId="77777777" w:rsidTr="001B591F">
        <w:trPr>
          <w:trHeight w:val="250"/>
        </w:trPr>
        <w:tc>
          <w:tcPr>
            <w:tcW w:w="1780" w:type="pct"/>
            <w:tcBorders>
              <w:top w:val="nil"/>
              <w:left w:val="single" w:sz="4" w:space="0" w:color="BFBFBF"/>
              <w:bottom w:val="single" w:sz="4" w:space="0" w:color="BFBFBF"/>
              <w:right w:val="single" w:sz="4" w:space="0" w:color="BFBFBF"/>
            </w:tcBorders>
            <w:shd w:val="clear" w:color="000000" w:fill="EDF0F3"/>
            <w:vAlign w:val="center"/>
            <w:hideMark/>
          </w:tcPr>
          <w:p w14:paraId="07720C48" w14:textId="77777777" w:rsidR="001B591F" w:rsidRPr="007F7B00" w:rsidRDefault="001B591F" w:rsidP="00026668">
            <w:pPr>
              <w:spacing w:before="120" w:after="120"/>
              <w:rPr>
                <w:rFonts w:eastAsia="Times New Roman"/>
                <w:b/>
                <w:bCs/>
                <w:color w:val="002839"/>
                <w:sz w:val="18"/>
                <w:szCs w:val="18"/>
                <w:lang w:val="es-ES_tradnl"/>
              </w:rPr>
            </w:pPr>
            <w:r w:rsidRPr="007F7B00">
              <w:rPr>
                <w:b/>
                <w:color w:val="002839"/>
                <w:sz w:val="18"/>
                <w:szCs w:val="18"/>
                <w:lang w:val="es-ES_tradnl"/>
              </w:rPr>
              <w:t xml:space="preserve">Total </w:t>
            </w:r>
          </w:p>
        </w:tc>
        <w:tc>
          <w:tcPr>
            <w:tcW w:w="593" w:type="pct"/>
            <w:tcBorders>
              <w:top w:val="nil"/>
              <w:left w:val="nil"/>
              <w:bottom w:val="single" w:sz="4" w:space="0" w:color="BFBFBF"/>
              <w:right w:val="single" w:sz="4" w:space="0" w:color="BFBFBF"/>
            </w:tcBorders>
            <w:shd w:val="clear" w:color="000000" w:fill="EDF0F3"/>
            <w:noWrap/>
            <w:vAlign w:val="bottom"/>
            <w:hideMark/>
          </w:tcPr>
          <w:p w14:paraId="3D4DD596"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sz w:val="18"/>
                <w:szCs w:val="18"/>
                <w:lang w:val="es-ES_tradnl"/>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6E07B481"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155 000 </w:t>
            </w:r>
          </w:p>
        </w:tc>
        <w:tc>
          <w:tcPr>
            <w:tcW w:w="657" w:type="pct"/>
            <w:tcBorders>
              <w:top w:val="nil"/>
              <w:left w:val="nil"/>
              <w:bottom w:val="single" w:sz="4" w:space="0" w:color="BFBFBF"/>
              <w:right w:val="single" w:sz="4" w:space="0" w:color="BFBFBF"/>
            </w:tcBorders>
            <w:shd w:val="clear" w:color="000000" w:fill="EDF0F3"/>
            <w:noWrap/>
            <w:vAlign w:val="bottom"/>
            <w:hideMark/>
          </w:tcPr>
          <w:p w14:paraId="38A4B0F9"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sz w:val="18"/>
                <w:szCs w:val="18"/>
                <w:lang w:val="es-ES_tradnl"/>
              </w:rPr>
              <w:t>-</w:t>
            </w:r>
          </w:p>
        </w:tc>
        <w:tc>
          <w:tcPr>
            <w:tcW w:w="657" w:type="pct"/>
            <w:tcBorders>
              <w:top w:val="nil"/>
              <w:left w:val="nil"/>
              <w:bottom w:val="single" w:sz="4" w:space="0" w:color="BFBFBF"/>
              <w:right w:val="single" w:sz="4" w:space="0" w:color="BFBFBF"/>
            </w:tcBorders>
            <w:shd w:val="clear" w:color="000000" w:fill="EDF0F3"/>
            <w:noWrap/>
            <w:vAlign w:val="bottom"/>
            <w:hideMark/>
          </w:tcPr>
          <w:p w14:paraId="212620E4"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50 000 </w:t>
            </w:r>
          </w:p>
        </w:tc>
        <w:tc>
          <w:tcPr>
            <w:tcW w:w="606" w:type="pct"/>
            <w:tcBorders>
              <w:top w:val="nil"/>
              <w:left w:val="nil"/>
              <w:bottom w:val="single" w:sz="4" w:space="0" w:color="BFBFBF"/>
              <w:right w:val="single" w:sz="4" w:space="0" w:color="BFBFBF"/>
            </w:tcBorders>
            <w:shd w:val="clear" w:color="000000" w:fill="EDF0F3"/>
            <w:noWrap/>
            <w:vAlign w:val="bottom"/>
            <w:hideMark/>
          </w:tcPr>
          <w:p w14:paraId="4EC89BE6"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205 000 </w:t>
            </w:r>
          </w:p>
        </w:tc>
      </w:tr>
    </w:tbl>
    <w:p w14:paraId="1F56B0EE" w14:textId="77777777" w:rsidR="001B591F" w:rsidRPr="007F7B00" w:rsidRDefault="001B591F" w:rsidP="001B591F">
      <w:pPr>
        <w:rPr>
          <w:sz w:val="18"/>
          <w:szCs w:val="18"/>
          <w:lang w:val="es-ES_tradnl"/>
        </w:rPr>
      </w:pPr>
    </w:p>
    <w:p w14:paraId="5BCE6337" w14:textId="77777777" w:rsidR="001B591F" w:rsidRPr="007F7B00" w:rsidRDefault="001B591F" w:rsidP="001B591F">
      <w:pPr>
        <w:rPr>
          <w:b/>
          <w:bCs/>
          <w:sz w:val="18"/>
          <w:szCs w:val="18"/>
          <w:lang w:val="es-ES_tradnl"/>
        </w:rPr>
      </w:pPr>
      <w:r w:rsidRPr="007F7B00">
        <w:rPr>
          <w:sz w:val="18"/>
          <w:szCs w:val="18"/>
          <w:lang w:val="es-ES_tradnl"/>
        </w:rPr>
        <w:br w:type="page"/>
      </w:r>
    </w:p>
    <w:p w14:paraId="17C128A3" w14:textId="77777777" w:rsidR="001B591F" w:rsidRPr="007F7B00" w:rsidRDefault="001B591F" w:rsidP="001B591F">
      <w:pPr>
        <w:pStyle w:val="ListParagraph"/>
        <w:numPr>
          <w:ilvl w:val="0"/>
          <w:numId w:val="15"/>
        </w:numPr>
        <w:spacing w:after="240"/>
        <w:ind w:left="360"/>
        <w:rPr>
          <w:b/>
          <w:bCs/>
          <w:sz w:val="18"/>
          <w:szCs w:val="18"/>
          <w:lang w:val="es-ES_tradnl"/>
        </w:rPr>
      </w:pPr>
      <w:r w:rsidRPr="007F7B00">
        <w:rPr>
          <w:b/>
          <w:sz w:val="18"/>
          <w:szCs w:val="18"/>
          <w:lang w:val="es-ES_tradnl"/>
        </w:rPr>
        <w:lastRenderedPageBreak/>
        <w:t>PRESUPUESTO DEL PROYECTO POR CATEGORÍA DE GASTO</w:t>
      </w:r>
    </w:p>
    <w:tbl>
      <w:tblPr>
        <w:tblW w:w="5103" w:type="pct"/>
        <w:tblLayout w:type="fixed"/>
        <w:tblLook w:val="04A0" w:firstRow="1" w:lastRow="0" w:firstColumn="1" w:lastColumn="0" w:noHBand="0" w:noVBand="1"/>
      </w:tblPr>
      <w:tblGrid>
        <w:gridCol w:w="2387"/>
        <w:gridCol w:w="1294"/>
        <w:gridCol w:w="1276"/>
        <w:gridCol w:w="1559"/>
        <w:gridCol w:w="1419"/>
        <w:gridCol w:w="1536"/>
        <w:gridCol w:w="1472"/>
        <w:gridCol w:w="1101"/>
        <w:gridCol w:w="1501"/>
        <w:gridCol w:w="1057"/>
      </w:tblGrid>
      <w:tr w:rsidR="001B591F" w:rsidRPr="007F7B00" w14:paraId="71018300" w14:textId="77777777" w:rsidTr="001B591F">
        <w:trPr>
          <w:trHeight w:val="94"/>
        </w:trPr>
        <w:tc>
          <w:tcPr>
            <w:tcW w:w="817" w:type="pct"/>
            <w:tcBorders>
              <w:top w:val="single" w:sz="4" w:space="0" w:color="BFBFBF"/>
              <w:left w:val="single" w:sz="4" w:space="0" w:color="BFBFBF"/>
              <w:bottom w:val="nil"/>
              <w:right w:val="single" w:sz="4" w:space="0" w:color="A6A6A6"/>
            </w:tcBorders>
            <w:shd w:val="clear" w:color="000000" w:fill="C7CFD8"/>
            <w:noWrap/>
            <w:vAlign w:val="bottom"/>
            <w:hideMark/>
          </w:tcPr>
          <w:p w14:paraId="6840A35E" w14:textId="77777777" w:rsidR="001B591F" w:rsidRPr="007F7B00" w:rsidRDefault="001B591F" w:rsidP="00026668">
            <w:pPr>
              <w:spacing w:before="120" w:after="120"/>
              <w:rPr>
                <w:rFonts w:eastAsia="Times New Roman"/>
                <w:i/>
                <w:iCs/>
                <w:color w:val="002839"/>
                <w:sz w:val="18"/>
                <w:szCs w:val="18"/>
                <w:lang w:val="es-ES_tradnl"/>
              </w:rPr>
            </w:pPr>
            <w:r w:rsidRPr="007F7B00">
              <w:rPr>
                <w:i/>
                <w:color w:val="002839"/>
                <w:sz w:val="18"/>
                <w:szCs w:val="18"/>
                <w:lang w:val="es-ES_tradnl"/>
              </w:rPr>
              <w:t>(francos suizos)</w:t>
            </w:r>
          </w:p>
        </w:tc>
        <w:tc>
          <w:tcPr>
            <w:tcW w:w="1414"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12C84928"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 xml:space="preserve">Viajes, formación y subvenciones </w:t>
            </w:r>
          </w:p>
        </w:tc>
        <w:tc>
          <w:tcPr>
            <w:tcW w:w="2407"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28AB4E9C"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Servicios contractuales</w:t>
            </w:r>
          </w:p>
        </w:tc>
        <w:tc>
          <w:tcPr>
            <w:tcW w:w="362" w:type="pc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4EF390A9" w14:textId="77777777" w:rsidR="001B591F" w:rsidRPr="007F7B00" w:rsidRDefault="001B591F" w:rsidP="001B591F">
            <w:pPr>
              <w:spacing w:before="120" w:after="120"/>
              <w:ind w:left="-36" w:firstLine="36"/>
              <w:jc w:val="center"/>
              <w:rPr>
                <w:rFonts w:eastAsia="Times New Roman"/>
                <w:b/>
                <w:bCs/>
                <w:color w:val="002839"/>
                <w:sz w:val="18"/>
                <w:szCs w:val="18"/>
                <w:lang w:val="es-ES_tradnl"/>
              </w:rPr>
            </w:pPr>
            <w:r w:rsidRPr="007F7B00">
              <w:rPr>
                <w:b/>
                <w:color w:val="002839"/>
                <w:sz w:val="18"/>
                <w:szCs w:val="18"/>
                <w:lang w:val="es-ES_tradnl"/>
              </w:rPr>
              <w:t>Total</w:t>
            </w:r>
          </w:p>
        </w:tc>
      </w:tr>
      <w:tr w:rsidR="001B591F" w:rsidRPr="007F7B00" w14:paraId="7D873C83" w14:textId="77777777" w:rsidTr="001B591F">
        <w:trPr>
          <w:trHeight w:val="328"/>
        </w:trPr>
        <w:tc>
          <w:tcPr>
            <w:tcW w:w="817" w:type="pct"/>
            <w:tcBorders>
              <w:top w:val="nil"/>
              <w:left w:val="single" w:sz="4" w:space="0" w:color="BFBFBF"/>
              <w:bottom w:val="single" w:sz="4" w:space="0" w:color="BFBFBF"/>
              <w:right w:val="single" w:sz="4" w:space="0" w:color="A6A6A6"/>
            </w:tcBorders>
            <w:shd w:val="clear" w:color="000000" w:fill="C7CFD8"/>
            <w:noWrap/>
            <w:vAlign w:val="bottom"/>
            <w:hideMark/>
          </w:tcPr>
          <w:p w14:paraId="620B8E82" w14:textId="77777777" w:rsidR="001B591F" w:rsidRPr="007F7B00" w:rsidRDefault="001B591F" w:rsidP="00026668">
            <w:pPr>
              <w:spacing w:before="120" w:after="120"/>
              <w:rPr>
                <w:rFonts w:eastAsia="Times New Roman"/>
                <w:b/>
                <w:bCs/>
                <w:color w:val="002839"/>
                <w:sz w:val="18"/>
                <w:szCs w:val="18"/>
                <w:lang w:val="es-ES_tradnl"/>
              </w:rPr>
            </w:pPr>
            <w:r w:rsidRPr="007F7B00">
              <w:rPr>
                <w:b/>
                <w:color w:val="002839"/>
                <w:sz w:val="18"/>
                <w:szCs w:val="18"/>
                <w:lang w:val="es-ES_tradnl"/>
              </w:rPr>
              <w:t>Actividades</w:t>
            </w:r>
          </w:p>
        </w:tc>
        <w:tc>
          <w:tcPr>
            <w:tcW w:w="443" w:type="pct"/>
            <w:tcBorders>
              <w:top w:val="nil"/>
              <w:left w:val="nil"/>
              <w:bottom w:val="single" w:sz="4" w:space="0" w:color="BFBFBF"/>
              <w:right w:val="single" w:sz="4" w:space="0" w:color="A6A6A6"/>
            </w:tcBorders>
            <w:shd w:val="clear" w:color="000000" w:fill="C7CFD8"/>
            <w:vAlign w:val="center"/>
            <w:hideMark/>
          </w:tcPr>
          <w:p w14:paraId="706706A3"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Misiones del personal</w:t>
            </w:r>
          </w:p>
        </w:tc>
        <w:tc>
          <w:tcPr>
            <w:tcW w:w="437" w:type="pct"/>
            <w:tcBorders>
              <w:top w:val="nil"/>
              <w:left w:val="nil"/>
              <w:bottom w:val="single" w:sz="4" w:space="0" w:color="BFBFBF"/>
              <w:right w:val="single" w:sz="4" w:space="0" w:color="A6A6A6"/>
            </w:tcBorders>
            <w:shd w:val="clear" w:color="000000" w:fill="C7CFD8"/>
            <w:vAlign w:val="center"/>
            <w:hideMark/>
          </w:tcPr>
          <w:p w14:paraId="3B768D42"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Viajes de terceros</w:t>
            </w:r>
          </w:p>
        </w:tc>
        <w:tc>
          <w:tcPr>
            <w:tcW w:w="534" w:type="pct"/>
            <w:tcBorders>
              <w:top w:val="nil"/>
              <w:left w:val="nil"/>
              <w:bottom w:val="single" w:sz="4" w:space="0" w:color="BFBFBF"/>
              <w:right w:val="single" w:sz="4" w:space="0" w:color="A6A6A6"/>
            </w:tcBorders>
            <w:shd w:val="clear" w:color="000000" w:fill="C7CFD8"/>
            <w:vAlign w:val="center"/>
            <w:hideMark/>
          </w:tcPr>
          <w:p w14:paraId="4E15E223"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Subvenciones para formación y viajes</w:t>
            </w:r>
          </w:p>
        </w:tc>
        <w:tc>
          <w:tcPr>
            <w:tcW w:w="486" w:type="pct"/>
            <w:tcBorders>
              <w:top w:val="nil"/>
              <w:left w:val="nil"/>
              <w:bottom w:val="single" w:sz="4" w:space="0" w:color="BFBFBF"/>
              <w:right w:val="single" w:sz="4" w:space="0" w:color="A6A6A6"/>
            </w:tcBorders>
            <w:shd w:val="clear" w:color="000000" w:fill="C7CFD8"/>
            <w:noWrap/>
            <w:vAlign w:val="center"/>
            <w:hideMark/>
          </w:tcPr>
          <w:p w14:paraId="3891254B"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Conferencias</w:t>
            </w:r>
          </w:p>
        </w:tc>
        <w:tc>
          <w:tcPr>
            <w:tcW w:w="526" w:type="pct"/>
            <w:tcBorders>
              <w:top w:val="nil"/>
              <w:left w:val="nil"/>
              <w:bottom w:val="single" w:sz="4" w:space="0" w:color="BFBFBF"/>
              <w:right w:val="single" w:sz="4" w:space="0" w:color="A6A6A6"/>
            </w:tcBorders>
            <w:shd w:val="clear" w:color="000000" w:fill="C7CFD8"/>
            <w:noWrap/>
            <w:vAlign w:val="center"/>
            <w:hideMark/>
          </w:tcPr>
          <w:p w14:paraId="33507A26"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Publicaciones</w:t>
            </w:r>
          </w:p>
        </w:tc>
        <w:tc>
          <w:tcPr>
            <w:tcW w:w="504" w:type="pct"/>
            <w:tcBorders>
              <w:top w:val="nil"/>
              <w:left w:val="nil"/>
              <w:bottom w:val="single" w:sz="4" w:space="0" w:color="BFBFBF"/>
              <w:right w:val="single" w:sz="4" w:space="0" w:color="A6A6A6"/>
            </w:tcBorders>
            <w:shd w:val="clear" w:color="000000" w:fill="C7CFD8"/>
            <w:vAlign w:val="center"/>
            <w:hideMark/>
          </w:tcPr>
          <w:p w14:paraId="316ADDB8"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Servicios contractuales individuales</w:t>
            </w:r>
          </w:p>
        </w:tc>
        <w:tc>
          <w:tcPr>
            <w:tcW w:w="377" w:type="pct"/>
            <w:tcBorders>
              <w:top w:val="nil"/>
              <w:left w:val="nil"/>
              <w:bottom w:val="single" w:sz="4" w:space="0" w:color="BFBFBF"/>
              <w:right w:val="single" w:sz="4" w:space="0" w:color="A6A6A6"/>
            </w:tcBorders>
            <w:shd w:val="clear" w:color="000000" w:fill="C7CFD8"/>
            <w:vAlign w:val="center"/>
            <w:hideMark/>
          </w:tcPr>
          <w:p w14:paraId="6BC8B47B"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Becas de la OMPI</w:t>
            </w:r>
          </w:p>
        </w:tc>
        <w:tc>
          <w:tcPr>
            <w:tcW w:w="514" w:type="pct"/>
            <w:tcBorders>
              <w:top w:val="nil"/>
              <w:left w:val="nil"/>
              <w:bottom w:val="single" w:sz="4" w:space="0" w:color="BFBFBF"/>
              <w:right w:val="nil"/>
            </w:tcBorders>
            <w:shd w:val="clear" w:color="000000" w:fill="C7CFD8"/>
            <w:vAlign w:val="center"/>
            <w:hideMark/>
          </w:tcPr>
          <w:p w14:paraId="0DC0CE52" w14:textId="77777777" w:rsidR="001B591F" w:rsidRPr="007F7B00" w:rsidRDefault="001B591F" w:rsidP="00026668">
            <w:pPr>
              <w:spacing w:before="120" w:after="120"/>
              <w:jc w:val="center"/>
              <w:rPr>
                <w:rFonts w:eastAsia="Times New Roman"/>
                <w:b/>
                <w:bCs/>
                <w:color w:val="002839"/>
                <w:sz w:val="18"/>
                <w:szCs w:val="18"/>
                <w:lang w:val="es-ES_tradnl"/>
              </w:rPr>
            </w:pPr>
            <w:r w:rsidRPr="007F7B00">
              <w:rPr>
                <w:b/>
                <w:color w:val="002839"/>
                <w:sz w:val="18"/>
                <w:szCs w:val="18"/>
                <w:lang w:val="es-ES_tradnl"/>
              </w:rPr>
              <w:t>Otros servicios contractuales</w:t>
            </w:r>
          </w:p>
        </w:tc>
        <w:tc>
          <w:tcPr>
            <w:tcW w:w="362" w:type="pct"/>
            <w:tcBorders>
              <w:top w:val="single" w:sz="4" w:space="0" w:color="BFBFBF"/>
              <w:left w:val="single" w:sz="4" w:space="0" w:color="A6A6A6"/>
              <w:bottom w:val="single" w:sz="4" w:space="0" w:color="BFBFBF"/>
              <w:right w:val="single" w:sz="4" w:space="0" w:color="BFBFBF"/>
            </w:tcBorders>
            <w:vAlign w:val="center"/>
            <w:hideMark/>
          </w:tcPr>
          <w:p w14:paraId="38B7C82D" w14:textId="77777777" w:rsidR="001B591F" w:rsidRPr="007F7B00" w:rsidRDefault="001B591F" w:rsidP="00026668">
            <w:pPr>
              <w:spacing w:before="120" w:after="120"/>
              <w:rPr>
                <w:rFonts w:eastAsia="Times New Roman"/>
                <w:b/>
                <w:bCs/>
                <w:color w:val="002839"/>
                <w:sz w:val="18"/>
                <w:szCs w:val="18"/>
                <w:lang w:val="es-ES_tradnl"/>
              </w:rPr>
            </w:pPr>
          </w:p>
        </w:tc>
      </w:tr>
      <w:tr w:rsidR="001B591F" w:rsidRPr="007F7B00" w14:paraId="53B2463E" w14:textId="77777777" w:rsidTr="001B591F">
        <w:trPr>
          <w:trHeight w:val="460"/>
        </w:trPr>
        <w:tc>
          <w:tcPr>
            <w:tcW w:w="817" w:type="pct"/>
            <w:tcBorders>
              <w:top w:val="nil"/>
              <w:left w:val="single" w:sz="4" w:space="0" w:color="BFBFBF"/>
              <w:bottom w:val="single" w:sz="4" w:space="0" w:color="BFBFBF"/>
              <w:right w:val="single" w:sz="4" w:space="0" w:color="BFBFBF"/>
            </w:tcBorders>
            <w:shd w:val="clear" w:color="auto" w:fill="auto"/>
            <w:vAlign w:val="center"/>
            <w:hideMark/>
          </w:tcPr>
          <w:p w14:paraId="48296972"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 xml:space="preserve">Estudio del alcance de los conocimientos, experiencias y enseñanzas extraídas de situaciones de crisis o emergencias específicas </w:t>
            </w:r>
          </w:p>
        </w:tc>
        <w:tc>
          <w:tcPr>
            <w:tcW w:w="443" w:type="pct"/>
            <w:tcBorders>
              <w:top w:val="nil"/>
              <w:left w:val="nil"/>
              <w:bottom w:val="single" w:sz="4" w:space="0" w:color="BFBFBF"/>
              <w:right w:val="single" w:sz="4" w:space="0" w:color="BFBFBF"/>
            </w:tcBorders>
            <w:shd w:val="clear" w:color="auto" w:fill="auto"/>
            <w:noWrap/>
            <w:vAlign w:val="center"/>
            <w:hideMark/>
          </w:tcPr>
          <w:p w14:paraId="77BF1DFE"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37" w:type="pct"/>
            <w:tcBorders>
              <w:top w:val="nil"/>
              <w:left w:val="nil"/>
              <w:bottom w:val="single" w:sz="4" w:space="0" w:color="BFBFBF"/>
              <w:right w:val="single" w:sz="4" w:space="0" w:color="BFBFBF"/>
            </w:tcBorders>
            <w:shd w:val="clear" w:color="auto" w:fill="auto"/>
            <w:noWrap/>
            <w:vAlign w:val="center"/>
            <w:hideMark/>
          </w:tcPr>
          <w:p w14:paraId="79EE8278"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34" w:type="pct"/>
            <w:tcBorders>
              <w:top w:val="nil"/>
              <w:left w:val="nil"/>
              <w:bottom w:val="single" w:sz="4" w:space="0" w:color="BFBFBF"/>
              <w:right w:val="single" w:sz="4" w:space="0" w:color="BFBFBF"/>
            </w:tcBorders>
            <w:shd w:val="clear" w:color="auto" w:fill="auto"/>
            <w:noWrap/>
            <w:vAlign w:val="center"/>
            <w:hideMark/>
          </w:tcPr>
          <w:p w14:paraId="4E1036B2"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86" w:type="pct"/>
            <w:tcBorders>
              <w:top w:val="nil"/>
              <w:left w:val="nil"/>
              <w:bottom w:val="single" w:sz="4" w:space="0" w:color="BFBFBF"/>
              <w:right w:val="single" w:sz="4" w:space="0" w:color="BFBFBF"/>
            </w:tcBorders>
            <w:shd w:val="clear" w:color="auto" w:fill="auto"/>
            <w:noWrap/>
            <w:vAlign w:val="center"/>
            <w:hideMark/>
          </w:tcPr>
          <w:p w14:paraId="5F0F234D"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26" w:type="pct"/>
            <w:tcBorders>
              <w:top w:val="nil"/>
              <w:left w:val="nil"/>
              <w:bottom w:val="single" w:sz="4" w:space="0" w:color="BFBFBF"/>
              <w:right w:val="single" w:sz="4" w:space="0" w:color="BFBFBF"/>
            </w:tcBorders>
            <w:shd w:val="clear" w:color="auto" w:fill="auto"/>
            <w:noWrap/>
            <w:vAlign w:val="center"/>
            <w:hideMark/>
          </w:tcPr>
          <w:p w14:paraId="62CA3C9A"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04" w:type="pct"/>
            <w:tcBorders>
              <w:top w:val="nil"/>
              <w:left w:val="nil"/>
              <w:bottom w:val="single" w:sz="4" w:space="0" w:color="BFBFBF"/>
              <w:right w:val="single" w:sz="4" w:space="0" w:color="BFBFBF"/>
            </w:tcBorders>
            <w:shd w:val="clear" w:color="auto" w:fill="auto"/>
            <w:noWrap/>
            <w:vAlign w:val="center"/>
            <w:hideMark/>
          </w:tcPr>
          <w:p w14:paraId="0383D4EA"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30 000 </w:t>
            </w:r>
          </w:p>
        </w:tc>
        <w:tc>
          <w:tcPr>
            <w:tcW w:w="377" w:type="pct"/>
            <w:tcBorders>
              <w:top w:val="nil"/>
              <w:left w:val="nil"/>
              <w:bottom w:val="single" w:sz="4" w:space="0" w:color="BFBFBF"/>
              <w:right w:val="single" w:sz="4" w:space="0" w:color="BFBFBF"/>
            </w:tcBorders>
            <w:shd w:val="clear" w:color="auto" w:fill="auto"/>
            <w:noWrap/>
            <w:vAlign w:val="center"/>
            <w:hideMark/>
          </w:tcPr>
          <w:p w14:paraId="738BB6DF"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51F38D1C"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362" w:type="pct"/>
            <w:tcBorders>
              <w:top w:val="nil"/>
              <w:left w:val="nil"/>
              <w:bottom w:val="single" w:sz="4" w:space="0" w:color="BFBFBF"/>
              <w:right w:val="single" w:sz="4" w:space="0" w:color="BFBFBF"/>
            </w:tcBorders>
            <w:shd w:val="clear" w:color="auto" w:fill="auto"/>
            <w:noWrap/>
            <w:vAlign w:val="center"/>
            <w:hideMark/>
          </w:tcPr>
          <w:p w14:paraId="07794E02"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30 000 </w:t>
            </w:r>
          </w:p>
        </w:tc>
      </w:tr>
      <w:tr w:rsidR="001B591F" w:rsidRPr="007F7B00" w14:paraId="5B7DFEEF" w14:textId="77777777" w:rsidTr="001B591F">
        <w:trPr>
          <w:trHeight w:val="220"/>
        </w:trPr>
        <w:tc>
          <w:tcPr>
            <w:tcW w:w="817" w:type="pct"/>
            <w:tcBorders>
              <w:top w:val="nil"/>
              <w:left w:val="single" w:sz="4" w:space="0" w:color="BFBFBF"/>
              <w:bottom w:val="single" w:sz="4" w:space="0" w:color="BFBFBF"/>
              <w:right w:val="single" w:sz="4" w:space="0" w:color="BFBFBF"/>
            </w:tcBorders>
            <w:shd w:val="clear" w:color="auto" w:fill="auto"/>
            <w:vAlign w:val="center"/>
            <w:hideMark/>
          </w:tcPr>
          <w:p w14:paraId="793D961B"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Seminario sobre la gestión de la PI y la prestación de servicios en tiempos de crisis</w:t>
            </w:r>
          </w:p>
        </w:tc>
        <w:tc>
          <w:tcPr>
            <w:tcW w:w="443" w:type="pct"/>
            <w:tcBorders>
              <w:top w:val="nil"/>
              <w:left w:val="nil"/>
              <w:bottom w:val="single" w:sz="4" w:space="0" w:color="BFBFBF"/>
              <w:right w:val="single" w:sz="4" w:space="0" w:color="BFBFBF"/>
            </w:tcBorders>
            <w:shd w:val="clear" w:color="auto" w:fill="auto"/>
            <w:noWrap/>
            <w:vAlign w:val="center"/>
            <w:hideMark/>
          </w:tcPr>
          <w:p w14:paraId="4AB484FE"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20 000 </w:t>
            </w:r>
          </w:p>
        </w:tc>
        <w:tc>
          <w:tcPr>
            <w:tcW w:w="437" w:type="pct"/>
            <w:tcBorders>
              <w:top w:val="nil"/>
              <w:left w:val="nil"/>
              <w:bottom w:val="single" w:sz="4" w:space="0" w:color="BFBFBF"/>
              <w:right w:val="single" w:sz="4" w:space="0" w:color="BFBFBF"/>
            </w:tcBorders>
            <w:shd w:val="clear" w:color="auto" w:fill="auto"/>
            <w:noWrap/>
            <w:vAlign w:val="center"/>
            <w:hideMark/>
          </w:tcPr>
          <w:p w14:paraId="0A5ECF6E"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50 000 </w:t>
            </w:r>
          </w:p>
        </w:tc>
        <w:tc>
          <w:tcPr>
            <w:tcW w:w="534" w:type="pct"/>
            <w:tcBorders>
              <w:top w:val="nil"/>
              <w:left w:val="nil"/>
              <w:bottom w:val="single" w:sz="4" w:space="0" w:color="BFBFBF"/>
              <w:right w:val="single" w:sz="4" w:space="0" w:color="BFBFBF"/>
            </w:tcBorders>
            <w:shd w:val="clear" w:color="auto" w:fill="auto"/>
            <w:noWrap/>
            <w:vAlign w:val="center"/>
            <w:hideMark/>
          </w:tcPr>
          <w:p w14:paraId="7248698D"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86" w:type="pct"/>
            <w:tcBorders>
              <w:top w:val="nil"/>
              <w:left w:val="nil"/>
              <w:bottom w:val="single" w:sz="4" w:space="0" w:color="BFBFBF"/>
              <w:right w:val="single" w:sz="4" w:space="0" w:color="BFBFBF"/>
            </w:tcBorders>
            <w:shd w:val="clear" w:color="auto" w:fill="auto"/>
            <w:noWrap/>
            <w:vAlign w:val="center"/>
            <w:hideMark/>
          </w:tcPr>
          <w:p w14:paraId="5F064812"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5 000 </w:t>
            </w:r>
          </w:p>
        </w:tc>
        <w:tc>
          <w:tcPr>
            <w:tcW w:w="526" w:type="pct"/>
            <w:tcBorders>
              <w:top w:val="nil"/>
              <w:left w:val="nil"/>
              <w:bottom w:val="single" w:sz="4" w:space="0" w:color="BFBFBF"/>
              <w:right w:val="single" w:sz="4" w:space="0" w:color="BFBFBF"/>
            </w:tcBorders>
            <w:shd w:val="clear" w:color="auto" w:fill="auto"/>
            <w:noWrap/>
            <w:vAlign w:val="center"/>
            <w:hideMark/>
          </w:tcPr>
          <w:p w14:paraId="0F07D281"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04" w:type="pct"/>
            <w:tcBorders>
              <w:top w:val="nil"/>
              <w:left w:val="nil"/>
              <w:bottom w:val="single" w:sz="4" w:space="0" w:color="BFBFBF"/>
              <w:right w:val="single" w:sz="4" w:space="0" w:color="BFBFBF"/>
            </w:tcBorders>
            <w:shd w:val="clear" w:color="auto" w:fill="auto"/>
            <w:noWrap/>
            <w:vAlign w:val="center"/>
            <w:hideMark/>
          </w:tcPr>
          <w:p w14:paraId="3A234AEC"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10 000 </w:t>
            </w:r>
          </w:p>
        </w:tc>
        <w:tc>
          <w:tcPr>
            <w:tcW w:w="377" w:type="pct"/>
            <w:tcBorders>
              <w:top w:val="nil"/>
              <w:left w:val="nil"/>
              <w:bottom w:val="single" w:sz="4" w:space="0" w:color="BFBFBF"/>
              <w:right w:val="single" w:sz="4" w:space="0" w:color="BFBFBF"/>
            </w:tcBorders>
            <w:shd w:val="clear" w:color="auto" w:fill="auto"/>
            <w:noWrap/>
            <w:vAlign w:val="center"/>
            <w:hideMark/>
          </w:tcPr>
          <w:p w14:paraId="76FE1214"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0C087B03"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10 000 </w:t>
            </w:r>
          </w:p>
        </w:tc>
        <w:tc>
          <w:tcPr>
            <w:tcW w:w="362" w:type="pct"/>
            <w:tcBorders>
              <w:top w:val="nil"/>
              <w:left w:val="nil"/>
              <w:bottom w:val="single" w:sz="4" w:space="0" w:color="BFBFBF"/>
              <w:right w:val="single" w:sz="4" w:space="0" w:color="BFBFBF"/>
            </w:tcBorders>
            <w:shd w:val="clear" w:color="auto" w:fill="auto"/>
            <w:noWrap/>
            <w:vAlign w:val="center"/>
            <w:hideMark/>
          </w:tcPr>
          <w:p w14:paraId="3C63CB60"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95 000 </w:t>
            </w:r>
          </w:p>
        </w:tc>
      </w:tr>
      <w:tr w:rsidR="001B591F" w:rsidRPr="007F7B00" w14:paraId="3E8ADEC2" w14:textId="77777777" w:rsidTr="001B591F">
        <w:trPr>
          <w:trHeight w:val="460"/>
        </w:trPr>
        <w:tc>
          <w:tcPr>
            <w:tcW w:w="817" w:type="pct"/>
            <w:tcBorders>
              <w:top w:val="nil"/>
              <w:left w:val="single" w:sz="4" w:space="0" w:color="BFBFBF"/>
              <w:bottom w:val="single" w:sz="4" w:space="0" w:color="BFBFBF"/>
              <w:right w:val="single" w:sz="4" w:space="0" w:color="BFBFBF"/>
            </w:tcBorders>
            <w:shd w:val="clear" w:color="auto" w:fill="auto"/>
            <w:vAlign w:val="center"/>
            <w:hideMark/>
          </w:tcPr>
          <w:p w14:paraId="0BAA0798"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 xml:space="preserve">Identificación y selección de expertos nacionales y regionales para su inclusión en IP-ROC </w:t>
            </w:r>
          </w:p>
        </w:tc>
        <w:tc>
          <w:tcPr>
            <w:tcW w:w="443" w:type="pct"/>
            <w:tcBorders>
              <w:top w:val="nil"/>
              <w:left w:val="nil"/>
              <w:bottom w:val="single" w:sz="4" w:space="0" w:color="BFBFBF"/>
              <w:right w:val="single" w:sz="4" w:space="0" w:color="BFBFBF"/>
            </w:tcBorders>
            <w:shd w:val="clear" w:color="auto" w:fill="auto"/>
            <w:noWrap/>
            <w:vAlign w:val="center"/>
            <w:hideMark/>
          </w:tcPr>
          <w:p w14:paraId="14F213DC"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37" w:type="pct"/>
            <w:tcBorders>
              <w:top w:val="nil"/>
              <w:left w:val="nil"/>
              <w:bottom w:val="single" w:sz="4" w:space="0" w:color="BFBFBF"/>
              <w:right w:val="single" w:sz="4" w:space="0" w:color="BFBFBF"/>
            </w:tcBorders>
            <w:shd w:val="clear" w:color="auto" w:fill="auto"/>
            <w:noWrap/>
            <w:vAlign w:val="center"/>
            <w:hideMark/>
          </w:tcPr>
          <w:p w14:paraId="25F096E5"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34" w:type="pct"/>
            <w:tcBorders>
              <w:top w:val="nil"/>
              <w:left w:val="nil"/>
              <w:bottom w:val="single" w:sz="4" w:space="0" w:color="BFBFBF"/>
              <w:right w:val="single" w:sz="4" w:space="0" w:color="BFBFBF"/>
            </w:tcBorders>
            <w:shd w:val="clear" w:color="auto" w:fill="auto"/>
            <w:noWrap/>
            <w:vAlign w:val="center"/>
            <w:hideMark/>
          </w:tcPr>
          <w:p w14:paraId="19D99CF8"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86" w:type="pct"/>
            <w:tcBorders>
              <w:top w:val="nil"/>
              <w:left w:val="nil"/>
              <w:bottom w:val="single" w:sz="4" w:space="0" w:color="BFBFBF"/>
              <w:right w:val="single" w:sz="4" w:space="0" w:color="BFBFBF"/>
            </w:tcBorders>
            <w:shd w:val="clear" w:color="auto" w:fill="auto"/>
            <w:noWrap/>
            <w:vAlign w:val="center"/>
            <w:hideMark/>
          </w:tcPr>
          <w:p w14:paraId="4C679E66"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26" w:type="pct"/>
            <w:tcBorders>
              <w:top w:val="nil"/>
              <w:left w:val="nil"/>
              <w:bottom w:val="single" w:sz="4" w:space="0" w:color="BFBFBF"/>
              <w:right w:val="single" w:sz="4" w:space="0" w:color="BFBFBF"/>
            </w:tcBorders>
            <w:shd w:val="clear" w:color="auto" w:fill="auto"/>
            <w:noWrap/>
            <w:vAlign w:val="center"/>
            <w:hideMark/>
          </w:tcPr>
          <w:p w14:paraId="3E3493C2"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04" w:type="pct"/>
            <w:tcBorders>
              <w:top w:val="nil"/>
              <w:left w:val="nil"/>
              <w:bottom w:val="single" w:sz="4" w:space="0" w:color="BFBFBF"/>
              <w:right w:val="single" w:sz="4" w:space="0" w:color="BFBFBF"/>
            </w:tcBorders>
            <w:shd w:val="clear" w:color="auto" w:fill="auto"/>
            <w:noWrap/>
            <w:vAlign w:val="center"/>
            <w:hideMark/>
          </w:tcPr>
          <w:p w14:paraId="0215581D"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10 000 </w:t>
            </w:r>
          </w:p>
        </w:tc>
        <w:tc>
          <w:tcPr>
            <w:tcW w:w="377" w:type="pct"/>
            <w:tcBorders>
              <w:top w:val="nil"/>
              <w:left w:val="nil"/>
              <w:bottom w:val="single" w:sz="4" w:space="0" w:color="BFBFBF"/>
              <w:right w:val="single" w:sz="4" w:space="0" w:color="BFBFBF"/>
            </w:tcBorders>
            <w:shd w:val="clear" w:color="auto" w:fill="auto"/>
            <w:noWrap/>
            <w:vAlign w:val="center"/>
            <w:hideMark/>
          </w:tcPr>
          <w:p w14:paraId="07E213D3"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071F3D7B"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362" w:type="pct"/>
            <w:tcBorders>
              <w:top w:val="nil"/>
              <w:left w:val="nil"/>
              <w:bottom w:val="single" w:sz="4" w:space="0" w:color="BFBFBF"/>
              <w:right w:val="single" w:sz="4" w:space="0" w:color="BFBFBF"/>
            </w:tcBorders>
            <w:shd w:val="clear" w:color="auto" w:fill="auto"/>
            <w:noWrap/>
            <w:vAlign w:val="center"/>
            <w:hideMark/>
          </w:tcPr>
          <w:p w14:paraId="54864827"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10 000 </w:t>
            </w:r>
          </w:p>
        </w:tc>
      </w:tr>
      <w:tr w:rsidR="001B591F" w:rsidRPr="007F7B00" w14:paraId="412B32F8" w14:textId="77777777" w:rsidTr="001B591F">
        <w:trPr>
          <w:trHeight w:val="460"/>
        </w:trPr>
        <w:tc>
          <w:tcPr>
            <w:tcW w:w="817" w:type="pct"/>
            <w:tcBorders>
              <w:top w:val="nil"/>
              <w:left w:val="single" w:sz="4" w:space="0" w:color="BFBFBF"/>
              <w:bottom w:val="single" w:sz="4" w:space="0" w:color="BFBFBF"/>
              <w:right w:val="single" w:sz="4" w:space="0" w:color="BFBFBF"/>
            </w:tcBorders>
            <w:shd w:val="clear" w:color="auto" w:fill="auto"/>
            <w:vAlign w:val="center"/>
            <w:hideMark/>
          </w:tcPr>
          <w:p w14:paraId="70907C36"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Desarrollo de herramientas de sensibilización sobre PI y gestión de crisis</w:t>
            </w:r>
          </w:p>
        </w:tc>
        <w:tc>
          <w:tcPr>
            <w:tcW w:w="443" w:type="pct"/>
            <w:tcBorders>
              <w:top w:val="nil"/>
              <w:left w:val="nil"/>
              <w:bottom w:val="single" w:sz="4" w:space="0" w:color="BFBFBF"/>
              <w:right w:val="single" w:sz="4" w:space="0" w:color="BFBFBF"/>
            </w:tcBorders>
            <w:shd w:val="clear" w:color="auto" w:fill="auto"/>
            <w:noWrap/>
            <w:vAlign w:val="center"/>
            <w:hideMark/>
          </w:tcPr>
          <w:p w14:paraId="71FA053F"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37" w:type="pct"/>
            <w:tcBorders>
              <w:top w:val="nil"/>
              <w:left w:val="nil"/>
              <w:bottom w:val="single" w:sz="4" w:space="0" w:color="BFBFBF"/>
              <w:right w:val="single" w:sz="4" w:space="0" w:color="BFBFBF"/>
            </w:tcBorders>
            <w:shd w:val="clear" w:color="auto" w:fill="auto"/>
            <w:noWrap/>
            <w:vAlign w:val="center"/>
            <w:hideMark/>
          </w:tcPr>
          <w:p w14:paraId="1FA835CE"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34" w:type="pct"/>
            <w:tcBorders>
              <w:top w:val="nil"/>
              <w:left w:val="nil"/>
              <w:bottom w:val="single" w:sz="4" w:space="0" w:color="BFBFBF"/>
              <w:right w:val="single" w:sz="4" w:space="0" w:color="BFBFBF"/>
            </w:tcBorders>
            <w:shd w:val="clear" w:color="auto" w:fill="auto"/>
            <w:noWrap/>
            <w:vAlign w:val="center"/>
            <w:hideMark/>
          </w:tcPr>
          <w:p w14:paraId="1324D351"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86" w:type="pct"/>
            <w:tcBorders>
              <w:top w:val="nil"/>
              <w:left w:val="nil"/>
              <w:bottom w:val="single" w:sz="4" w:space="0" w:color="BFBFBF"/>
              <w:right w:val="single" w:sz="4" w:space="0" w:color="BFBFBF"/>
            </w:tcBorders>
            <w:shd w:val="clear" w:color="auto" w:fill="auto"/>
            <w:noWrap/>
            <w:vAlign w:val="center"/>
            <w:hideMark/>
          </w:tcPr>
          <w:p w14:paraId="06CB75BD"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26" w:type="pct"/>
            <w:tcBorders>
              <w:top w:val="nil"/>
              <w:left w:val="nil"/>
              <w:bottom w:val="single" w:sz="4" w:space="0" w:color="BFBFBF"/>
              <w:right w:val="single" w:sz="4" w:space="0" w:color="BFBFBF"/>
            </w:tcBorders>
            <w:shd w:val="clear" w:color="auto" w:fill="auto"/>
            <w:noWrap/>
            <w:vAlign w:val="center"/>
            <w:hideMark/>
          </w:tcPr>
          <w:p w14:paraId="467086B0"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10 000 </w:t>
            </w:r>
          </w:p>
        </w:tc>
        <w:tc>
          <w:tcPr>
            <w:tcW w:w="504" w:type="pct"/>
            <w:tcBorders>
              <w:top w:val="nil"/>
              <w:left w:val="nil"/>
              <w:bottom w:val="single" w:sz="4" w:space="0" w:color="BFBFBF"/>
              <w:right w:val="single" w:sz="4" w:space="0" w:color="BFBFBF"/>
            </w:tcBorders>
            <w:shd w:val="clear" w:color="auto" w:fill="auto"/>
            <w:noWrap/>
            <w:vAlign w:val="center"/>
            <w:hideMark/>
          </w:tcPr>
          <w:p w14:paraId="65EBDC29"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20 000 </w:t>
            </w:r>
          </w:p>
        </w:tc>
        <w:tc>
          <w:tcPr>
            <w:tcW w:w="377" w:type="pct"/>
            <w:tcBorders>
              <w:top w:val="nil"/>
              <w:left w:val="nil"/>
              <w:bottom w:val="single" w:sz="4" w:space="0" w:color="BFBFBF"/>
              <w:right w:val="single" w:sz="4" w:space="0" w:color="BFBFBF"/>
            </w:tcBorders>
            <w:shd w:val="clear" w:color="auto" w:fill="auto"/>
            <w:noWrap/>
            <w:vAlign w:val="center"/>
            <w:hideMark/>
          </w:tcPr>
          <w:p w14:paraId="246A0303"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12025612"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10 000 </w:t>
            </w:r>
          </w:p>
        </w:tc>
        <w:tc>
          <w:tcPr>
            <w:tcW w:w="362" w:type="pct"/>
            <w:tcBorders>
              <w:top w:val="nil"/>
              <w:left w:val="nil"/>
              <w:bottom w:val="single" w:sz="4" w:space="0" w:color="BFBFBF"/>
              <w:right w:val="single" w:sz="4" w:space="0" w:color="BFBFBF"/>
            </w:tcBorders>
            <w:shd w:val="clear" w:color="auto" w:fill="auto"/>
            <w:noWrap/>
            <w:vAlign w:val="center"/>
            <w:hideMark/>
          </w:tcPr>
          <w:p w14:paraId="7EACAB0E"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40 000 </w:t>
            </w:r>
          </w:p>
        </w:tc>
      </w:tr>
      <w:tr w:rsidR="001B591F" w:rsidRPr="007F7B00" w14:paraId="12C9C96E" w14:textId="77777777" w:rsidTr="001B591F">
        <w:trPr>
          <w:trHeight w:val="247"/>
        </w:trPr>
        <w:tc>
          <w:tcPr>
            <w:tcW w:w="817" w:type="pct"/>
            <w:tcBorders>
              <w:top w:val="nil"/>
              <w:left w:val="single" w:sz="4" w:space="0" w:color="BFBFBF"/>
              <w:bottom w:val="single" w:sz="4" w:space="0" w:color="BFBFBF"/>
              <w:right w:val="single" w:sz="4" w:space="0" w:color="BFBFBF"/>
            </w:tcBorders>
            <w:shd w:val="clear" w:color="auto" w:fill="auto"/>
            <w:vAlign w:val="center"/>
            <w:hideMark/>
          </w:tcPr>
          <w:p w14:paraId="314F29BD"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 xml:space="preserve">Evaluación del proyecto </w:t>
            </w:r>
          </w:p>
        </w:tc>
        <w:tc>
          <w:tcPr>
            <w:tcW w:w="443" w:type="pct"/>
            <w:tcBorders>
              <w:top w:val="nil"/>
              <w:left w:val="nil"/>
              <w:bottom w:val="single" w:sz="4" w:space="0" w:color="BFBFBF"/>
              <w:right w:val="single" w:sz="4" w:space="0" w:color="BFBFBF"/>
            </w:tcBorders>
            <w:shd w:val="clear" w:color="auto" w:fill="auto"/>
            <w:noWrap/>
            <w:vAlign w:val="center"/>
            <w:hideMark/>
          </w:tcPr>
          <w:p w14:paraId="450102BD"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37" w:type="pct"/>
            <w:tcBorders>
              <w:top w:val="nil"/>
              <w:left w:val="nil"/>
              <w:bottom w:val="single" w:sz="4" w:space="0" w:color="BFBFBF"/>
              <w:right w:val="single" w:sz="4" w:space="0" w:color="BFBFBF"/>
            </w:tcBorders>
            <w:shd w:val="clear" w:color="auto" w:fill="auto"/>
            <w:noWrap/>
            <w:vAlign w:val="center"/>
            <w:hideMark/>
          </w:tcPr>
          <w:p w14:paraId="52D2E6A6"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34" w:type="pct"/>
            <w:tcBorders>
              <w:top w:val="nil"/>
              <w:left w:val="nil"/>
              <w:bottom w:val="single" w:sz="4" w:space="0" w:color="BFBFBF"/>
              <w:right w:val="single" w:sz="4" w:space="0" w:color="BFBFBF"/>
            </w:tcBorders>
            <w:shd w:val="clear" w:color="auto" w:fill="auto"/>
            <w:noWrap/>
            <w:vAlign w:val="center"/>
            <w:hideMark/>
          </w:tcPr>
          <w:p w14:paraId="7FE74DE9"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86" w:type="pct"/>
            <w:tcBorders>
              <w:top w:val="nil"/>
              <w:left w:val="nil"/>
              <w:bottom w:val="single" w:sz="4" w:space="0" w:color="BFBFBF"/>
              <w:right w:val="single" w:sz="4" w:space="0" w:color="BFBFBF"/>
            </w:tcBorders>
            <w:shd w:val="clear" w:color="auto" w:fill="auto"/>
            <w:noWrap/>
            <w:vAlign w:val="center"/>
            <w:hideMark/>
          </w:tcPr>
          <w:p w14:paraId="67A4DB27"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26" w:type="pct"/>
            <w:tcBorders>
              <w:top w:val="nil"/>
              <w:left w:val="nil"/>
              <w:bottom w:val="single" w:sz="4" w:space="0" w:color="BFBFBF"/>
              <w:right w:val="single" w:sz="4" w:space="0" w:color="BFBFBF"/>
            </w:tcBorders>
            <w:shd w:val="clear" w:color="auto" w:fill="auto"/>
            <w:noWrap/>
            <w:vAlign w:val="center"/>
            <w:hideMark/>
          </w:tcPr>
          <w:p w14:paraId="3A785C95"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04" w:type="pct"/>
            <w:tcBorders>
              <w:top w:val="nil"/>
              <w:left w:val="nil"/>
              <w:bottom w:val="single" w:sz="4" w:space="0" w:color="BFBFBF"/>
              <w:right w:val="single" w:sz="4" w:space="0" w:color="BFBFBF"/>
            </w:tcBorders>
            <w:shd w:val="clear" w:color="auto" w:fill="auto"/>
            <w:noWrap/>
            <w:vAlign w:val="center"/>
            <w:hideMark/>
          </w:tcPr>
          <w:p w14:paraId="36848BCF" w14:textId="1196DA89"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 15 000 </w:t>
            </w:r>
          </w:p>
        </w:tc>
        <w:tc>
          <w:tcPr>
            <w:tcW w:w="377" w:type="pct"/>
            <w:tcBorders>
              <w:top w:val="nil"/>
              <w:left w:val="nil"/>
              <w:bottom w:val="single" w:sz="4" w:space="0" w:color="BFBFBF"/>
              <w:right w:val="single" w:sz="4" w:space="0" w:color="BFBFBF"/>
            </w:tcBorders>
            <w:shd w:val="clear" w:color="auto" w:fill="auto"/>
            <w:noWrap/>
            <w:vAlign w:val="center"/>
            <w:hideMark/>
          </w:tcPr>
          <w:p w14:paraId="15F44936"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57A95B42"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362" w:type="pct"/>
            <w:tcBorders>
              <w:top w:val="nil"/>
              <w:left w:val="nil"/>
              <w:bottom w:val="single" w:sz="4" w:space="0" w:color="BFBFBF"/>
              <w:right w:val="single" w:sz="4" w:space="0" w:color="BFBFBF"/>
            </w:tcBorders>
            <w:shd w:val="clear" w:color="auto" w:fill="auto"/>
            <w:noWrap/>
            <w:vAlign w:val="center"/>
            <w:hideMark/>
          </w:tcPr>
          <w:p w14:paraId="171EC720"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15 000 </w:t>
            </w:r>
          </w:p>
        </w:tc>
      </w:tr>
      <w:tr w:rsidR="001B591F" w:rsidRPr="007F7B00" w14:paraId="7D5CE82C" w14:textId="77777777" w:rsidTr="001B591F">
        <w:trPr>
          <w:trHeight w:val="85"/>
        </w:trPr>
        <w:tc>
          <w:tcPr>
            <w:tcW w:w="817" w:type="pct"/>
            <w:tcBorders>
              <w:top w:val="nil"/>
              <w:left w:val="single" w:sz="4" w:space="0" w:color="BFBFBF"/>
              <w:bottom w:val="single" w:sz="4" w:space="0" w:color="BFBFBF"/>
              <w:right w:val="single" w:sz="4" w:space="0" w:color="BFBFBF"/>
            </w:tcBorders>
            <w:shd w:val="clear" w:color="auto" w:fill="auto"/>
            <w:vAlign w:val="center"/>
            <w:hideMark/>
          </w:tcPr>
          <w:p w14:paraId="62413A48" w14:textId="77777777" w:rsidR="001B591F" w:rsidRPr="007F7B00" w:rsidRDefault="001B591F" w:rsidP="00026668">
            <w:pPr>
              <w:spacing w:before="120" w:after="120"/>
              <w:rPr>
                <w:rFonts w:eastAsia="Times New Roman"/>
                <w:color w:val="002839"/>
                <w:sz w:val="18"/>
                <w:szCs w:val="18"/>
                <w:lang w:val="es-ES_tradnl"/>
              </w:rPr>
            </w:pPr>
            <w:r w:rsidRPr="007F7B00">
              <w:rPr>
                <w:color w:val="002839"/>
                <w:sz w:val="18"/>
                <w:szCs w:val="18"/>
                <w:lang w:val="es-ES_tradnl"/>
              </w:rPr>
              <w:t xml:space="preserve">Acto paralelo del CDIP </w:t>
            </w:r>
          </w:p>
        </w:tc>
        <w:tc>
          <w:tcPr>
            <w:tcW w:w="443" w:type="pct"/>
            <w:tcBorders>
              <w:top w:val="nil"/>
              <w:left w:val="nil"/>
              <w:bottom w:val="single" w:sz="4" w:space="0" w:color="BFBFBF"/>
              <w:right w:val="single" w:sz="4" w:space="0" w:color="BFBFBF"/>
            </w:tcBorders>
            <w:shd w:val="clear" w:color="auto" w:fill="auto"/>
            <w:noWrap/>
            <w:vAlign w:val="center"/>
            <w:hideMark/>
          </w:tcPr>
          <w:p w14:paraId="7B65B445"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37" w:type="pct"/>
            <w:tcBorders>
              <w:top w:val="nil"/>
              <w:left w:val="nil"/>
              <w:bottom w:val="single" w:sz="4" w:space="0" w:color="BFBFBF"/>
              <w:right w:val="single" w:sz="4" w:space="0" w:color="BFBFBF"/>
            </w:tcBorders>
            <w:shd w:val="clear" w:color="auto" w:fill="auto"/>
            <w:noWrap/>
            <w:vAlign w:val="center"/>
            <w:hideMark/>
          </w:tcPr>
          <w:p w14:paraId="07C1AC49"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34" w:type="pct"/>
            <w:tcBorders>
              <w:top w:val="nil"/>
              <w:left w:val="nil"/>
              <w:bottom w:val="single" w:sz="4" w:space="0" w:color="BFBFBF"/>
              <w:right w:val="single" w:sz="4" w:space="0" w:color="BFBFBF"/>
            </w:tcBorders>
            <w:shd w:val="clear" w:color="auto" w:fill="auto"/>
            <w:noWrap/>
            <w:vAlign w:val="center"/>
            <w:hideMark/>
          </w:tcPr>
          <w:p w14:paraId="2BFB31AE"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486" w:type="pct"/>
            <w:tcBorders>
              <w:top w:val="nil"/>
              <w:left w:val="nil"/>
              <w:bottom w:val="single" w:sz="4" w:space="0" w:color="BFBFBF"/>
              <w:right w:val="single" w:sz="4" w:space="0" w:color="BFBFBF"/>
            </w:tcBorders>
            <w:shd w:val="clear" w:color="auto" w:fill="auto"/>
            <w:noWrap/>
            <w:vAlign w:val="center"/>
            <w:hideMark/>
          </w:tcPr>
          <w:p w14:paraId="5EADACC9"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xml:space="preserve">15 000 </w:t>
            </w:r>
          </w:p>
        </w:tc>
        <w:tc>
          <w:tcPr>
            <w:tcW w:w="526" w:type="pct"/>
            <w:tcBorders>
              <w:top w:val="nil"/>
              <w:left w:val="nil"/>
              <w:bottom w:val="single" w:sz="4" w:space="0" w:color="BFBFBF"/>
              <w:right w:val="single" w:sz="4" w:space="0" w:color="BFBFBF"/>
            </w:tcBorders>
            <w:shd w:val="clear" w:color="auto" w:fill="auto"/>
            <w:noWrap/>
            <w:vAlign w:val="center"/>
            <w:hideMark/>
          </w:tcPr>
          <w:p w14:paraId="47CA8D49"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04" w:type="pct"/>
            <w:tcBorders>
              <w:top w:val="nil"/>
              <w:left w:val="nil"/>
              <w:bottom w:val="single" w:sz="4" w:space="0" w:color="BFBFBF"/>
              <w:right w:val="single" w:sz="4" w:space="0" w:color="BFBFBF"/>
            </w:tcBorders>
            <w:shd w:val="clear" w:color="auto" w:fill="auto"/>
            <w:noWrap/>
            <w:vAlign w:val="center"/>
            <w:hideMark/>
          </w:tcPr>
          <w:p w14:paraId="409B036F"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377" w:type="pct"/>
            <w:tcBorders>
              <w:top w:val="nil"/>
              <w:left w:val="nil"/>
              <w:bottom w:val="single" w:sz="4" w:space="0" w:color="BFBFBF"/>
              <w:right w:val="single" w:sz="4" w:space="0" w:color="BFBFBF"/>
            </w:tcBorders>
            <w:shd w:val="clear" w:color="auto" w:fill="auto"/>
            <w:noWrap/>
            <w:vAlign w:val="center"/>
            <w:hideMark/>
          </w:tcPr>
          <w:p w14:paraId="15DF91F8"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514" w:type="pct"/>
            <w:tcBorders>
              <w:top w:val="nil"/>
              <w:left w:val="nil"/>
              <w:bottom w:val="single" w:sz="4" w:space="0" w:color="BFBFBF"/>
              <w:right w:val="single" w:sz="4" w:space="0" w:color="BFBFBF"/>
            </w:tcBorders>
            <w:shd w:val="clear" w:color="auto" w:fill="auto"/>
            <w:noWrap/>
            <w:vAlign w:val="center"/>
            <w:hideMark/>
          </w:tcPr>
          <w:p w14:paraId="3CEF8600"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 </w:t>
            </w:r>
          </w:p>
        </w:tc>
        <w:tc>
          <w:tcPr>
            <w:tcW w:w="362" w:type="pct"/>
            <w:tcBorders>
              <w:top w:val="nil"/>
              <w:left w:val="nil"/>
              <w:bottom w:val="single" w:sz="4" w:space="0" w:color="BFBFBF"/>
              <w:right w:val="single" w:sz="4" w:space="0" w:color="BFBFBF"/>
            </w:tcBorders>
            <w:shd w:val="clear" w:color="auto" w:fill="auto"/>
            <w:noWrap/>
            <w:vAlign w:val="center"/>
            <w:hideMark/>
          </w:tcPr>
          <w:p w14:paraId="4BF47C99" w14:textId="77777777" w:rsidR="001B591F" w:rsidRPr="007F7B00" w:rsidRDefault="001B591F" w:rsidP="00026668">
            <w:pPr>
              <w:spacing w:before="120" w:after="120"/>
              <w:jc w:val="right"/>
              <w:rPr>
                <w:rFonts w:eastAsia="Times New Roman"/>
                <w:color w:val="002839"/>
                <w:sz w:val="18"/>
                <w:szCs w:val="18"/>
                <w:lang w:val="es-ES_tradnl"/>
              </w:rPr>
            </w:pPr>
            <w:r w:rsidRPr="007F7B00">
              <w:rPr>
                <w:color w:val="002839"/>
                <w:sz w:val="18"/>
                <w:szCs w:val="18"/>
                <w:lang w:val="es-ES_tradnl"/>
              </w:rPr>
              <w:t>15 000 </w:t>
            </w:r>
          </w:p>
        </w:tc>
      </w:tr>
      <w:tr w:rsidR="001B591F" w:rsidRPr="007F7B00" w14:paraId="471F198F" w14:textId="77777777" w:rsidTr="001B591F">
        <w:trPr>
          <w:trHeight w:val="50"/>
        </w:trPr>
        <w:tc>
          <w:tcPr>
            <w:tcW w:w="817" w:type="pct"/>
            <w:tcBorders>
              <w:top w:val="nil"/>
              <w:left w:val="single" w:sz="4" w:space="0" w:color="BFBFBF"/>
              <w:bottom w:val="single" w:sz="4" w:space="0" w:color="BFBFBF"/>
              <w:right w:val="single" w:sz="4" w:space="0" w:color="BFBFBF"/>
            </w:tcBorders>
            <w:shd w:val="clear" w:color="000000" w:fill="EDF0F3"/>
            <w:vAlign w:val="center"/>
            <w:hideMark/>
          </w:tcPr>
          <w:p w14:paraId="7043E415" w14:textId="77777777" w:rsidR="001B591F" w:rsidRPr="007F7B00" w:rsidRDefault="001B591F" w:rsidP="00026668">
            <w:pPr>
              <w:spacing w:before="120" w:after="120"/>
              <w:rPr>
                <w:rFonts w:eastAsia="Times New Roman"/>
                <w:b/>
                <w:bCs/>
                <w:color w:val="002839"/>
                <w:sz w:val="18"/>
                <w:szCs w:val="18"/>
                <w:lang w:val="es-ES_tradnl"/>
              </w:rPr>
            </w:pPr>
            <w:r w:rsidRPr="007F7B00">
              <w:rPr>
                <w:b/>
                <w:color w:val="002839"/>
                <w:sz w:val="18"/>
                <w:szCs w:val="18"/>
                <w:lang w:val="es-ES_tradnl"/>
              </w:rPr>
              <w:t xml:space="preserve">Total </w:t>
            </w:r>
          </w:p>
        </w:tc>
        <w:tc>
          <w:tcPr>
            <w:tcW w:w="443" w:type="pct"/>
            <w:tcBorders>
              <w:top w:val="nil"/>
              <w:left w:val="nil"/>
              <w:bottom w:val="single" w:sz="4" w:space="0" w:color="BFBFBF"/>
              <w:right w:val="single" w:sz="4" w:space="0" w:color="BFBFBF"/>
            </w:tcBorders>
            <w:shd w:val="clear" w:color="000000" w:fill="EDF0F3"/>
            <w:noWrap/>
            <w:vAlign w:val="center"/>
            <w:hideMark/>
          </w:tcPr>
          <w:p w14:paraId="7791DC75"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20 000 </w:t>
            </w:r>
          </w:p>
        </w:tc>
        <w:tc>
          <w:tcPr>
            <w:tcW w:w="437" w:type="pct"/>
            <w:tcBorders>
              <w:top w:val="nil"/>
              <w:left w:val="nil"/>
              <w:bottom w:val="single" w:sz="4" w:space="0" w:color="BFBFBF"/>
              <w:right w:val="single" w:sz="4" w:space="0" w:color="BFBFBF"/>
            </w:tcBorders>
            <w:shd w:val="clear" w:color="000000" w:fill="EDF0F3"/>
            <w:noWrap/>
            <w:vAlign w:val="center"/>
            <w:hideMark/>
          </w:tcPr>
          <w:p w14:paraId="31C364D3"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50 000 </w:t>
            </w:r>
          </w:p>
        </w:tc>
        <w:tc>
          <w:tcPr>
            <w:tcW w:w="534" w:type="pct"/>
            <w:tcBorders>
              <w:top w:val="nil"/>
              <w:left w:val="nil"/>
              <w:bottom w:val="single" w:sz="4" w:space="0" w:color="BFBFBF"/>
              <w:right w:val="single" w:sz="4" w:space="0" w:color="BFBFBF"/>
            </w:tcBorders>
            <w:shd w:val="clear" w:color="000000" w:fill="EDF0F3"/>
            <w:noWrap/>
            <w:vAlign w:val="center"/>
            <w:hideMark/>
          </w:tcPr>
          <w:p w14:paraId="2FFFB0EB"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sz w:val="18"/>
                <w:szCs w:val="18"/>
                <w:lang w:val="es-ES_tradnl"/>
              </w:rPr>
              <w:t>-</w:t>
            </w:r>
          </w:p>
        </w:tc>
        <w:tc>
          <w:tcPr>
            <w:tcW w:w="486" w:type="pct"/>
            <w:tcBorders>
              <w:top w:val="nil"/>
              <w:left w:val="nil"/>
              <w:bottom w:val="single" w:sz="4" w:space="0" w:color="BFBFBF"/>
              <w:right w:val="single" w:sz="4" w:space="0" w:color="BFBFBF"/>
            </w:tcBorders>
            <w:shd w:val="clear" w:color="000000" w:fill="EDF0F3"/>
            <w:noWrap/>
            <w:vAlign w:val="center"/>
            <w:hideMark/>
          </w:tcPr>
          <w:p w14:paraId="7F32FF09"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20 000 </w:t>
            </w:r>
          </w:p>
        </w:tc>
        <w:tc>
          <w:tcPr>
            <w:tcW w:w="526" w:type="pct"/>
            <w:tcBorders>
              <w:top w:val="nil"/>
              <w:left w:val="nil"/>
              <w:bottom w:val="single" w:sz="4" w:space="0" w:color="BFBFBF"/>
              <w:right w:val="single" w:sz="4" w:space="0" w:color="BFBFBF"/>
            </w:tcBorders>
            <w:shd w:val="clear" w:color="000000" w:fill="EDF0F3"/>
            <w:noWrap/>
            <w:vAlign w:val="center"/>
            <w:hideMark/>
          </w:tcPr>
          <w:p w14:paraId="626EEA0A"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10 000 </w:t>
            </w:r>
          </w:p>
        </w:tc>
        <w:tc>
          <w:tcPr>
            <w:tcW w:w="504" w:type="pct"/>
            <w:tcBorders>
              <w:top w:val="nil"/>
              <w:left w:val="nil"/>
              <w:bottom w:val="single" w:sz="4" w:space="0" w:color="BFBFBF"/>
              <w:right w:val="single" w:sz="4" w:space="0" w:color="BFBFBF"/>
            </w:tcBorders>
            <w:shd w:val="clear" w:color="000000" w:fill="EDF0F3"/>
            <w:noWrap/>
            <w:vAlign w:val="center"/>
            <w:hideMark/>
          </w:tcPr>
          <w:p w14:paraId="54155F84"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85 000 </w:t>
            </w:r>
          </w:p>
        </w:tc>
        <w:tc>
          <w:tcPr>
            <w:tcW w:w="377" w:type="pct"/>
            <w:tcBorders>
              <w:top w:val="nil"/>
              <w:left w:val="nil"/>
              <w:bottom w:val="single" w:sz="4" w:space="0" w:color="BFBFBF"/>
              <w:right w:val="single" w:sz="4" w:space="0" w:color="BFBFBF"/>
            </w:tcBorders>
            <w:shd w:val="clear" w:color="000000" w:fill="EDF0F3"/>
            <w:noWrap/>
            <w:vAlign w:val="center"/>
            <w:hideMark/>
          </w:tcPr>
          <w:p w14:paraId="52FE3BA5"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sz w:val="18"/>
                <w:szCs w:val="18"/>
                <w:lang w:val="es-ES_tradnl"/>
              </w:rPr>
              <w:t>-</w:t>
            </w:r>
          </w:p>
        </w:tc>
        <w:tc>
          <w:tcPr>
            <w:tcW w:w="514" w:type="pct"/>
            <w:tcBorders>
              <w:top w:val="nil"/>
              <w:left w:val="nil"/>
              <w:bottom w:val="single" w:sz="4" w:space="0" w:color="BFBFBF"/>
              <w:right w:val="single" w:sz="4" w:space="0" w:color="BFBFBF"/>
            </w:tcBorders>
            <w:shd w:val="clear" w:color="000000" w:fill="EDF0F3"/>
            <w:noWrap/>
            <w:vAlign w:val="center"/>
            <w:hideMark/>
          </w:tcPr>
          <w:p w14:paraId="7E4309F8"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20 000 </w:t>
            </w:r>
          </w:p>
        </w:tc>
        <w:tc>
          <w:tcPr>
            <w:tcW w:w="362" w:type="pct"/>
            <w:tcBorders>
              <w:top w:val="nil"/>
              <w:left w:val="nil"/>
              <w:bottom w:val="single" w:sz="4" w:space="0" w:color="BFBFBF"/>
              <w:right w:val="single" w:sz="4" w:space="0" w:color="BFBFBF"/>
            </w:tcBorders>
            <w:shd w:val="clear" w:color="000000" w:fill="EDF0F3"/>
            <w:noWrap/>
            <w:vAlign w:val="center"/>
            <w:hideMark/>
          </w:tcPr>
          <w:p w14:paraId="6CE277E9" w14:textId="77777777" w:rsidR="001B591F" w:rsidRPr="007F7B00" w:rsidRDefault="001B591F" w:rsidP="00026668">
            <w:pPr>
              <w:spacing w:before="120" w:after="120"/>
              <w:jc w:val="right"/>
              <w:rPr>
                <w:rFonts w:eastAsia="Times New Roman"/>
                <w:b/>
                <w:bCs/>
                <w:color w:val="002839"/>
                <w:sz w:val="18"/>
                <w:szCs w:val="18"/>
                <w:lang w:val="es-ES_tradnl"/>
              </w:rPr>
            </w:pPr>
            <w:r w:rsidRPr="007F7B00">
              <w:rPr>
                <w:b/>
                <w:color w:val="002839"/>
                <w:sz w:val="18"/>
                <w:szCs w:val="18"/>
                <w:lang w:val="es-ES_tradnl"/>
              </w:rPr>
              <w:t xml:space="preserve">205 000 </w:t>
            </w:r>
          </w:p>
        </w:tc>
      </w:tr>
    </w:tbl>
    <w:p w14:paraId="300A63FC" w14:textId="06A9AFB4" w:rsidR="00152CEA" w:rsidRPr="007F7B00" w:rsidRDefault="001B591F" w:rsidP="001B591F">
      <w:pPr>
        <w:pStyle w:val="Endofdocument-Annex"/>
        <w:spacing w:before="600"/>
        <w:ind w:left="10490"/>
        <w:rPr>
          <w:lang w:val="es-ES_tradnl"/>
        </w:rPr>
      </w:pPr>
      <w:r w:rsidRPr="007F7B00">
        <w:rPr>
          <w:lang w:val="es-ES_tradnl"/>
        </w:rPr>
        <w:t>[Fin del Anexo y del documento]</w:t>
      </w:r>
    </w:p>
    <w:sectPr w:rsidR="00152CEA" w:rsidRPr="007F7B00" w:rsidSect="001B591F">
      <w:headerReference w:type="default" r:id="rId24"/>
      <w:pgSz w:w="16840" w:h="11907" w:orient="landscape" w:code="9"/>
      <w:pgMar w:top="1418" w:right="1105"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0128" w14:textId="77777777" w:rsidR="001B591F" w:rsidRDefault="001B591F">
      <w:r>
        <w:separator/>
      </w:r>
    </w:p>
  </w:endnote>
  <w:endnote w:type="continuationSeparator" w:id="0">
    <w:p w14:paraId="41043340" w14:textId="77777777" w:rsidR="001B591F" w:rsidRPr="009D30E6" w:rsidRDefault="001B591F" w:rsidP="007E663E">
      <w:pPr>
        <w:rPr>
          <w:sz w:val="17"/>
          <w:szCs w:val="17"/>
        </w:rPr>
      </w:pPr>
      <w:r w:rsidRPr="009D30E6">
        <w:rPr>
          <w:sz w:val="17"/>
          <w:szCs w:val="17"/>
        </w:rPr>
        <w:separator/>
      </w:r>
    </w:p>
    <w:p w14:paraId="592EEFD8" w14:textId="77777777" w:rsidR="001B591F" w:rsidRPr="007E663E" w:rsidRDefault="001B591F" w:rsidP="007E663E">
      <w:pPr>
        <w:spacing w:after="60"/>
        <w:rPr>
          <w:sz w:val="17"/>
          <w:szCs w:val="17"/>
        </w:rPr>
      </w:pPr>
      <w:r>
        <w:rPr>
          <w:sz w:val="17"/>
        </w:rPr>
        <w:t>[Continuación de la nota de la página anterior]</w:t>
      </w:r>
    </w:p>
  </w:endnote>
  <w:endnote w:type="continuationNotice" w:id="1">
    <w:p w14:paraId="32C5D1F6" w14:textId="77777777" w:rsidR="001B591F" w:rsidRPr="007E663E" w:rsidRDefault="001B591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A5D1" w14:textId="77777777" w:rsidR="00230E24" w:rsidRDefault="00230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B8C" w14:textId="77777777" w:rsidR="00230E24" w:rsidRDefault="0023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4BAA" w14:textId="77777777" w:rsidR="00230E24" w:rsidRDefault="00230E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A3BE" w14:textId="77777777" w:rsidR="001B591F" w:rsidRDefault="001B591F"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C372" w14:textId="77777777" w:rsidR="001B591F" w:rsidRPr="00BB6227" w:rsidRDefault="001B591F"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76FF" w14:textId="77777777" w:rsidR="001B591F" w:rsidRPr="00BB6227" w:rsidRDefault="001B591F" w:rsidP="00BB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08BB" w14:textId="77777777" w:rsidR="001B591F" w:rsidRDefault="001B591F">
      <w:r>
        <w:separator/>
      </w:r>
    </w:p>
  </w:footnote>
  <w:footnote w:type="continuationSeparator" w:id="0">
    <w:p w14:paraId="2FE1BC60" w14:textId="77777777" w:rsidR="001B591F" w:rsidRPr="009D30E6" w:rsidRDefault="001B591F" w:rsidP="007E663E">
      <w:pPr>
        <w:rPr>
          <w:sz w:val="17"/>
          <w:szCs w:val="17"/>
        </w:rPr>
      </w:pPr>
      <w:r w:rsidRPr="009D30E6">
        <w:rPr>
          <w:sz w:val="17"/>
          <w:szCs w:val="17"/>
        </w:rPr>
        <w:separator/>
      </w:r>
    </w:p>
    <w:p w14:paraId="020480B4" w14:textId="77777777" w:rsidR="001B591F" w:rsidRPr="007E663E" w:rsidRDefault="001B591F" w:rsidP="007E663E">
      <w:pPr>
        <w:spacing w:after="60"/>
        <w:rPr>
          <w:sz w:val="17"/>
          <w:szCs w:val="17"/>
        </w:rPr>
      </w:pPr>
      <w:r>
        <w:rPr>
          <w:sz w:val="17"/>
        </w:rPr>
        <w:t>[Continuación de la nota de la página anterior]</w:t>
      </w:r>
    </w:p>
  </w:footnote>
  <w:footnote w:type="continuationNotice" w:id="1">
    <w:p w14:paraId="43E0358E" w14:textId="77777777" w:rsidR="001B591F" w:rsidRPr="007E663E" w:rsidRDefault="001B591F" w:rsidP="007E663E">
      <w:pPr>
        <w:spacing w:before="60"/>
        <w:jc w:val="right"/>
        <w:rPr>
          <w:sz w:val="17"/>
          <w:szCs w:val="17"/>
        </w:rPr>
      </w:pPr>
      <w:r w:rsidRPr="007E663E">
        <w:rPr>
          <w:sz w:val="17"/>
          <w:szCs w:val="17"/>
        </w:rPr>
        <w:t>[Sigue la nota en la página siguiente]</w:t>
      </w:r>
    </w:p>
  </w:footnote>
  <w:footnote w:id="2">
    <w:p w14:paraId="0108830F" w14:textId="77777777" w:rsidR="001B591F" w:rsidRDefault="001B591F" w:rsidP="001B591F">
      <w:pPr>
        <w:pStyle w:val="FootnoteText"/>
      </w:pPr>
      <w:r>
        <w:rPr>
          <w:rStyle w:val="FootnoteReference"/>
        </w:rPr>
        <w:footnoteRef/>
      </w:r>
      <w:r>
        <w:t>La ejecución se iniciará únicamente cuando se hayan llevado a cabo las actividades previas.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897A" w14:textId="77777777" w:rsidR="001B591F" w:rsidRPr="00F321E0" w:rsidRDefault="001B591F"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7CDEDB8B" w14:textId="77777777" w:rsidR="001B591F" w:rsidRDefault="001B591F" w:rsidP="0083556E">
    <w:pPr>
      <w:jc w:val="right"/>
    </w:pPr>
    <w:r>
      <w:t xml:space="preserve">Anexo I, página </w:t>
    </w:r>
    <w:r>
      <w:fldChar w:fldCharType="begin"/>
    </w:r>
    <w:r>
      <w:instrText xml:space="preserve"> PAGE  \* MERGEFORMAT </w:instrText>
    </w:r>
    <w:r>
      <w:fldChar w:fldCharType="separate"/>
    </w:r>
    <w:r>
      <w:t>6</w:t>
    </w:r>
    <w:r>
      <w:fldChar w:fldCharType="end"/>
    </w:r>
  </w:p>
  <w:p w14:paraId="0C996114" w14:textId="77777777" w:rsidR="001B591F" w:rsidRDefault="001B591F" w:rsidP="00516E89">
    <w:pPr>
      <w:pStyle w:val="Header"/>
      <w:jc w:val="right"/>
      <w:rPr>
        <w:color w:val="000000" w:themeColor="text1"/>
      </w:rPr>
    </w:pPr>
  </w:p>
  <w:p w14:paraId="732E0039" w14:textId="77777777" w:rsidR="001B591F" w:rsidRPr="00516E89" w:rsidRDefault="001B591F"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F27" w14:textId="77777777" w:rsidR="001B591F" w:rsidRPr="00F321E0" w:rsidRDefault="001B591F"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509406A9" w14:textId="77777777" w:rsidR="001B591F" w:rsidRDefault="001B591F" w:rsidP="00F441FA">
    <w:pPr>
      <w:jc w:val="right"/>
    </w:pPr>
    <w:r>
      <w:t xml:space="preserve">Anexo I, página </w:t>
    </w:r>
    <w:r>
      <w:fldChar w:fldCharType="begin"/>
    </w:r>
    <w:r>
      <w:instrText xml:space="preserve"> PAGE  \* MERGEFORMAT </w:instrText>
    </w:r>
    <w:r>
      <w:fldChar w:fldCharType="separate"/>
    </w:r>
    <w:r>
      <w:t>7</w:t>
    </w:r>
    <w:r>
      <w:fldChar w:fldCharType="end"/>
    </w:r>
  </w:p>
  <w:p w14:paraId="59D063C6" w14:textId="77777777" w:rsidR="001B591F" w:rsidRDefault="001B591F">
    <w:pPr>
      <w:pStyle w:val="Header"/>
    </w:pPr>
  </w:p>
  <w:p w14:paraId="2A908FBA" w14:textId="77777777" w:rsidR="001B591F" w:rsidRDefault="001B5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E699" w14:textId="77777777" w:rsidR="00230E24" w:rsidRDefault="00230E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CE1D" w14:textId="77777777" w:rsidR="001B591F" w:rsidRDefault="001B59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BB2E" w14:textId="3BC19127" w:rsidR="001B591F" w:rsidRPr="00F321E0" w:rsidRDefault="001B591F" w:rsidP="001B591F">
    <w:pPr>
      <w:pBdr>
        <w:top w:val="nil"/>
        <w:left w:val="nil"/>
        <w:bottom w:val="nil"/>
        <w:right w:val="nil"/>
        <w:between w:val="nil"/>
      </w:pBdr>
      <w:ind w:left="-1260" w:right="-560"/>
      <w:jc w:val="right"/>
      <w:rPr>
        <w:rFonts w:eastAsia="Calibri"/>
        <w:color w:val="000000"/>
      </w:rPr>
    </w:pPr>
    <w:r>
      <w:rPr>
        <w:color w:val="000000"/>
      </w:rPr>
      <w:t>CDIP/32/6</w:t>
    </w:r>
  </w:p>
  <w:p w14:paraId="0771B80B" w14:textId="73CB282C" w:rsidR="001B591F" w:rsidRDefault="001B591F" w:rsidP="001B591F">
    <w:pPr>
      <w:ind w:left="-1260" w:right="-560"/>
      <w:jc w:val="right"/>
    </w:pPr>
    <w:r>
      <w:t xml:space="preserve">Anexo, página </w:t>
    </w:r>
    <w:r>
      <w:fldChar w:fldCharType="begin"/>
    </w:r>
    <w:r>
      <w:instrText xml:space="preserve"> PAGE  \* MERGEFORMAT </w:instrText>
    </w:r>
    <w:r>
      <w:fldChar w:fldCharType="separate"/>
    </w:r>
    <w:r>
      <w:t>2</w:t>
    </w:r>
    <w:r>
      <w:fldChar w:fldCharType="end"/>
    </w:r>
  </w:p>
  <w:p w14:paraId="15E144D0" w14:textId="77777777" w:rsidR="001B591F" w:rsidRDefault="001B591F" w:rsidP="001B591F">
    <w:pPr>
      <w:ind w:left="-1260" w:right="-5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7E34" w14:textId="77777777" w:rsidR="001B591F" w:rsidRDefault="001B591F" w:rsidP="001B591F">
    <w:pPr>
      <w:pStyle w:val="Header"/>
      <w:tabs>
        <w:tab w:val="clear" w:pos="4536"/>
        <w:tab w:val="clear" w:pos="9072"/>
      </w:tabs>
      <w:ind w:right="-560"/>
      <w:jc w:val="right"/>
    </w:pPr>
    <w:r>
      <w:t>CDIP/32/6</w:t>
    </w:r>
  </w:p>
  <w:p w14:paraId="42CA8DCC" w14:textId="02886699" w:rsidR="001B591F" w:rsidRDefault="001B591F" w:rsidP="001B591F">
    <w:pPr>
      <w:pStyle w:val="Header"/>
      <w:tabs>
        <w:tab w:val="clear" w:pos="4536"/>
        <w:tab w:val="clear" w:pos="9072"/>
      </w:tabs>
      <w:ind w:right="-560"/>
      <w:jc w:val="right"/>
    </w:pPr>
    <w:r>
      <w:t>ANEXO</w:t>
    </w:r>
  </w:p>
  <w:p w14:paraId="0BE4FD46" w14:textId="77777777" w:rsidR="001B591F" w:rsidRDefault="001B591F" w:rsidP="001B591F">
    <w:pPr>
      <w:pStyle w:val="Header"/>
      <w:tabs>
        <w:tab w:val="clear" w:pos="4536"/>
        <w:tab w:val="clear" w:pos="9072"/>
      </w:tabs>
      <w:ind w:right="-560"/>
      <w:jc w:val="right"/>
    </w:pPr>
  </w:p>
  <w:p w14:paraId="0BB471F1" w14:textId="77777777" w:rsidR="001B591F" w:rsidRPr="00CE5441" w:rsidRDefault="001B591F" w:rsidP="001B591F">
    <w:pPr>
      <w:pStyle w:val="Header"/>
      <w:tabs>
        <w:tab w:val="clear" w:pos="4536"/>
        <w:tab w:val="clear" w:pos="9072"/>
      </w:tabs>
      <w:ind w:right="-5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5C9F" w14:textId="77777777" w:rsidR="001B591F" w:rsidRDefault="001B591F" w:rsidP="001B591F">
    <w:pPr>
      <w:pStyle w:val="Header"/>
      <w:ind w:right="396"/>
      <w:jc w:val="right"/>
    </w:pPr>
    <w:r>
      <w:t>CDIP/32/6</w:t>
    </w:r>
  </w:p>
  <w:p w14:paraId="792E0644" w14:textId="77777777" w:rsidR="001B591F" w:rsidRDefault="001B591F" w:rsidP="001B591F">
    <w:pPr>
      <w:pStyle w:val="Header"/>
      <w:ind w:right="396"/>
      <w:jc w:val="right"/>
    </w:pPr>
    <w:r>
      <w:t xml:space="preserve">Anexo, página </w:t>
    </w:r>
    <w:r>
      <w:fldChar w:fldCharType="begin"/>
    </w:r>
    <w:r>
      <w:instrText xml:space="preserve"> PAGE  \* MERGEFORMAT </w:instrText>
    </w:r>
    <w:r>
      <w:fldChar w:fldCharType="separate"/>
    </w:r>
    <w:r>
      <w:t>4</w:t>
    </w:r>
    <w:r>
      <w:fldChar w:fldCharType="end"/>
    </w:r>
  </w:p>
  <w:p w14:paraId="73EFB192" w14:textId="77777777" w:rsidR="001B591F" w:rsidRDefault="001B591F" w:rsidP="001B591F">
    <w:pPr>
      <w:pStyle w:val="Header"/>
      <w:ind w:right="-5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F0B9" w14:textId="77777777" w:rsidR="00AE7F20" w:rsidRPr="00EB0D93" w:rsidRDefault="001B591F" w:rsidP="00477D6B">
    <w:pPr>
      <w:jc w:val="right"/>
      <w:rPr>
        <w:caps/>
      </w:rPr>
    </w:pPr>
    <w:bookmarkStart w:id="5" w:name="Code2"/>
    <w:bookmarkEnd w:id="5"/>
    <w:r>
      <w:rPr>
        <w:caps/>
      </w:rPr>
      <w:t>CDIP/32/6</w:t>
    </w:r>
  </w:p>
  <w:p w14:paraId="2B96AE84" w14:textId="77777777" w:rsidR="00AE7F20" w:rsidRDefault="001B591F"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EB0D93">
      <w:rPr>
        <w:noProof/>
      </w:rPr>
      <w:t>2</w:t>
    </w:r>
    <w:r w:rsidR="00AE7F20">
      <w:fldChar w:fldCharType="end"/>
    </w:r>
  </w:p>
  <w:p w14:paraId="4EB1D877"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F7C7F"/>
    <w:multiLevelType w:val="hybridMultilevel"/>
    <w:tmpl w:val="8FCC17A6"/>
    <w:lvl w:ilvl="0" w:tplc="7DA49E6A">
      <w:numFmt w:val="bullet"/>
      <w:lvlText w:val="-"/>
      <w:lvlJc w:val="left"/>
      <w:pPr>
        <w:ind w:left="94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081542DE"/>
    <w:multiLevelType w:val="hybridMultilevel"/>
    <w:tmpl w:val="1B5614BC"/>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00D16"/>
    <w:multiLevelType w:val="hybridMultilevel"/>
    <w:tmpl w:val="73C02A0C"/>
    <w:lvl w:ilvl="0" w:tplc="7DA49E6A">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69047E9"/>
    <w:multiLevelType w:val="hybridMultilevel"/>
    <w:tmpl w:val="640CA3AA"/>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77222801"/>
    <w:multiLevelType w:val="hybridMultilevel"/>
    <w:tmpl w:val="BC709E8A"/>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15:restartNumberingAfterBreak="0">
    <w:nsid w:val="7C67536C"/>
    <w:multiLevelType w:val="hybridMultilevel"/>
    <w:tmpl w:val="8D128AB2"/>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69427415">
    <w:abstractNumId w:val="4"/>
  </w:num>
  <w:num w:numId="2" w16cid:durableId="423306060">
    <w:abstractNumId w:val="9"/>
  </w:num>
  <w:num w:numId="3" w16cid:durableId="1428230405">
    <w:abstractNumId w:val="0"/>
  </w:num>
  <w:num w:numId="4" w16cid:durableId="1197961018">
    <w:abstractNumId w:val="11"/>
  </w:num>
  <w:num w:numId="5" w16cid:durableId="1718354425">
    <w:abstractNumId w:val="1"/>
  </w:num>
  <w:num w:numId="6" w16cid:durableId="1532495534">
    <w:abstractNumId w:val="5"/>
  </w:num>
  <w:num w:numId="7" w16cid:durableId="1255017647">
    <w:abstractNumId w:val="14"/>
  </w:num>
  <w:num w:numId="8" w16cid:durableId="1086076792">
    <w:abstractNumId w:val="6"/>
  </w:num>
  <w:num w:numId="9" w16cid:durableId="661658627">
    <w:abstractNumId w:val="16"/>
  </w:num>
  <w:num w:numId="10" w16cid:durableId="1337608406">
    <w:abstractNumId w:val="15"/>
  </w:num>
  <w:num w:numId="11" w16cid:durableId="23750611">
    <w:abstractNumId w:val="3"/>
  </w:num>
  <w:num w:numId="12" w16cid:durableId="1482234777">
    <w:abstractNumId w:val="8"/>
  </w:num>
  <w:num w:numId="13" w16cid:durableId="55974195">
    <w:abstractNumId w:val="10"/>
  </w:num>
  <w:num w:numId="14" w16cid:durableId="1580823644">
    <w:abstractNumId w:val="7"/>
  </w:num>
  <w:num w:numId="15" w16cid:durableId="981080947">
    <w:abstractNumId w:val="13"/>
  </w:num>
  <w:num w:numId="16" w16cid:durableId="1396508049">
    <w:abstractNumId w:val="17"/>
  </w:num>
  <w:num w:numId="17" w16cid:durableId="895245002">
    <w:abstractNumId w:val="12"/>
  </w:num>
  <w:num w:numId="18" w16cid:durableId="1120492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1F"/>
    <w:rsid w:val="00010686"/>
    <w:rsid w:val="00052915"/>
    <w:rsid w:val="00086819"/>
    <w:rsid w:val="000E3BB3"/>
    <w:rsid w:val="000F5E56"/>
    <w:rsid w:val="001362EE"/>
    <w:rsid w:val="00152CEA"/>
    <w:rsid w:val="001832A6"/>
    <w:rsid w:val="001A13E2"/>
    <w:rsid w:val="001B591F"/>
    <w:rsid w:val="00230E24"/>
    <w:rsid w:val="00253229"/>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C23A5"/>
    <w:rsid w:val="004E297D"/>
    <w:rsid w:val="00531B02"/>
    <w:rsid w:val="005332F0"/>
    <w:rsid w:val="0055013B"/>
    <w:rsid w:val="00556824"/>
    <w:rsid w:val="00571B99"/>
    <w:rsid w:val="005A19B9"/>
    <w:rsid w:val="005B2EAE"/>
    <w:rsid w:val="00605827"/>
    <w:rsid w:val="00675021"/>
    <w:rsid w:val="006A06C6"/>
    <w:rsid w:val="007224C8"/>
    <w:rsid w:val="00762AC6"/>
    <w:rsid w:val="00794BE2"/>
    <w:rsid w:val="007A5581"/>
    <w:rsid w:val="007B71FE"/>
    <w:rsid w:val="007D781E"/>
    <w:rsid w:val="007E663E"/>
    <w:rsid w:val="007F7B00"/>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B4E21"/>
    <w:rsid w:val="00AB613D"/>
    <w:rsid w:val="00AC1E2C"/>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13A65"/>
  <w15:docId w15:val="{AFDE1C59-97D4-4F51-8B56-9755BD99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ableParagraph">
    <w:name w:val="Table Paragraph"/>
    <w:basedOn w:val="Normal"/>
    <w:uiPriority w:val="1"/>
    <w:qFormat/>
    <w:rsid w:val="001B591F"/>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1B591F"/>
    <w:rPr>
      <w:color w:val="0000FF" w:themeColor="hyperlink"/>
      <w:u w:val="single"/>
    </w:rPr>
  </w:style>
  <w:style w:type="character" w:customStyle="1" w:styleId="HeaderChar">
    <w:name w:val="Header Char"/>
    <w:basedOn w:val="DefaultParagraphFont"/>
    <w:link w:val="Header"/>
    <w:rsid w:val="001B591F"/>
    <w:rPr>
      <w:rFonts w:ascii="Arial" w:eastAsia="SimSun" w:hAnsi="Arial" w:cs="Arial"/>
      <w:sz w:val="22"/>
      <w:lang w:val="es-ES" w:eastAsia="zh-CN"/>
    </w:rPr>
  </w:style>
  <w:style w:type="paragraph" w:styleId="ListParagraph">
    <w:name w:val="List Paragraph"/>
    <w:basedOn w:val="Normal"/>
    <w:uiPriority w:val="34"/>
    <w:qFormat/>
    <w:rsid w:val="001B591F"/>
    <w:pPr>
      <w:widowControl w:val="0"/>
      <w:autoSpaceDE w:val="0"/>
      <w:autoSpaceDN w:val="0"/>
      <w:ind w:left="935" w:hanging="361"/>
    </w:pPr>
    <w:rPr>
      <w:rFonts w:eastAsia="Arial"/>
      <w:szCs w:val="22"/>
      <w:lang w:eastAsia="en-US"/>
    </w:rPr>
  </w:style>
  <w:style w:type="character" w:customStyle="1" w:styleId="FootnoteTextChar">
    <w:name w:val="Footnote Text Char"/>
    <w:basedOn w:val="DefaultParagraphFont"/>
    <w:link w:val="FootnoteText"/>
    <w:semiHidden/>
    <w:rsid w:val="001B591F"/>
    <w:rPr>
      <w:rFonts w:ascii="Arial" w:eastAsia="SimSun" w:hAnsi="Arial" w:cs="Arial"/>
      <w:sz w:val="18"/>
      <w:lang w:val="es-ES" w:eastAsia="zh-CN"/>
    </w:rPr>
  </w:style>
  <w:style w:type="character" w:styleId="FootnoteReference">
    <w:name w:val="footnote reference"/>
    <w:basedOn w:val="DefaultParagraphFont"/>
    <w:semiHidden/>
    <w:unhideWhenUsed/>
    <w:rsid w:val="001B591F"/>
    <w:rPr>
      <w:vertAlign w:val="superscript"/>
    </w:rPr>
  </w:style>
  <w:style w:type="character" w:customStyle="1" w:styleId="FooterChar">
    <w:name w:val="Footer Char"/>
    <w:basedOn w:val="DefaultParagraphFont"/>
    <w:link w:val="Footer"/>
    <w:uiPriority w:val="99"/>
    <w:rsid w:val="001B591F"/>
    <w:rPr>
      <w:rFonts w:ascii="Arial" w:eastAsia="SimSun" w:hAnsi="Arial" w:cs="Arial"/>
      <w:sz w:val="22"/>
      <w:lang w:val="es-ES" w:eastAsia="zh-CN"/>
    </w:rPr>
  </w:style>
  <w:style w:type="character" w:customStyle="1" w:styleId="cf01">
    <w:name w:val="cf01"/>
    <w:basedOn w:val="DefaultParagraphFont"/>
    <w:rsid w:val="001B591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catalogue.wipo.int/projects/DA_10_05"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dacatalogue.wipo.int/projects/DA_10_02_01"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3</TotalTime>
  <Pages>9</Pages>
  <Words>2317</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CDIP/32/</vt:lpstr>
    </vt:vector>
  </TitlesOfParts>
  <Company>WIPO</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CDIP/32/6</dc:title>
  <dc:creator>PANAKAL Joseph Lazar</dc:creator>
  <cp:keywords>FOR OFFICIAL USE ONLY</cp:keywords>
  <cp:lastModifiedBy>ESTEVES DOS SANTOS Anabela</cp:lastModifiedBy>
  <cp:revision>4</cp:revision>
  <cp:lastPrinted>2024-02-28T16:35:00Z</cp:lastPrinted>
  <dcterms:created xsi:type="dcterms:W3CDTF">2024-02-28T16:34:00Z</dcterms:created>
  <dcterms:modified xsi:type="dcterms:W3CDTF">2024-03-01T15:39:00Z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