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AD59" w14:textId="77777777" w:rsidR="008B2CC1" w:rsidRPr="006A553A" w:rsidRDefault="00472A6E" w:rsidP="00762AC6">
      <w:pPr>
        <w:pBdr>
          <w:bottom w:val="single" w:sz="4" w:space="11" w:color="auto"/>
        </w:pBdr>
        <w:spacing w:after="120"/>
        <w:ind w:right="-57"/>
        <w:jc w:val="right"/>
        <w:rPr>
          <w:lang w:val="es-419"/>
        </w:rPr>
      </w:pPr>
      <w:r w:rsidRPr="006A553A">
        <w:rPr>
          <w:noProof/>
          <w:lang w:val="es-419" w:eastAsia="fr-CH"/>
        </w:rPr>
        <w:drawing>
          <wp:inline distT="0" distB="0" distL="0" distR="0" wp14:anchorId="1B2F638C" wp14:editId="040ABCCB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BF0BF" w14:textId="2632EE1E" w:rsidR="00472A6E" w:rsidRPr="006A553A" w:rsidRDefault="009C0927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6A553A">
        <w:rPr>
          <w:rFonts w:ascii="Arial Black" w:hAnsi="Arial Black"/>
          <w:caps/>
          <w:sz w:val="15"/>
          <w:lang w:val="es-419"/>
        </w:rPr>
        <w:t>CDIP/3</w:t>
      </w:r>
      <w:r w:rsidR="00DF13F9" w:rsidRPr="006A553A">
        <w:rPr>
          <w:rFonts w:ascii="Arial Black" w:hAnsi="Arial Black"/>
          <w:caps/>
          <w:sz w:val="15"/>
          <w:lang w:val="es-419"/>
        </w:rPr>
        <w:t>1</w:t>
      </w:r>
      <w:r w:rsidRPr="006A553A">
        <w:rPr>
          <w:rFonts w:ascii="Arial Black" w:hAnsi="Arial Black"/>
          <w:caps/>
          <w:sz w:val="15"/>
          <w:lang w:val="es-419"/>
        </w:rPr>
        <w:t>/</w:t>
      </w:r>
      <w:bookmarkStart w:id="0" w:name="Code"/>
      <w:bookmarkEnd w:id="0"/>
      <w:r w:rsidR="00E7279A" w:rsidRPr="006A553A">
        <w:rPr>
          <w:rFonts w:ascii="Arial Black" w:hAnsi="Arial Black"/>
          <w:caps/>
          <w:sz w:val="15"/>
          <w:lang w:val="es-419"/>
        </w:rPr>
        <w:t>1</w:t>
      </w:r>
      <w:r w:rsidR="0071776A" w:rsidRPr="006A553A">
        <w:rPr>
          <w:rFonts w:ascii="Arial Black" w:hAnsi="Arial Black"/>
          <w:caps/>
          <w:sz w:val="15"/>
          <w:lang w:val="es-419"/>
        </w:rPr>
        <w:t>2</w:t>
      </w:r>
      <w:r w:rsidR="007C5BCC" w:rsidRPr="006A553A">
        <w:rPr>
          <w:rFonts w:ascii="Arial Black" w:hAnsi="Arial Black"/>
          <w:caps/>
          <w:sz w:val="15"/>
          <w:lang w:val="es-419"/>
        </w:rPr>
        <w:t xml:space="preserve"> rev.</w:t>
      </w:r>
    </w:p>
    <w:p w14:paraId="443F98D1" w14:textId="77777777" w:rsidR="008B2CC1" w:rsidRPr="006A553A" w:rsidRDefault="00472A6E" w:rsidP="00472A6E">
      <w:pPr>
        <w:jc w:val="right"/>
        <w:rPr>
          <w:lang w:val="es-419"/>
        </w:rPr>
      </w:pPr>
      <w:r w:rsidRPr="006A553A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E7279A" w:rsidRPr="006A553A">
        <w:rPr>
          <w:rFonts w:ascii="Arial Black" w:hAnsi="Arial Black"/>
          <w:caps/>
          <w:sz w:val="15"/>
          <w:lang w:val="es-419"/>
        </w:rPr>
        <w:t>inglés</w:t>
      </w:r>
    </w:p>
    <w:bookmarkEnd w:id="1"/>
    <w:p w14:paraId="56D66410" w14:textId="3B08E9B7" w:rsidR="008B2CC1" w:rsidRPr="006A553A" w:rsidRDefault="00472A6E" w:rsidP="00472A6E">
      <w:pPr>
        <w:spacing w:after="1200"/>
        <w:jc w:val="right"/>
        <w:rPr>
          <w:lang w:val="es-419"/>
        </w:rPr>
      </w:pPr>
      <w:r w:rsidRPr="006A553A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982944">
        <w:rPr>
          <w:rFonts w:ascii="Arial Black" w:hAnsi="Arial Black"/>
          <w:caps/>
          <w:sz w:val="15"/>
          <w:lang w:val="es-419"/>
        </w:rPr>
        <w:t>9</w:t>
      </w:r>
      <w:r w:rsidR="00E7279A" w:rsidRPr="006A553A">
        <w:rPr>
          <w:rFonts w:ascii="Arial Black" w:hAnsi="Arial Black"/>
          <w:caps/>
          <w:sz w:val="15"/>
          <w:lang w:val="es-419"/>
        </w:rPr>
        <w:t xml:space="preserve"> de </w:t>
      </w:r>
      <w:r w:rsidR="007C5BCC" w:rsidRPr="006A553A">
        <w:rPr>
          <w:rFonts w:ascii="Arial Black" w:hAnsi="Arial Black"/>
          <w:caps/>
          <w:sz w:val="15"/>
          <w:lang w:val="es-419"/>
        </w:rPr>
        <w:t xml:space="preserve">octubre </w:t>
      </w:r>
      <w:r w:rsidR="00E7279A" w:rsidRPr="006A553A">
        <w:rPr>
          <w:rFonts w:ascii="Arial Black" w:hAnsi="Arial Black"/>
          <w:caps/>
          <w:sz w:val="15"/>
          <w:lang w:val="es-419"/>
        </w:rPr>
        <w:t>de 2023</w:t>
      </w:r>
    </w:p>
    <w:bookmarkEnd w:id="2"/>
    <w:p w14:paraId="79C9A75B" w14:textId="77777777" w:rsidR="00B67CDC" w:rsidRPr="006A553A" w:rsidRDefault="00762AC6" w:rsidP="00FB31F5">
      <w:pPr>
        <w:pStyle w:val="Heading1"/>
        <w:spacing w:before="0" w:after="600"/>
        <w:rPr>
          <w:sz w:val="28"/>
          <w:lang w:val="es-419"/>
        </w:rPr>
      </w:pPr>
      <w:r w:rsidRPr="006A553A">
        <w:rPr>
          <w:caps w:val="0"/>
          <w:sz w:val="28"/>
          <w:lang w:val="es-419"/>
        </w:rPr>
        <w:t>Comité de Desarrollo y Propiedad Intelectual (CDIP)</w:t>
      </w:r>
    </w:p>
    <w:p w14:paraId="48263D54" w14:textId="77777777" w:rsidR="005B2EAE" w:rsidRPr="006A553A" w:rsidRDefault="00DF13F9" w:rsidP="005B2EAE">
      <w:pPr>
        <w:outlineLvl w:val="1"/>
        <w:rPr>
          <w:b/>
          <w:sz w:val="24"/>
          <w:szCs w:val="24"/>
          <w:lang w:val="es-419"/>
        </w:rPr>
      </w:pPr>
      <w:r w:rsidRPr="006A553A">
        <w:rPr>
          <w:b/>
          <w:sz w:val="24"/>
          <w:szCs w:val="24"/>
          <w:lang w:val="es-419"/>
        </w:rPr>
        <w:t xml:space="preserve">Trigésima primera </w:t>
      </w:r>
      <w:r w:rsidR="001A13E2" w:rsidRPr="006A553A">
        <w:rPr>
          <w:b/>
          <w:sz w:val="24"/>
          <w:szCs w:val="24"/>
          <w:lang w:val="es-419"/>
        </w:rPr>
        <w:t>s</w:t>
      </w:r>
      <w:r w:rsidR="00B67CDC" w:rsidRPr="006A553A">
        <w:rPr>
          <w:b/>
          <w:sz w:val="24"/>
          <w:szCs w:val="24"/>
          <w:lang w:val="es-419"/>
        </w:rPr>
        <w:t>esión</w:t>
      </w:r>
    </w:p>
    <w:p w14:paraId="7E0B8F50" w14:textId="77777777" w:rsidR="00B67CDC" w:rsidRPr="006A553A" w:rsidRDefault="00DF13F9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6A553A">
        <w:rPr>
          <w:b/>
          <w:sz w:val="24"/>
          <w:szCs w:val="24"/>
          <w:lang w:val="es-419"/>
        </w:rPr>
        <w:t xml:space="preserve">Ginebra, 27 de noviembre a </w:t>
      </w:r>
      <w:r w:rsidR="00AC1E2C" w:rsidRPr="006A553A">
        <w:rPr>
          <w:b/>
          <w:sz w:val="24"/>
          <w:szCs w:val="24"/>
          <w:lang w:val="es-419"/>
        </w:rPr>
        <w:t>1</w:t>
      </w:r>
      <w:r w:rsidRPr="006A553A">
        <w:rPr>
          <w:b/>
          <w:sz w:val="24"/>
          <w:szCs w:val="24"/>
          <w:lang w:val="es-419"/>
        </w:rPr>
        <w:t xml:space="preserve"> de diciembre de </w:t>
      </w:r>
      <w:r w:rsidR="00762AC6" w:rsidRPr="006A553A">
        <w:rPr>
          <w:b/>
          <w:sz w:val="24"/>
          <w:szCs w:val="24"/>
          <w:lang w:val="es-419"/>
        </w:rPr>
        <w:t>2023</w:t>
      </w:r>
    </w:p>
    <w:p w14:paraId="6AFDA240" w14:textId="4799966B" w:rsidR="004B2530" w:rsidRPr="006A553A" w:rsidRDefault="0071776A" w:rsidP="004B2530">
      <w:pPr>
        <w:spacing w:after="360"/>
        <w:rPr>
          <w:caps/>
          <w:sz w:val="24"/>
          <w:lang w:val="es-419"/>
        </w:rPr>
      </w:pPr>
      <w:r w:rsidRPr="006A553A">
        <w:rPr>
          <w:sz w:val="24"/>
          <w:lang w:val="es-419"/>
        </w:rPr>
        <w:t>COMPILACIÓN DE SUBTEMAS PROPUESTOS POR LOS ESTADOS MIEMBROS PARA LA CONFERENCIA INTERNACIONAL SOBRE PROPIEDAD INTELECTUAL Y DESARROLLO</w:t>
      </w:r>
    </w:p>
    <w:p w14:paraId="1F466F35" w14:textId="77777777" w:rsidR="004B2530" w:rsidRPr="006A553A" w:rsidRDefault="004B2530" w:rsidP="004B2530">
      <w:pPr>
        <w:spacing w:after="960"/>
        <w:rPr>
          <w:i/>
          <w:lang w:val="es-419"/>
        </w:rPr>
      </w:pPr>
      <w:bookmarkStart w:id="3" w:name="Prepared"/>
      <w:bookmarkEnd w:id="3"/>
      <w:r w:rsidRPr="006A553A">
        <w:rPr>
          <w:i/>
          <w:lang w:val="es-419"/>
        </w:rPr>
        <w:t>preparada por la Secretaría</w:t>
      </w:r>
    </w:p>
    <w:p w14:paraId="6C2504C4" w14:textId="793D190D" w:rsidR="004B2530" w:rsidRPr="006A553A" w:rsidRDefault="004B2530" w:rsidP="004B2530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contextualSpacing w:val="0"/>
        <w:rPr>
          <w:lang w:val="es-419"/>
        </w:rPr>
      </w:pPr>
      <w:r w:rsidRPr="006A553A">
        <w:rPr>
          <w:lang w:val="es-419"/>
        </w:rPr>
        <w:t xml:space="preserve">El CDIP, en su trigésima novena sesión, celebrada en octubre de 2022, decidió </w:t>
      </w:r>
      <w:r w:rsidR="0071776A" w:rsidRPr="006A553A">
        <w:rPr>
          <w:lang w:val="es-419"/>
        </w:rPr>
        <w:t>“</w:t>
      </w:r>
      <w:r w:rsidRPr="006A553A">
        <w:rPr>
          <w:lang w:val="es-419"/>
        </w:rPr>
        <w:t>convocar tres conferencias internacionales bienales sobre PI y Desarrollo, que serán consecutivas y tendrán un día de duración, empezando con el primer día de la 34.ª sesión del CDIP</w:t>
      </w:r>
      <w:r w:rsidR="0071776A" w:rsidRPr="006A553A">
        <w:rPr>
          <w:lang w:val="es-419"/>
        </w:rPr>
        <w:t>”</w:t>
      </w:r>
      <w:r w:rsidRPr="006A553A">
        <w:rPr>
          <w:lang w:val="es-419"/>
        </w:rPr>
        <w:t>.</w:t>
      </w:r>
    </w:p>
    <w:p w14:paraId="6334BC1A" w14:textId="77777777" w:rsidR="004B2530" w:rsidRPr="006A553A" w:rsidRDefault="004B2530" w:rsidP="004B2530">
      <w:pPr>
        <w:pStyle w:val="ListParagraph"/>
        <w:tabs>
          <w:tab w:val="left" w:pos="0"/>
        </w:tabs>
        <w:ind w:left="0"/>
        <w:contextualSpacing w:val="0"/>
        <w:rPr>
          <w:lang w:val="es-419"/>
        </w:rPr>
      </w:pPr>
    </w:p>
    <w:p w14:paraId="792116AC" w14:textId="3E40EBF6" w:rsidR="004B2530" w:rsidRPr="006A553A" w:rsidRDefault="004B2530" w:rsidP="004B2530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contextualSpacing w:val="0"/>
        <w:rPr>
          <w:lang w:val="es-419"/>
        </w:rPr>
      </w:pPr>
      <w:r w:rsidRPr="006A553A">
        <w:rPr>
          <w:lang w:val="es-419"/>
        </w:rPr>
        <w:t xml:space="preserve">En su trigésima sesión, al examinar la labor futura, el Comité decidió que las </w:t>
      </w:r>
      <w:r w:rsidR="007C5BCC" w:rsidRPr="006A553A">
        <w:rPr>
          <w:lang w:val="es-419"/>
        </w:rPr>
        <w:t>“</w:t>
      </w:r>
      <w:r w:rsidRPr="006A553A">
        <w:rPr>
          <w:lang w:val="es-419"/>
        </w:rPr>
        <w:t>propuestas relativas al subtema de la Conferencia Internacional sobre PI y Desarrollo que se celebrará en</w:t>
      </w:r>
      <w:r w:rsidR="003E5474" w:rsidRPr="006A553A">
        <w:rPr>
          <w:lang w:val="es-419"/>
        </w:rPr>
        <w:t> </w:t>
      </w:r>
      <w:r w:rsidRPr="006A553A">
        <w:rPr>
          <w:lang w:val="es-419"/>
        </w:rPr>
        <w:t>2025 deberán enviarse a la Secretaría.</w:t>
      </w:r>
      <w:r w:rsidR="007C5BCC" w:rsidRPr="006A553A">
        <w:rPr>
          <w:lang w:val="es-419"/>
        </w:rPr>
        <w:t>”</w:t>
      </w:r>
    </w:p>
    <w:p w14:paraId="056FAD8A" w14:textId="77777777" w:rsidR="004B2530" w:rsidRPr="006A553A" w:rsidRDefault="004B2530" w:rsidP="004B2530">
      <w:pPr>
        <w:pStyle w:val="ListParagraph"/>
        <w:tabs>
          <w:tab w:val="left" w:pos="0"/>
        </w:tabs>
        <w:ind w:left="0"/>
        <w:contextualSpacing w:val="0"/>
        <w:rPr>
          <w:lang w:val="es-419"/>
        </w:rPr>
      </w:pPr>
    </w:p>
    <w:p w14:paraId="28612DB9" w14:textId="77777777" w:rsidR="004B2530" w:rsidRPr="006A553A" w:rsidRDefault="004B2530" w:rsidP="004B2530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contextualSpacing w:val="0"/>
        <w:rPr>
          <w:lang w:val="es-419"/>
        </w:rPr>
      </w:pPr>
      <w:r w:rsidRPr="006A553A">
        <w:rPr>
          <w:lang w:val="es-419"/>
        </w:rPr>
        <w:t>En el Anexo del presente documento figura una compilación de las propuestas presentadas por los Estados miembros por orden de recepción por la Secretaría.</w:t>
      </w:r>
    </w:p>
    <w:p w14:paraId="3323DA97" w14:textId="77777777" w:rsidR="004B2530" w:rsidRPr="006A553A" w:rsidRDefault="004B2530" w:rsidP="003E5474">
      <w:pPr>
        <w:pStyle w:val="ListParagraph"/>
        <w:tabs>
          <w:tab w:val="left" w:pos="0"/>
        </w:tabs>
        <w:ind w:left="0"/>
        <w:contextualSpacing w:val="0"/>
        <w:rPr>
          <w:lang w:val="es-419"/>
        </w:rPr>
      </w:pPr>
    </w:p>
    <w:p w14:paraId="0185982B" w14:textId="77777777" w:rsidR="004B2530" w:rsidRPr="006A553A" w:rsidRDefault="004B2530" w:rsidP="003E5474">
      <w:pPr>
        <w:pStyle w:val="ListParagraph"/>
        <w:numPr>
          <w:ilvl w:val="0"/>
          <w:numId w:val="7"/>
        </w:numPr>
        <w:tabs>
          <w:tab w:val="left" w:pos="567"/>
          <w:tab w:val="left" w:pos="6096"/>
        </w:tabs>
        <w:ind w:left="5490" w:firstLine="0"/>
        <w:rPr>
          <w:rStyle w:val="ONUMFSChar"/>
          <w:i/>
          <w:lang w:val="es-419"/>
        </w:rPr>
      </w:pPr>
      <w:r w:rsidRPr="006A553A">
        <w:rPr>
          <w:i/>
          <w:lang w:val="es-419"/>
        </w:rPr>
        <w:t>Se invita al Comité a examinar el Anexo del presente documento</w:t>
      </w:r>
      <w:r w:rsidRPr="006A553A">
        <w:rPr>
          <w:rStyle w:val="ONUMFSChar"/>
          <w:i/>
          <w:lang w:val="es-419"/>
        </w:rPr>
        <w:t>.</w:t>
      </w:r>
    </w:p>
    <w:p w14:paraId="7D2B5DC5" w14:textId="77777777" w:rsidR="004B2530" w:rsidRPr="006A553A" w:rsidRDefault="004B2530" w:rsidP="004B2530">
      <w:pPr>
        <w:rPr>
          <w:lang w:val="es-419"/>
        </w:rPr>
      </w:pPr>
    </w:p>
    <w:p w14:paraId="03B93898" w14:textId="77777777" w:rsidR="004B2530" w:rsidRPr="006A553A" w:rsidRDefault="004B2530" w:rsidP="004B2530">
      <w:pPr>
        <w:rPr>
          <w:lang w:val="es-419"/>
        </w:rPr>
      </w:pPr>
    </w:p>
    <w:p w14:paraId="73BCDF21" w14:textId="77777777" w:rsidR="004B2530" w:rsidRPr="006A553A" w:rsidRDefault="004B2530" w:rsidP="004B2530">
      <w:pPr>
        <w:rPr>
          <w:lang w:val="es-419"/>
        </w:rPr>
      </w:pPr>
    </w:p>
    <w:p w14:paraId="2FC8F2DE" w14:textId="77777777" w:rsidR="004B2530" w:rsidRPr="006A553A" w:rsidRDefault="004B2530" w:rsidP="004B2530">
      <w:pPr>
        <w:pStyle w:val="Endofdocument-Annex"/>
        <w:rPr>
          <w:lang w:val="es-419"/>
        </w:rPr>
        <w:sectPr w:rsidR="004B2530" w:rsidRPr="006A553A" w:rsidSect="004B25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6A553A">
        <w:rPr>
          <w:lang w:val="es-419"/>
        </w:rPr>
        <w:t>[Sigue el Anexo</w:t>
      </w:r>
      <w:bookmarkStart w:id="4" w:name="_Hlk146553580"/>
      <w:r w:rsidRPr="006A553A">
        <w:rPr>
          <w:lang w:val="es-419"/>
        </w:rPr>
        <w:t>]</w:t>
      </w:r>
      <w:bookmarkEnd w:id="4"/>
    </w:p>
    <w:p w14:paraId="4B1A0E7B" w14:textId="77777777" w:rsidR="004B2530" w:rsidRPr="006A553A" w:rsidRDefault="004B2530" w:rsidP="004B2530">
      <w:pPr>
        <w:rPr>
          <w:bCs/>
          <w:lang w:val="es-419"/>
        </w:rPr>
      </w:pPr>
      <w:r w:rsidRPr="006A553A">
        <w:rPr>
          <w:lang w:val="es-419"/>
        </w:rPr>
        <w:lastRenderedPageBreak/>
        <w:t>PROPUESTA DE LA DELEGACIÓN DEL BRASIL</w:t>
      </w:r>
    </w:p>
    <w:p w14:paraId="41AA6ABC" w14:textId="77777777" w:rsidR="004B2530" w:rsidRPr="006A553A" w:rsidRDefault="004B2530" w:rsidP="004B2530">
      <w:pPr>
        <w:rPr>
          <w:lang w:val="es-419"/>
        </w:rPr>
      </w:pPr>
    </w:p>
    <w:p w14:paraId="41CD9746" w14:textId="77777777" w:rsidR="004B2530" w:rsidRPr="006A553A" w:rsidRDefault="004B2530" w:rsidP="004B2530">
      <w:pPr>
        <w:pStyle w:val="ListParagraph"/>
        <w:numPr>
          <w:ilvl w:val="0"/>
          <w:numId w:val="8"/>
        </w:numPr>
        <w:rPr>
          <w:b/>
          <w:bCs/>
          <w:i/>
          <w:iCs/>
          <w:szCs w:val="22"/>
          <w:lang w:val="es-419"/>
        </w:rPr>
      </w:pPr>
      <w:r w:rsidRPr="006A553A">
        <w:rPr>
          <w:b/>
          <w:i/>
          <w:lang w:val="es-419"/>
        </w:rPr>
        <w:t>Economía creativa en la nueva era digital: la PI como instrumento para el desarrollo</w:t>
      </w:r>
    </w:p>
    <w:p w14:paraId="07311E44" w14:textId="77777777" w:rsidR="004B2530" w:rsidRPr="006A553A" w:rsidRDefault="004B2530" w:rsidP="004B2530">
      <w:pPr>
        <w:spacing w:before="100" w:beforeAutospacing="1" w:after="100" w:afterAutospacing="1"/>
        <w:rPr>
          <w:bCs/>
          <w:szCs w:val="22"/>
          <w:lang w:val="es-419"/>
        </w:rPr>
      </w:pPr>
      <w:r w:rsidRPr="006A553A">
        <w:rPr>
          <w:rStyle w:val="colour"/>
          <w:lang w:val="es-419"/>
        </w:rPr>
        <w:t>PROPUESTAS DEL GRUPO B</w:t>
      </w:r>
    </w:p>
    <w:p w14:paraId="0262D546" w14:textId="7546A3E4" w:rsidR="004B2530" w:rsidRPr="006A553A" w:rsidRDefault="004B2530" w:rsidP="004B2530">
      <w:pPr>
        <w:pStyle w:val="ListParagraph"/>
        <w:numPr>
          <w:ilvl w:val="0"/>
          <w:numId w:val="8"/>
        </w:numPr>
        <w:rPr>
          <w:szCs w:val="22"/>
          <w:lang w:val="es-419"/>
        </w:rPr>
      </w:pPr>
      <w:r w:rsidRPr="006A553A">
        <w:rPr>
          <w:b/>
          <w:i/>
          <w:lang w:val="es-419"/>
        </w:rPr>
        <w:t>Propuesta 1</w:t>
      </w:r>
      <w:r w:rsidR="00B6065A" w:rsidRPr="006A553A">
        <w:rPr>
          <w:b/>
          <w:i/>
          <w:lang w:val="es-419"/>
        </w:rPr>
        <w:t xml:space="preserve">: </w:t>
      </w:r>
      <w:r w:rsidRPr="006A553A">
        <w:rPr>
          <w:b/>
          <w:i/>
          <w:lang w:val="es-419"/>
        </w:rPr>
        <w:t xml:space="preserve">Transferencias verticales de tecnología: </w:t>
      </w:r>
      <w:r w:rsidR="00FD539C" w:rsidRPr="006A553A">
        <w:rPr>
          <w:b/>
          <w:i/>
          <w:lang w:val="es-419"/>
        </w:rPr>
        <w:t>l</w:t>
      </w:r>
      <w:r w:rsidRPr="006A553A">
        <w:rPr>
          <w:b/>
          <w:i/>
          <w:lang w:val="es-419"/>
        </w:rPr>
        <w:t>a colaboración entre la enseñanza superior y el sector privado y la función facilitadora de los marcos de PI</w:t>
      </w:r>
    </w:p>
    <w:p w14:paraId="249C853F" w14:textId="5279A900" w:rsidR="004B2530" w:rsidRPr="006A553A" w:rsidRDefault="004B2530" w:rsidP="004B2530">
      <w:pPr>
        <w:pStyle w:val="ListParagraph"/>
        <w:spacing w:before="100" w:beforeAutospacing="1" w:after="240"/>
        <w:ind w:left="0"/>
        <w:contextualSpacing w:val="0"/>
        <w:rPr>
          <w:color w:val="000000"/>
          <w:szCs w:val="22"/>
          <w:lang w:val="es-419"/>
        </w:rPr>
      </w:pPr>
      <w:r w:rsidRPr="006A553A">
        <w:rPr>
          <w:color w:val="000000"/>
          <w:u w:val="single"/>
          <w:lang w:val="es-419"/>
        </w:rPr>
        <w:t>Comentario del Grupo B</w:t>
      </w:r>
      <w:r w:rsidR="00B6065A" w:rsidRPr="006A553A">
        <w:rPr>
          <w:color w:val="000000"/>
          <w:u w:val="single"/>
          <w:lang w:val="es-419"/>
        </w:rPr>
        <w:t xml:space="preserve">: </w:t>
      </w:r>
    </w:p>
    <w:p w14:paraId="23B078D0" w14:textId="31F771C8" w:rsidR="004B2530" w:rsidRPr="006A553A" w:rsidRDefault="004B2530" w:rsidP="004B2530">
      <w:pPr>
        <w:rPr>
          <w:lang w:val="es-419"/>
        </w:rPr>
      </w:pPr>
      <w:r w:rsidRPr="006A553A">
        <w:rPr>
          <w:lang w:val="es-419"/>
        </w:rPr>
        <w:t xml:space="preserve">Habida cuenta de los temas propuestos para el punto del orden del día </w:t>
      </w:r>
      <w:r w:rsidR="0071776A" w:rsidRPr="006A553A">
        <w:rPr>
          <w:lang w:val="es-419"/>
        </w:rPr>
        <w:t>“</w:t>
      </w:r>
      <w:r w:rsidRPr="006A553A">
        <w:rPr>
          <w:lang w:val="es-419"/>
        </w:rPr>
        <w:t>PI y desarrollo</w:t>
      </w:r>
      <w:r w:rsidR="0071776A" w:rsidRPr="006A553A">
        <w:rPr>
          <w:lang w:val="es-419"/>
        </w:rPr>
        <w:t>”</w:t>
      </w:r>
      <w:r w:rsidRPr="006A553A">
        <w:rPr>
          <w:lang w:val="es-419"/>
        </w:rPr>
        <w:t>, parece haber interés en el ámbito de la PI y la juventud, la PI y la educación, y la PI y las pequeñas empresas</w:t>
      </w:r>
      <w:r w:rsidR="00A914C4" w:rsidRPr="006A553A">
        <w:rPr>
          <w:lang w:val="es-419"/>
        </w:rPr>
        <w:t xml:space="preserve">. </w:t>
      </w:r>
      <w:r w:rsidRPr="006A553A">
        <w:rPr>
          <w:lang w:val="es-419"/>
        </w:rPr>
        <w:t>Una conferencia internacional que invite a presentar ponencias sobre transferencias verticales de tecnología entre las universidades y el sector privado tendría el potencial de combinar las cuestiones relacionadas con la PI y la educación, la juventud y las pequeñas empresas</w:t>
      </w:r>
      <w:r w:rsidR="00A914C4" w:rsidRPr="006A553A">
        <w:rPr>
          <w:lang w:val="es-419"/>
        </w:rPr>
        <w:t xml:space="preserve">. </w:t>
      </w:r>
      <w:r w:rsidRPr="006A553A">
        <w:rPr>
          <w:lang w:val="es-419"/>
        </w:rPr>
        <w:t>Sería beneficioso para los Estados miembros conocer cómo gestionan los distintos países la transferencia vertical de tecnología mediante distintos niveles de intervención</w:t>
      </w:r>
      <w:r w:rsidR="00A914C4" w:rsidRPr="006A553A">
        <w:rPr>
          <w:lang w:val="es-419"/>
        </w:rPr>
        <w:t xml:space="preserve">. </w:t>
      </w:r>
      <w:r w:rsidRPr="006A553A">
        <w:rPr>
          <w:lang w:val="es-419"/>
        </w:rPr>
        <w:t xml:space="preserve">El formato de la conferencia también permitiría a otras partes interesadas en esos regímenes de transferencia de tecnología (oficinas de transferencia de tecnología de universidades, investigadores y el sector privado) intercambiar experiencias y transmitir lo que consideran ámbitos susceptibles de mejora. </w:t>
      </w:r>
    </w:p>
    <w:p w14:paraId="44179383" w14:textId="77777777" w:rsidR="004B2530" w:rsidRPr="006A553A" w:rsidRDefault="004B2530" w:rsidP="004B2530">
      <w:pPr>
        <w:pStyle w:val="ListParagraph"/>
        <w:jc w:val="both"/>
        <w:rPr>
          <w:lang w:val="es-419"/>
        </w:rPr>
      </w:pPr>
    </w:p>
    <w:p w14:paraId="5782DB29" w14:textId="7FFCBF6C" w:rsidR="004B2530" w:rsidRPr="006A553A" w:rsidRDefault="004B2530" w:rsidP="004B2530">
      <w:pPr>
        <w:pStyle w:val="ListParagraph"/>
        <w:numPr>
          <w:ilvl w:val="0"/>
          <w:numId w:val="8"/>
        </w:numPr>
        <w:rPr>
          <w:b/>
          <w:i/>
          <w:szCs w:val="22"/>
          <w:lang w:val="es-419"/>
        </w:rPr>
      </w:pPr>
      <w:r w:rsidRPr="006A553A">
        <w:rPr>
          <w:b/>
          <w:i/>
          <w:lang w:val="es-419"/>
        </w:rPr>
        <w:t>Propuesta 2</w:t>
      </w:r>
      <w:r w:rsidR="00B6065A" w:rsidRPr="006A553A">
        <w:rPr>
          <w:b/>
          <w:i/>
          <w:lang w:val="es-419"/>
        </w:rPr>
        <w:t xml:space="preserve">: </w:t>
      </w:r>
      <w:r w:rsidRPr="006A553A">
        <w:rPr>
          <w:b/>
          <w:i/>
          <w:lang w:val="es-419"/>
        </w:rPr>
        <w:t>Cómo lograr que la generación joven se implique en la PI: educación y formación sobre PI en escuelas y universidades, concienciación sobre los derechos de PI en la infancia y la juventud</w:t>
      </w:r>
    </w:p>
    <w:p w14:paraId="521E942D" w14:textId="77777777" w:rsidR="004B2530" w:rsidRPr="006A553A" w:rsidRDefault="004B2530" w:rsidP="004B2530">
      <w:pPr>
        <w:pStyle w:val="ListParagraph"/>
        <w:rPr>
          <w:b/>
          <w:i/>
          <w:szCs w:val="22"/>
          <w:lang w:val="es-419"/>
        </w:rPr>
      </w:pPr>
    </w:p>
    <w:p w14:paraId="7A276BD8" w14:textId="61128543" w:rsidR="004B2530" w:rsidRPr="006A553A" w:rsidRDefault="004B2530" w:rsidP="004B2530">
      <w:pPr>
        <w:rPr>
          <w:color w:val="000000"/>
          <w:szCs w:val="22"/>
          <w:lang w:val="es-419"/>
        </w:rPr>
      </w:pPr>
      <w:r w:rsidRPr="006A553A">
        <w:rPr>
          <w:color w:val="000000"/>
          <w:u w:val="single"/>
          <w:lang w:val="es-419"/>
        </w:rPr>
        <w:t>Comentario del Grupo B</w:t>
      </w:r>
      <w:r w:rsidR="00B6065A" w:rsidRPr="006A553A">
        <w:rPr>
          <w:color w:val="000000"/>
          <w:u w:val="single"/>
          <w:lang w:val="es-419"/>
        </w:rPr>
        <w:t xml:space="preserve">: </w:t>
      </w:r>
    </w:p>
    <w:p w14:paraId="55613414" w14:textId="77777777" w:rsidR="004B2530" w:rsidRPr="006A553A" w:rsidRDefault="004B2530" w:rsidP="004B2530">
      <w:pPr>
        <w:pStyle w:val="ListParagraph"/>
        <w:rPr>
          <w:b/>
          <w:i/>
          <w:szCs w:val="22"/>
          <w:lang w:val="es-419"/>
        </w:rPr>
      </w:pPr>
    </w:p>
    <w:p w14:paraId="0D17D1CA" w14:textId="42A52825" w:rsidR="004B2530" w:rsidRPr="006A553A" w:rsidRDefault="004B2530" w:rsidP="004B2530">
      <w:pPr>
        <w:rPr>
          <w:lang w:val="es-419"/>
        </w:rPr>
      </w:pPr>
      <w:r w:rsidRPr="006A553A">
        <w:rPr>
          <w:lang w:val="es-419"/>
        </w:rPr>
        <w:t>Tema antiguo que puede ser objeto de apoyo</w:t>
      </w:r>
      <w:r w:rsidR="00A914C4" w:rsidRPr="006A553A">
        <w:rPr>
          <w:lang w:val="es-419"/>
        </w:rPr>
        <w:t xml:space="preserve">. </w:t>
      </w:r>
      <w:r w:rsidRPr="006A553A">
        <w:rPr>
          <w:lang w:val="es-419"/>
        </w:rPr>
        <w:t>Es fundamental fomentar la sensibilidad hacia la PI para que se integre en el uso cotidiano y se reconozca la necesidad de proteger los derechos de PI</w:t>
      </w:r>
      <w:r w:rsidR="00A914C4" w:rsidRPr="006A553A">
        <w:rPr>
          <w:lang w:val="es-419"/>
        </w:rPr>
        <w:t xml:space="preserve">. </w:t>
      </w:r>
      <w:r w:rsidRPr="006A553A">
        <w:rPr>
          <w:lang w:val="es-419"/>
        </w:rPr>
        <w:t>Sería útil examinar cómo se integra la PI en los planes de estudios de las escuelas y universidades y cómo se presentan los temas en función del nivel educativo</w:t>
      </w:r>
      <w:r w:rsidR="00A914C4" w:rsidRPr="006A553A">
        <w:rPr>
          <w:lang w:val="es-419"/>
        </w:rPr>
        <w:t xml:space="preserve">. </w:t>
      </w:r>
      <w:r w:rsidRPr="006A553A">
        <w:rPr>
          <w:lang w:val="es-419"/>
        </w:rPr>
        <w:t>Los estudiantes universitarios y los investigadores no sólo producen de manera periódica innovaciones patentables, sino también obras literarias y artísticas o crean sus propias empresas</w:t>
      </w:r>
      <w:r w:rsidR="00A914C4" w:rsidRPr="006A553A">
        <w:rPr>
          <w:lang w:val="es-419"/>
        </w:rPr>
        <w:t xml:space="preserve">. </w:t>
      </w:r>
      <w:r w:rsidRPr="006A553A">
        <w:rPr>
          <w:lang w:val="es-419"/>
        </w:rPr>
        <w:t xml:space="preserve">Teniendo esto en cuenta, un enfoque sólido de la educación en PI puede contribuir a que los estudiantes no se vean </w:t>
      </w:r>
      <w:r w:rsidR="00A914C4" w:rsidRPr="006A553A">
        <w:rPr>
          <w:lang w:val="es-419"/>
        </w:rPr>
        <w:t>sorprendidos</w:t>
      </w:r>
      <w:r w:rsidRPr="006A553A">
        <w:rPr>
          <w:lang w:val="es-419"/>
        </w:rPr>
        <w:t xml:space="preserve"> por el marco de la PI.</w:t>
      </w:r>
    </w:p>
    <w:p w14:paraId="65D7E2C9" w14:textId="77777777" w:rsidR="004B2530" w:rsidRPr="006A553A" w:rsidRDefault="004B2530" w:rsidP="004B2530">
      <w:pPr>
        <w:rPr>
          <w:lang w:val="es-419"/>
        </w:rPr>
      </w:pPr>
    </w:p>
    <w:p w14:paraId="26241FE6" w14:textId="7B39665D" w:rsidR="004B2530" w:rsidRPr="006A553A" w:rsidRDefault="004B2530" w:rsidP="004B2530">
      <w:pPr>
        <w:pStyle w:val="ListParagraph"/>
        <w:numPr>
          <w:ilvl w:val="0"/>
          <w:numId w:val="8"/>
        </w:numPr>
        <w:rPr>
          <w:b/>
          <w:i/>
          <w:szCs w:val="22"/>
          <w:lang w:val="es-419"/>
        </w:rPr>
      </w:pPr>
      <w:r w:rsidRPr="006A553A">
        <w:rPr>
          <w:b/>
          <w:i/>
          <w:lang w:val="es-419"/>
        </w:rPr>
        <w:t>Propuesta 3</w:t>
      </w:r>
      <w:r w:rsidR="00B6065A" w:rsidRPr="006A553A">
        <w:rPr>
          <w:b/>
          <w:i/>
          <w:lang w:val="es-419"/>
        </w:rPr>
        <w:t xml:space="preserve">: </w:t>
      </w:r>
      <w:r w:rsidRPr="006A553A">
        <w:rPr>
          <w:b/>
          <w:i/>
          <w:lang w:val="es-419"/>
        </w:rPr>
        <w:t>La PI y la financiación de las mipymes</w:t>
      </w:r>
    </w:p>
    <w:p w14:paraId="52E87D17" w14:textId="77777777" w:rsidR="004B2530" w:rsidRPr="006A553A" w:rsidRDefault="004B2530" w:rsidP="004B2530">
      <w:pPr>
        <w:pStyle w:val="ListParagraph"/>
        <w:rPr>
          <w:b/>
          <w:i/>
          <w:szCs w:val="22"/>
          <w:lang w:val="es-419"/>
        </w:rPr>
      </w:pPr>
    </w:p>
    <w:p w14:paraId="3C13C096" w14:textId="2F69F259" w:rsidR="004B2530" w:rsidRPr="006A553A" w:rsidRDefault="004B2530" w:rsidP="004B2530">
      <w:pPr>
        <w:rPr>
          <w:color w:val="000000"/>
          <w:szCs w:val="22"/>
          <w:lang w:val="es-419"/>
        </w:rPr>
      </w:pPr>
      <w:r w:rsidRPr="006A553A">
        <w:rPr>
          <w:color w:val="000000"/>
          <w:u w:val="single"/>
          <w:lang w:val="es-419"/>
        </w:rPr>
        <w:t>Comentario del Grupo B</w:t>
      </w:r>
      <w:r w:rsidR="00B6065A" w:rsidRPr="006A553A">
        <w:rPr>
          <w:color w:val="000000"/>
          <w:u w:val="single"/>
          <w:lang w:val="es-419"/>
        </w:rPr>
        <w:t xml:space="preserve">: </w:t>
      </w:r>
    </w:p>
    <w:p w14:paraId="5CCFFD2D" w14:textId="77777777" w:rsidR="004B2530" w:rsidRPr="006A553A" w:rsidRDefault="004B2530" w:rsidP="004B2530">
      <w:pPr>
        <w:rPr>
          <w:lang w:val="es-419"/>
        </w:rPr>
      </w:pPr>
    </w:p>
    <w:p w14:paraId="32309A83" w14:textId="236E4A91" w:rsidR="004B2530" w:rsidRPr="006A553A" w:rsidRDefault="004B2530" w:rsidP="004B2530">
      <w:pPr>
        <w:rPr>
          <w:lang w:val="es-419"/>
        </w:rPr>
      </w:pPr>
      <w:r w:rsidRPr="006A553A">
        <w:rPr>
          <w:lang w:val="es-419"/>
        </w:rPr>
        <w:t>Sobre la base de la propuesta presentada por el Grupo B en 2022, «PI y finanzas»</w:t>
      </w:r>
      <w:r w:rsidR="00A914C4" w:rsidRPr="006A553A">
        <w:rPr>
          <w:lang w:val="es-419"/>
        </w:rPr>
        <w:t xml:space="preserve">. </w:t>
      </w:r>
      <w:r w:rsidRPr="006A553A">
        <w:rPr>
          <w:lang w:val="es-419"/>
        </w:rPr>
        <w:t>El Grupo B considera que este subtema puede proporcionar un medio para examinar una variedad de cuestiones de interés para los Estados miembros en desarrollo y para los desarrollados</w:t>
      </w:r>
      <w:r w:rsidR="00A914C4" w:rsidRPr="006A553A">
        <w:rPr>
          <w:lang w:val="es-419"/>
        </w:rPr>
        <w:t xml:space="preserve">. </w:t>
      </w:r>
      <w:r w:rsidRPr="006A553A">
        <w:rPr>
          <w:lang w:val="es-419"/>
        </w:rPr>
        <w:t xml:space="preserve">El Grupo B propone que, en relación con este subtema, se definan en sentido amplio los términos </w:t>
      </w:r>
      <w:r w:rsidR="0071776A" w:rsidRPr="006A553A">
        <w:rPr>
          <w:lang w:val="es-419"/>
        </w:rPr>
        <w:t>“</w:t>
      </w:r>
      <w:r w:rsidRPr="006A553A">
        <w:rPr>
          <w:lang w:val="es-419"/>
        </w:rPr>
        <w:t>activos de PI</w:t>
      </w:r>
      <w:r w:rsidR="0071776A" w:rsidRPr="006A553A">
        <w:rPr>
          <w:lang w:val="es-419"/>
        </w:rPr>
        <w:t>”</w:t>
      </w:r>
      <w:r w:rsidRPr="006A553A">
        <w:rPr>
          <w:lang w:val="es-419"/>
        </w:rPr>
        <w:t xml:space="preserve"> o </w:t>
      </w:r>
      <w:r w:rsidR="0071776A" w:rsidRPr="006A553A">
        <w:rPr>
          <w:lang w:val="es-419"/>
        </w:rPr>
        <w:t>“</w:t>
      </w:r>
      <w:r w:rsidRPr="006A553A">
        <w:rPr>
          <w:lang w:val="es-419"/>
        </w:rPr>
        <w:t>innovación</w:t>
      </w:r>
      <w:r w:rsidR="0071776A" w:rsidRPr="006A553A">
        <w:rPr>
          <w:lang w:val="es-419"/>
        </w:rPr>
        <w:t>”</w:t>
      </w:r>
      <w:r w:rsidRPr="006A553A">
        <w:rPr>
          <w:lang w:val="es-419"/>
        </w:rPr>
        <w:t xml:space="preserve"> a los fines de la Conferencia (por ejemplo, que abarquen no solo la actividad de concesión de patentes sino también la imagen de marca o las marcas)</w:t>
      </w:r>
      <w:r w:rsidR="00B6065A" w:rsidRPr="006A553A">
        <w:rPr>
          <w:lang w:val="es-419"/>
        </w:rPr>
        <w:t xml:space="preserve">. </w:t>
      </w:r>
      <w:r w:rsidRPr="006A553A">
        <w:rPr>
          <w:lang w:val="es-419"/>
        </w:rPr>
        <w:t xml:space="preserve">Igualmente, el término </w:t>
      </w:r>
      <w:r w:rsidR="0071776A" w:rsidRPr="006A553A">
        <w:rPr>
          <w:lang w:val="es-419"/>
        </w:rPr>
        <w:t>“</w:t>
      </w:r>
      <w:r w:rsidRPr="006A553A">
        <w:rPr>
          <w:lang w:val="es-419"/>
        </w:rPr>
        <w:t>finanzas</w:t>
      </w:r>
      <w:r w:rsidR="0071776A" w:rsidRPr="006A553A">
        <w:rPr>
          <w:lang w:val="es-419"/>
        </w:rPr>
        <w:t>”</w:t>
      </w:r>
      <w:r w:rsidRPr="006A553A">
        <w:rPr>
          <w:lang w:val="es-419"/>
        </w:rPr>
        <w:t xml:space="preserve"> también puede definirse ampliamente de modo que el subtema tenga un alcance extenso e interregional y sea aplicable a los Estados miembros en desarrollo o menos adelantados, centrándose posiblemente en las mipymes</w:t>
      </w:r>
      <w:r w:rsidR="00A914C4" w:rsidRPr="006A553A">
        <w:rPr>
          <w:lang w:val="es-419"/>
        </w:rPr>
        <w:t xml:space="preserve">. </w:t>
      </w:r>
      <w:r w:rsidRPr="006A553A">
        <w:rPr>
          <w:lang w:val="es-419"/>
        </w:rPr>
        <w:t xml:space="preserve">El Grupo B señala que la Secretaría cuenta con un programa incipiente y de tamaño reducido sobre la </w:t>
      </w:r>
      <w:r w:rsidRPr="006A553A">
        <w:rPr>
          <w:lang w:val="es-419"/>
        </w:rPr>
        <w:lastRenderedPageBreak/>
        <w:t xml:space="preserve">financiación respaldada por la PI (véase, por ejemplo, </w:t>
      </w:r>
      <w:hyperlink r:id="rId15" w:history="1">
        <w:r w:rsidR="00A914C4" w:rsidRPr="006A553A">
          <w:rPr>
            <w:rStyle w:val="Hyperlink"/>
            <w:lang w:val="es-419"/>
          </w:rPr>
          <w:t>www.wipo.int/sme/es/news/2021/news_0006.html</w:t>
        </w:r>
      </w:hyperlink>
      <w:r w:rsidRPr="006A553A">
        <w:rPr>
          <w:lang w:val="es-419"/>
        </w:rPr>
        <w:t>), por lo que, a los fines del subtema, podría aprovecharse el interés y la experiencia de la Secretaría y su red de contactos.</w:t>
      </w:r>
      <w:r w:rsidR="009272A5" w:rsidRPr="006A553A">
        <w:rPr>
          <w:rStyle w:val="FootnoteReference"/>
          <w:lang w:val="es-419"/>
        </w:rPr>
        <w:footnoteReference w:id="2"/>
      </w:r>
    </w:p>
    <w:p w14:paraId="4B5F2613" w14:textId="77777777" w:rsidR="004B2530" w:rsidRPr="006A553A" w:rsidRDefault="004B2530" w:rsidP="004B2530">
      <w:pPr>
        <w:rPr>
          <w:bCs/>
          <w:lang w:val="es-419"/>
        </w:rPr>
      </w:pPr>
    </w:p>
    <w:p w14:paraId="1C4471C2" w14:textId="77777777" w:rsidR="004B2530" w:rsidRPr="006A553A" w:rsidRDefault="004B2530" w:rsidP="004B2530">
      <w:pPr>
        <w:rPr>
          <w:bCs/>
          <w:lang w:val="es-419"/>
        </w:rPr>
      </w:pPr>
      <w:r w:rsidRPr="006A553A">
        <w:rPr>
          <w:lang w:val="es-419"/>
        </w:rPr>
        <w:t>PROPUESTA DE LA DELEGACIÓN DE POLONIA</w:t>
      </w:r>
    </w:p>
    <w:p w14:paraId="08CCE490" w14:textId="77777777" w:rsidR="004B2530" w:rsidRPr="006A553A" w:rsidRDefault="004B2530" w:rsidP="004B2530">
      <w:pPr>
        <w:rPr>
          <w:bCs/>
          <w:lang w:val="es-419"/>
        </w:rPr>
      </w:pPr>
    </w:p>
    <w:p w14:paraId="37692DEC" w14:textId="77777777" w:rsidR="004B2530" w:rsidRPr="006A553A" w:rsidRDefault="004B2530" w:rsidP="004B2530">
      <w:pPr>
        <w:pStyle w:val="ListParagraph"/>
        <w:numPr>
          <w:ilvl w:val="0"/>
          <w:numId w:val="8"/>
        </w:numPr>
        <w:rPr>
          <w:b/>
          <w:i/>
          <w:lang w:val="es-419"/>
        </w:rPr>
      </w:pPr>
      <w:r w:rsidRPr="006A553A">
        <w:rPr>
          <w:b/>
          <w:i/>
          <w:lang w:val="es-419"/>
        </w:rPr>
        <w:t>La PI y las mentes creativas: captar el futuro de la creatividad mediante la PI</w:t>
      </w:r>
    </w:p>
    <w:p w14:paraId="591386C2" w14:textId="77777777" w:rsidR="004B2530" w:rsidRPr="006A553A" w:rsidRDefault="004B2530" w:rsidP="004B2530">
      <w:pPr>
        <w:pStyle w:val="ListParagraph"/>
        <w:rPr>
          <w:lang w:val="es-419"/>
        </w:rPr>
      </w:pPr>
    </w:p>
    <w:p w14:paraId="5D259A04" w14:textId="55A70621" w:rsidR="004B2530" w:rsidRPr="006A553A" w:rsidRDefault="004B2530" w:rsidP="004B2530">
      <w:pPr>
        <w:rPr>
          <w:color w:val="000000"/>
          <w:szCs w:val="22"/>
          <w:lang w:val="es-419"/>
        </w:rPr>
      </w:pPr>
      <w:r w:rsidRPr="006A553A">
        <w:rPr>
          <w:color w:val="000000"/>
          <w:u w:val="single"/>
          <w:lang w:val="es-419"/>
        </w:rPr>
        <w:t>Comentario de la delegación de Polonia</w:t>
      </w:r>
      <w:r w:rsidR="00B6065A" w:rsidRPr="006A553A">
        <w:rPr>
          <w:color w:val="000000"/>
          <w:u w:val="single"/>
          <w:lang w:val="es-419"/>
        </w:rPr>
        <w:t xml:space="preserve">: </w:t>
      </w:r>
    </w:p>
    <w:p w14:paraId="0692679E" w14:textId="77777777" w:rsidR="004B2530" w:rsidRPr="006A553A" w:rsidRDefault="004B2530" w:rsidP="004B2530">
      <w:pPr>
        <w:ind w:left="720"/>
        <w:rPr>
          <w:color w:val="000000"/>
          <w:szCs w:val="22"/>
          <w:lang w:val="es-419"/>
        </w:rPr>
      </w:pPr>
    </w:p>
    <w:p w14:paraId="399DDBE9" w14:textId="77777777" w:rsidR="004B2530" w:rsidRPr="006A553A" w:rsidRDefault="004B2530" w:rsidP="004B2530">
      <w:pPr>
        <w:rPr>
          <w:lang w:val="es-419"/>
        </w:rPr>
      </w:pPr>
      <w:bookmarkStart w:id="5" w:name="_Hlk146113614"/>
      <w:r w:rsidRPr="006A553A">
        <w:rPr>
          <w:lang w:val="es-419"/>
        </w:rPr>
        <w:t>Aprender mutuamente (intercambio de prácticas y experiencias nacionales) sobre la manera de crear y aumentar la sensibilización sobre la PI entre las academias de bellas artes y los estudiantes de bellas artes, como reconocimiento de su papel en el crecimiento y el desarrollo de las industrias creativas en todo el mundo.</w:t>
      </w:r>
    </w:p>
    <w:p w14:paraId="780A465E" w14:textId="77777777" w:rsidR="004B2530" w:rsidRPr="006A553A" w:rsidRDefault="004B2530" w:rsidP="004B2530">
      <w:pPr>
        <w:rPr>
          <w:lang w:val="es-419"/>
        </w:rPr>
      </w:pPr>
    </w:p>
    <w:p w14:paraId="3D3A845A" w14:textId="77777777" w:rsidR="004B2530" w:rsidRPr="006A553A" w:rsidRDefault="004B2530" w:rsidP="004B2530">
      <w:pPr>
        <w:rPr>
          <w:bCs/>
          <w:lang w:val="es-419"/>
        </w:rPr>
      </w:pPr>
      <w:r w:rsidRPr="006A553A">
        <w:rPr>
          <w:lang w:val="es-419"/>
        </w:rPr>
        <w:t>PROPUESTA DE LA DELEGACIÓN DE ESLOVENIA</w:t>
      </w:r>
    </w:p>
    <w:p w14:paraId="08F44272" w14:textId="77777777" w:rsidR="004B2530" w:rsidRPr="006A553A" w:rsidRDefault="004B2530" w:rsidP="004B2530">
      <w:pPr>
        <w:rPr>
          <w:bCs/>
          <w:lang w:val="es-419"/>
        </w:rPr>
      </w:pPr>
    </w:p>
    <w:p w14:paraId="1DA5C969" w14:textId="224DBE0A" w:rsidR="004B2530" w:rsidRPr="006A553A" w:rsidRDefault="004B2530" w:rsidP="004B2530">
      <w:pPr>
        <w:pStyle w:val="ListParagraph"/>
        <w:numPr>
          <w:ilvl w:val="0"/>
          <w:numId w:val="8"/>
        </w:numPr>
        <w:rPr>
          <w:b/>
          <w:i/>
          <w:iCs/>
          <w:color w:val="000000" w:themeColor="text1"/>
          <w:szCs w:val="22"/>
          <w:lang w:val="es-419"/>
        </w:rPr>
      </w:pPr>
      <w:r w:rsidRPr="006A553A">
        <w:rPr>
          <w:b/>
          <w:i/>
          <w:lang w:val="es-419"/>
        </w:rPr>
        <w:t>Propuesta 1</w:t>
      </w:r>
      <w:r w:rsidR="00B6065A" w:rsidRPr="006A553A">
        <w:rPr>
          <w:b/>
          <w:i/>
          <w:lang w:val="es-419"/>
        </w:rPr>
        <w:t xml:space="preserve">: </w:t>
      </w:r>
      <w:r w:rsidRPr="006A553A">
        <w:rPr>
          <w:b/>
          <w:i/>
          <w:color w:val="000000" w:themeColor="text1"/>
          <w:lang w:val="es-419"/>
        </w:rPr>
        <w:t>La propiedad intelectual y la innovación en caso de desastres naturales</w:t>
      </w:r>
    </w:p>
    <w:p w14:paraId="7C2C8B3F" w14:textId="77777777" w:rsidR="004B2530" w:rsidRPr="006A553A" w:rsidRDefault="004B2530" w:rsidP="004B2530">
      <w:pPr>
        <w:pStyle w:val="ListParagraph"/>
        <w:rPr>
          <w:b/>
          <w:i/>
          <w:iCs/>
          <w:color w:val="000000" w:themeColor="text1"/>
          <w:szCs w:val="22"/>
          <w:lang w:val="es-419"/>
        </w:rPr>
      </w:pPr>
    </w:p>
    <w:p w14:paraId="53E6E260" w14:textId="21805452" w:rsidR="004B2530" w:rsidRPr="006A553A" w:rsidRDefault="004B2530" w:rsidP="004B2530">
      <w:pPr>
        <w:pStyle w:val="ListParagraph"/>
        <w:numPr>
          <w:ilvl w:val="0"/>
          <w:numId w:val="8"/>
        </w:numPr>
        <w:rPr>
          <w:b/>
          <w:i/>
          <w:iCs/>
          <w:color w:val="000000" w:themeColor="text1"/>
          <w:szCs w:val="22"/>
          <w:lang w:val="es-419"/>
        </w:rPr>
      </w:pPr>
      <w:r w:rsidRPr="006A553A">
        <w:rPr>
          <w:b/>
          <w:i/>
          <w:color w:val="000000" w:themeColor="text1"/>
          <w:lang w:val="es-419"/>
        </w:rPr>
        <w:t>Propuesta 2</w:t>
      </w:r>
      <w:r w:rsidR="00B6065A" w:rsidRPr="006A553A">
        <w:rPr>
          <w:b/>
          <w:i/>
          <w:color w:val="000000" w:themeColor="text1"/>
          <w:lang w:val="es-419"/>
        </w:rPr>
        <w:t xml:space="preserve">: </w:t>
      </w:r>
      <w:r w:rsidRPr="006A553A">
        <w:rPr>
          <w:b/>
          <w:i/>
          <w:color w:val="000000" w:themeColor="text1"/>
          <w:lang w:val="es-419"/>
        </w:rPr>
        <w:t>Propiedad intelectual y educación</w:t>
      </w:r>
    </w:p>
    <w:p w14:paraId="5B876BB1" w14:textId="77777777" w:rsidR="004B2530" w:rsidRPr="006A553A" w:rsidRDefault="004B2530" w:rsidP="004B2530">
      <w:pPr>
        <w:pStyle w:val="ListParagraph"/>
        <w:rPr>
          <w:b/>
          <w:i/>
          <w:iCs/>
          <w:color w:val="000000" w:themeColor="text1"/>
          <w:szCs w:val="22"/>
          <w:lang w:val="es-419"/>
        </w:rPr>
      </w:pPr>
    </w:p>
    <w:p w14:paraId="753B57F0" w14:textId="61CF303E" w:rsidR="004B2530" w:rsidRPr="006A553A" w:rsidRDefault="004B2530" w:rsidP="004B2530">
      <w:pPr>
        <w:pStyle w:val="ListParagraph"/>
        <w:numPr>
          <w:ilvl w:val="0"/>
          <w:numId w:val="8"/>
        </w:numPr>
        <w:rPr>
          <w:b/>
          <w:i/>
          <w:iCs/>
          <w:color w:val="000000" w:themeColor="text1"/>
          <w:szCs w:val="22"/>
          <w:lang w:val="es-419"/>
        </w:rPr>
      </w:pPr>
      <w:r w:rsidRPr="006A553A">
        <w:rPr>
          <w:b/>
          <w:i/>
          <w:color w:val="000000" w:themeColor="text1"/>
          <w:lang w:val="es-419"/>
        </w:rPr>
        <w:t>Propuesta 3</w:t>
      </w:r>
      <w:r w:rsidR="00B6065A" w:rsidRPr="006A553A">
        <w:rPr>
          <w:b/>
          <w:i/>
          <w:color w:val="000000" w:themeColor="text1"/>
          <w:lang w:val="es-419"/>
        </w:rPr>
        <w:t xml:space="preserve">: </w:t>
      </w:r>
      <w:r w:rsidRPr="006A553A">
        <w:rPr>
          <w:b/>
          <w:i/>
          <w:color w:val="000000" w:themeColor="text1"/>
          <w:lang w:val="es-419"/>
        </w:rPr>
        <w:t>La propiedad intelectual en el mundo digital</w:t>
      </w:r>
      <w:bookmarkEnd w:id="5"/>
    </w:p>
    <w:p w14:paraId="00A98EF3" w14:textId="77777777" w:rsidR="004B2530" w:rsidRPr="006A553A" w:rsidRDefault="004B2530" w:rsidP="004B2530">
      <w:pPr>
        <w:rPr>
          <w:lang w:val="es-419"/>
        </w:rPr>
      </w:pPr>
    </w:p>
    <w:p w14:paraId="03DD9E07" w14:textId="77777777" w:rsidR="004B2530" w:rsidRPr="006A553A" w:rsidRDefault="004B2530" w:rsidP="004B2530">
      <w:pPr>
        <w:rPr>
          <w:bCs/>
          <w:lang w:val="es-419"/>
        </w:rPr>
      </w:pPr>
      <w:r w:rsidRPr="006A553A">
        <w:rPr>
          <w:lang w:val="es-419"/>
        </w:rPr>
        <w:t>PROPUESTA DE LA DELEGACIÓN DEL REINO UNIDO</w:t>
      </w:r>
    </w:p>
    <w:p w14:paraId="68042A4A" w14:textId="77777777" w:rsidR="004B2530" w:rsidRPr="006A553A" w:rsidRDefault="004B2530" w:rsidP="004B2530">
      <w:pPr>
        <w:rPr>
          <w:lang w:val="es-419"/>
        </w:rPr>
      </w:pPr>
    </w:p>
    <w:p w14:paraId="02D7439E" w14:textId="77777777" w:rsidR="004B2530" w:rsidRPr="006A553A" w:rsidRDefault="004B2530" w:rsidP="004B2530">
      <w:pPr>
        <w:pStyle w:val="ListParagraph"/>
        <w:numPr>
          <w:ilvl w:val="0"/>
          <w:numId w:val="8"/>
        </w:numPr>
        <w:rPr>
          <w:b/>
          <w:i/>
          <w:iCs/>
          <w:szCs w:val="22"/>
          <w:lang w:val="es-419"/>
        </w:rPr>
      </w:pPr>
      <w:r w:rsidRPr="006A553A">
        <w:rPr>
          <w:b/>
          <w:i/>
          <w:lang w:val="es-419"/>
        </w:rPr>
        <w:t>La función de la PI a la hora de incentivar la innovación habilitada por la IA al servicio del desarrollo sostenible</w:t>
      </w:r>
    </w:p>
    <w:p w14:paraId="1749B9C0" w14:textId="77777777" w:rsidR="004B2530" w:rsidRPr="006A553A" w:rsidRDefault="004B2530" w:rsidP="004B2530">
      <w:pPr>
        <w:rPr>
          <w:lang w:val="es-419"/>
        </w:rPr>
      </w:pPr>
    </w:p>
    <w:p w14:paraId="0267BAD2" w14:textId="77777777" w:rsidR="004B2530" w:rsidRPr="006A553A" w:rsidRDefault="004B2530" w:rsidP="004B2530">
      <w:pPr>
        <w:rPr>
          <w:color w:val="000000"/>
          <w:szCs w:val="22"/>
          <w:u w:val="single"/>
          <w:lang w:val="es-419"/>
        </w:rPr>
      </w:pPr>
      <w:r w:rsidRPr="006A553A">
        <w:rPr>
          <w:color w:val="000000"/>
          <w:u w:val="single"/>
          <w:lang w:val="es-419"/>
        </w:rPr>
        <w:t>Comentario de la delegación del Reino Unido</w:t>
      </w:r>
    </w:p>
    <w:p w14:paraId="6076BA04" w14:textId="77777777" w:rsidR="004B2530" w:rsidRPr="006A553A" w:rsidRDefault="004B2530" w:rsidP="004B2530">
      <w:pPr>
        <w:rPr>
          <w:color w:val="000000"/>
          <w:szCs w:val="22"/>
          <w:u w:val="single"/>
          <w:lang w:val="es-419"/>
        </w:rPr>
      </w:pPr>
    </w:p>
    <w:p w14:paraId="45CB2058" w14:textId="094A90B9" w:rsidR="004B2530" w:rsidRPr="006A553A" w:rsidRDefault="004B2530" w:rsidP="004B2530">
      <w:pPr>
        <w:rPr>
          <w:rFonts w:ascii="Calibri" w:hAnsi="Calibri" w:cs="Calibri"/>
          <w:lang w:val="es-419"/>
        </w:rPr>
      </w:pPr>
      <w:r w:rsidRPr="006A553A">
        <w:rPr>
          <w:lang w:val="es-419"/>
        </w:rPr>
        <w:t>La innovación será fundamental a fin de enderezar el rumbo para alcanzar los Objetivos de Desarrollo Sostenible y resolver los retos mundiales más apremiantes</w:t>
      </w:r>
      <w:r w:rsidR="00A914C4" w:rsidRPr="006A553A">
        <w:rPr>
          <w:lang w:val="es-419"/>
        </w:rPr>
        <w:t xml:space="preserve">. </w:t>
      </w:r>
      <w:r w:rsidRPr="006A553A">
        <w:rPr>
          <w:lang w:val="es-419"/>
        </w:rPr>
        <w:t>La IA se utiliza cada vez más como herramienta en el proceso inventivo, y se han puesto de manifiesto experiencias de uso en diversos campos, como los diagnósticos y el descubrimiento de fármacos, la fabricación y la observación de la Tierra para la agricultura y la lucha contra el cambio climático.</w:t>
      </w:r>
    </w:p>
    <w:p w14:paraId="1CA4A83D" w14:textId="77777777" w:rsidR="004B2530" w:rsidRPr="006A553A" w:rsidRDefault="004B2530" w:rsidP="004B2530">
      <w:pPr>
        <w:ind w:left="360"/>
        <w:rPr>
          <w:lang w:val="es-419"/>
        </w:rPr>
      </w:pPr>
    </w:p>
    <w:p w14:paraId="3D3996E5" w14:textId="77777777" w:rsidR="00EA1A3C" w:rsidRPr="006A553A" w:rsidRDefault="004B2530" w:rsidP="00EA1A3C">
      <w:pPr>
        <w:rPr>
          <w:lang w:val="es-419"/>
        </w:rPr>
      </w:pPr>
      <w:r w:rsidRPr="006A553A">
        <w:rPr>
          <w:lang w:val="es-419"/>
        </w:rPr>
        <w:t xml:space="preserve">Sería útil debatir la función de la PI a la hora de ayudar a los innovadores a aprovechar el potencial de la IA al servicio del desarrollo sostenible, por medio de un debate en el que se intercambien experiencias y </w:t>
      </w:r>
      <w:r w:rsidR="00A914C4" w:rsidRPr="006A553A">
        <w:rPr>
          <w:lang w:val="es-419"/>
        </w:rPr>
        <w:t>desafíos</w:t>
      </w:r>
      <w:r w:rsidRPr="006A553A">
        <w:rPr>
          <w:lang w:val="es-419"/>
        </w:rPr>
        <w:t xml:space="preserve"> de los Estados miembros, se tenga en cuenta el papel de las distintas partes interesadas a la hora de apoyar el ecosistema de la innovación y las dificultades y consideraciones específicas que plantea la innovación habilitada por la IA.</w:t>
      </w:r>
      <w:r w:rsidR="00EA1A3C" w:rsidRPr="006A553A">
        <w:rPr>
          <w:lang w:val="es-419"/>
        </w:rPr>
        <w:t xml:space="preserve"> </w:t>
      </w:r>
    </w:p>
    <w:p w14:paraId="655E9A6B" w14:textId="77777777" w:rsidR="00EA1A3C" w:rsidRPr="006A553A" w:rsidRDefault="00EA1A3C" w:rsidP="00EA1A3C">
      <w:pPr>
        <w:rPr>
          <w:lang w:val="es-419"/>
        </w:rPr>
      </w:pPr>
    </w:p>
    <w:p w14:paraId="7956E2CB" w14:textId="77777777" w:rsidR="00EA1A3C" w:rsidRPr="006A553A" w:rsidRDefault="00EA1A3C" w:rsidP="00EA1A3C">
      <w:pPr>
        <w:rPr>
          <w:bCs/>
          <w:lang w:val="es-419"/>
        </w:rPr>
      </w:pPr>
      <w:r w:rsidRPr="006A553A">
        <w:rPr>
          <w:lang w:val="es-419"/>
        </w:rPr>
        <w:t>PROPUESTA DEL GRUPO AFRICANO</w:t>
      </w:r>
    </w:p>
    <w:p w14:paraId="1547837B" w14:textId="77777777" w:rsidR="00EA1A3C" w:rsidRPr="006A553A" w:rsidRDefault="00EA1A3C" w:rsidP="00EA1A3C">
      <w:pPr>
        <w:rPr>
          <w:bCs/>
          <w:lang w:val="es-419"/>
        </w:rPr>
      </w:pPr>
    </w:p>
    <w:p w14:paraId="738BB15D" w14:textId="77777777" w:rsidR="00EA1A3C" w:rsidRPr="006A553A" w:rsidRDefault="00EA1A3C" w:rsidP="00EA1A3C">
      <w:pPr>
        <w:pStyle w:val="ListParagraph"/>
        <w:numPr>
          <w:ilvl w:val="0"/>
          <w:numId w:val="8"/>
        </w:numPr>
        <w:rPr>
          <w:b/>
          <w:i/>
          <w:iCs/>
          <w:szCs w:val="22"/>
          <w:lang w:val="es-419"/>
        </w:rPr>
      </w:pPr>
      <w:r w:rsidRPr="006A553A">
        <w:rPr>
          <w:b/>
          <w:i/>
          <w:lang w:val="es-419"/>
        </w:rPr>
        <w:t xml:space="preserve">La función de la PI y la innovación a la hora de afrontar los desafíos mundiales de salud pública: fomentar la transferencia de tecnología y las colaboraciones </w:t>
      </w:r>
    </w:p>
    <w:p w14:paraId="51203904" w14:textId="77777777" w:rsidR="00EA1A3C" w:rsidRPr="006A553A" w:rsidRDefault="00EA1A3C" w:rsidP="00EA1A3C">
      <w:pPr>
        <w:pStyle w:val="ListParagraph"/>
        <w:rPr>
          <w:b/>
          <w:i/>
          <w:iCs/>
          <w:szCs w:val="22"/>
          <w:lang w:val="es-419"/>
        </w:rPr>
      </w:pPr>
    </w:p>
    <w:p w14:paraId="5C382E96" w14:textId="77777777" w:rsidR="00EA1A3C" w:rsidRPr="006A553A" w:rsidRDefault="00EA1A3C" w:rsidP="00EA1A3C">
      <w:pPr>
        <w:rPr>
          <w:bCs/>
          <w:lang w:val="es-419"/>
        </w:rPr>
      </w:pPr>
      <w:r w:rsidRPr="006A553A">
        <w:rPr>
          <w:color w:val="000000"/>
          <w:u w:val="single"/>
          <w:lang w:val="es-419"/>
        </w:rPr>
        <w:t>Comentario del Grupo Africano</w:t>
      </w:r>
    </w:p>
    <w:p w14:paraId="72600C0D" w14:textId="77777777" w:rsidR="00EA1A3C" w:rsidRPr="006A553A" w:rsidRDefault="00EA1A3C" w:rsidP="00EA1A3C">
      <w:pPr>
        <w:rPr>
          <w:bCs/>
          <w:lang w:val="es-419"/>
        </w:rPr>
      </w:pPr>
    </w:p>
    <w:p w14:paraId="69BB4D93" w14:textId="68D1EF00" w:rsidR="00EA1A3C" w:rsidRPr="006A553A" w:rsidRDefault="00EA1A3C" w:rsidP="00EA1A3C">
      <w:pPr>
        <w:rPr>
          <w:szCs w:val="22"/>
          <w:lang w:val="es-419"/>
        </w:rPr>
      </w:pPr>
      <w:r w:rsidRPr="006A553A">
        <w:rPr>
          <w:lang w:val="es-419"/>
        </w:rPr>
        <w:t xml:space="preserve">Dada la relación entre la salud pública y la innovación y la propiedad intelectual, este tema tiene por objeto debatir la contribución de la PI y la innovación al apoyo de las necesidades mundiales de salud pública mediante el fomento de la transferencia de tecnología y las </w:t>
      </w:r>
      <w:r w:rsidRPr="006A553A">
        <w:rPr>
          <w:lang w:val="es-419"/>
        </w:rPr>
        <w:lastRenderedPageBreak/>
        <w:t>alianzas</w:t>
      </w:r>
      <w:r w:rsidR="00B6065A" w:rsidRPr="006A553A">
        <w:rPr>
          <w:lang w:val="es-419"/>
        </w:rPr>
        <w:t xml:space="preserve">. </w:t>
      </w:r>
      <w:r w:rsidRPr="006A553A">
        <w:rPr>
          <w:lang w:val="es-419"/>
        </w:rPr>
        <w:t xml:space="preserve">Algunas de las cuestiones que se tratarán en este tema tienen que ver con las estrategias para fomentar y desarrollar la capacidad de innovación, impulsar la transferencia de tecnología y la producción local de productos médicos, así como promover el intercambio de información sobre derechos de propiedad intelectual para mejorar el acceso a los medicamentos y otros productos sanitarios con fines de salud </w:t>
      </w:r>
      <w:r w:rsidRPr="006A553A">
        <w:rPr>
          <w:szCs w:val="22"/>
          <w:lang w:val="es-419"/>
        </w:rPr>
        <w:t>pública.</w:t>
      </w:r>
    </w:p>
    <w:p w14:paraId="519BEE2C" w14:textId="77777777" w:rsidR="00EA1A3C" w:rsidRPr="006A553A" w:rsidRDefault="00EA1A3C" w:rsidP="00EA1A3C">
      <w:pPr>
        <w:rPr>
          <w:lang w:val="es-419"/>
        </w:rPr>
      </w:pPr>
    </w:p>
    <w:p w14:paraId="660CEBCB" w14:textId="77777777" w:rsidR="00EA1A3C" w:rsidRPr="006A553A" w:rsidRDefault="00EA1A3C" w:rsidP="00EA1A3C">
      <w:pPr>
        <w:rPr>
          <w:color w:val="000000"/>
          <w:szCs w:val="22"/>
          <w:u w:val="single"/>
          <w:lang w:val="es-419"/>
        </w:rPr>
      </w:pPr>
    </w:p>
    <w:p w14:paraId="18BEB479" w14:textId="77777777" w:rsidR="00EA1A3C" w:rsidRPr="006A553A" w:rsidRDefault="00EA1A3C" w:rsidP="00EA1A3C">
      <w:pPr>
        <w:rPr>
          <w:color w:val="000000"/>
          <w:szCs w:val="22"/>
          <w:u w:val="single"/>
          <w:lang w:val="es-419"/>
        </w:rPr>
      </w:pPr>
    </w:p>
    <w:p w14:paraId="4C455735" w14:textId="4A35306D" w:rsidR="00152CEA" w:rsidRPr="006A553A" w:rsidRDefault="00EA1A3C" w:rsidP="00B6065A">
      <w:pPr>
        <w:pStyle w:val="Endofdocument-Annex"/>
        <w:rPr>
          <w:lang w:val="es-419"/>
        </w:rPr>
      </w:pPr>
      <w:r w:rsidRPr="006A553A">
        <w:rPr>
          <w:lang w:val="es-419"/>
        </w:rPr>
        <w:t>[Fin del Anexo y del documento]</w:t>
      </w:r>
    </w:p>
    <w:sectPr w:rsidR="00152CEA" w:rsidRPr="006A553A" w:rsidSect="00B6065A"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F189" w14:textId="77777777" w:rsidR="00E7279A" w:rsidRDefault="00E7279A">
      <w:r>
        <w:separator/>
      </w:r>
    </w:p>
  </w:endnote>
  <w:endnote w:type="continuationSeparator" w:id="0">
    <w:p w14:paraId="491FA96F" w14:textId="77777777" w:rsidR="00E7279A" w:rsidRPr="009D30E6" w:rsidRDefault="00E7279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EB3ED3A" w14:textId="77777777" w:rsidR="00E7279A" w:rsidRPr="007E663E" w:rsidRDefault="00E7279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28EAF140" w14:textId="77777777" w:rsidR="00E7279A" w:rsidRPr="007E663E" w:rsidRDefault="00E7279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B954" w14:textId="77777777" w:rsidR="00116ED5" w:rsidRDefault="00116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4CFA" w14:textId="77777777" w:rsidR="00116ED5" w:rsidRDefault="00116E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E3A8" w14:textId="77777777" w:rsidR="00116ED5" w:rsidRDefault="00116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6715" w14:textId="77777777" w:rsidR="00E7279A" w:rsidRDefault="00E7279A">
      <w:r>
        <w:separator/>
      </w:r>
    </w:p>
  </w:footnote>
  <w:footnote w:type="continuationSeparator" w:id="0">
    <w:p w14:paraId="492B76C0" w14:textId="77777777" w:rsidR="00E7279A" w:rsidRPr="009D30E6" w:rsidRDefault="00E7279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3777F50" w14:textId="77777777" w:rsidR="00E7279A" w:rsidRPr="007E663E" w:rsidRDefault="00E7279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755B26EA" w14:textId="77777777" w:rsidR="00E7279A" w:rsidRPr="007E663E" w:rsidRDefault="00E7279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14:paraId="2FE2DB1E" w14:textId="6CC263AE" w:rsidR="009272A5" w:rsidRPr="009272A5" w:rsidRDefault="009272A5" w:rsidP="009272A5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9272A5">
        <w:rPr>
          <w:szCs w:val="18"/>
          <w:lang w:eastAsia="en-US"/>
        </w:rPr>
        <w:t xml:space="preserve">Descripción extraída de un comentario presentado anteriormente por el Grupo B, que puede hallarse </w:t>
      </w:r>
      <w:hyperlink r:id="rId1" w:history="1">
        <w:r w:rsidRPr="009272A5">
          <w:rPr>
            <w:rStyle w:val="Hyperlink"/>
            <w:szCs w:val="18"/>
            <w:lang w:eastAsia="en-US"/>
          </w:rPr>
          <w:t>aquí</w:t>
        </w:r>
      </w:hyperlink>
      <w:r w:rsidRPr="009272A5">
        <w:rPr>
          <w:szCs w:val="18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B217" w14:textId="77777777" w:rsidR="00116ED5" w:rsidRDefault="00116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0F81" w14:textId="00474BD7" w:rsidR="004B2530" w:rsidRPr="00F321E0" w:rsidRDefault="004B2530" w:rsidP="00A203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CDIP/31/12</w:t>
    </w:r>
    <w:r w:rsidR="00FB52F3">
      <w:rPr>
        <w:color w:val="000000"/>
      </w:rPr>
      <w:t xml:space="preserve"> Rev.</w:t>
    </w:r>
  </w:p>
  <w:p w14:paraId="0EDAA66E" w14:textId="3D1DFC5B" w:rsidR="004B2530" w:rsidRDefault="004B2530" w:rsidP="00A2033B">
    <w:pPr>
      <w:jc w:val="right"/>
    </w:pPr>
    <w:r>
      <w:t>Anex</w:t>
    </w:r>
    <w:r w:rsidR="00AB3DD7">
      <w:t>o</w:t>
    </w:r>
    <w:r>
      <w:t>, p</w:t>
    </w:r>
    <w:r w:rsidR="00AB3DD7">
      <w:t>ágina</w:t>
    </w:r>
    <w:r>
      <w:t xml:space="preserve"> </w:t>
    </w:r>
    <w:r w:rsidR="00B6065A">
      <w:fldChar w:fldCharType="begin"/>
    </w:r>
    <w:r w:rsidR="00B6065A">
      <w:instrText xml:space="preserve"> PAGE   \* MERGEFORMAT </w:instrText>
    </w:r>
    <w:r w:rsidR="00B6065A">
      <w:fldChar w:fldCharType="separate"/>
    </w:r>
    <w:r w:rsidR="00B6065A">
      <w:rPr>
        <w:noProof/>
      </w:rPr>
      <w:t>1</w:t>
    </w:r>
    <w:r w:rsidR="00B6065A">
      <w:rPr>
        <w:noProof/>
      </w:rPr>
      <w:fldChar w:fldCharType="end"/>
    </w:r>
  </w:p>
  <w:p w14:paraId="752F76EA" w14:textId="77777777" w:rsidR="004B2530" w:rsidRDefault="004B2530" w:rsidP="00477D6B">
    <w:pPr>
      <w:jc w:val="right"/>
    </w:pPr>
  </w:p>
  <w:p w14:paraId="38F1EE9D" w14:textId="77777777" w:rsidR="004B2530" w:rsidRDefault="004B2530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1F33" w14:textId="77777777" w:rsidR="00116ED5" w:rsidRDefault="00116E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19C9" w14:textId="6F35AEC4" w:rsidR="00FB52F3" w:rsidRDefault="00FB52F3" w:rsidP="004C7D1F">
    <w:pPr>
      <w:pStyle w:val="Header"/>
      <w:jc w:val="right"/>
    </w:pPr>
    <w:r>
      <w:t>CDIP/31/12 Rev.</w:t>
    </w:r>
  </w:p>
  <w:p w14:paraId="03A7B33E" w14:textId="7BA3C799" w:rsidR="00FB52F3" w:rsidRDefault="00FB52F3" w:rsidP="004C7D1F">
    <w:pPr>
      <w:pStyle w:val="Header"/>
      <w:jc w:val="right"/>
    </w:pPr>
    <w:r>
      <w:t>ANEXO</w:t>
    </w:r>
  </w:p>
  <w:p w14:paraId="552D2693" w14:textId="77777777" w:rsidR="00FB52F3" w:rsidRDefault="00FB52F3" w:rsidP="004C7D1F">
    <w:pPr>
      <w:pStyle w:val="Header"/>
      <w:jc w:val="right"/>
    </w:pPr>
  </w:p>
  <w:p w14:paraId="5393FFFA" w14:textId="77777777" w:rsidR="00FB52F3" w:rsidRDefault="00FB5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0A382C"/>
    <w:multiLevelType w:val="hybridMultilevel"/>
    <w:tmpl w:val="5EDA40D4"/>
    <w:lvl w:ilvl="0" w:tplc="0D9678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C25635"/>
    <w:multiLevelType w:val="hybridMultilevel"/>
    <w:tmpl w:val="8D346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427415">
    <w:abstractNumId w:val="3"/>
  </w:num>
  <w:num w:numId="2" w16cid:durableId="423306060">
    <w:abstractNumId w:val="6"/>
  </w:num>
  <w:num w:numId="3" w16cid:durableId="1428230405">
    <w:abstractNumId w:val="0"/>
  </w:num>
  <w:num w:numId="4" w16cid:durableId="1197961018">
    <w:abstractNumId w:val="7"/>
  </w:num>
  <w:num w:numId="5" w16cid:durableId="1718354425">
    <w:abstractNumId w:val="1"/>
  </w:num>
  <w:num w:numId="6" w16cid:durableId="1532495534">
    <w:abstractNumId w:val="4"/>
  </w:num>
  <w:num w:numId="7" w16cid:durableId="1676029670">
    <w:abstractNumId w:val="2"/>
  </w:num>
  <w:num w:numId="8" w16cid:durableId="1913421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9A"/>
    <w:rsid w:val="00010686"/>
    <w:rsid w:val="000517F8"/>
    <w:rsid w:val="00052915"/>
    <w:rsid w:val="000E2497"/>
    <w:rsid w:val="000E3BB3"/>
    <w:rsid w:val="000F5E56"/>
    <w:rsid w:val="00116ED5"/>
    <w:rsid w:val="001362EE"/>
    <w:rsid w:val="00152CEA"/>
    <w:rsid w:val="001832A6"/>
    <w:rsid w:val="001A13E2"/>
    <w:rsid w:val="00202D7F"/>
    <w:rsid w:val="002634C4"/>
    <w:rsid w:val="002C2E2F"/>
    <w:rsid w:val="002D23B5"/>
    <w:rsid w:val="002E0F47"/>
    <w:rsid w:val="002F4E68"/>
    <w:rsid w:val="00310826"/>
    <w:rsid w:val="00327393"/>
    <w:rsid w:val="00354647"/>
    <w:rsid w:val="00377273"/>
    <w:rsid w:val="003845C1"/>
    <w:rsid w:val="00387287"/>
    <w:rsid w:val="003E48F1"/>
    <w:rsid w:val="003E5474"/>
    <w:rsid w:val="003F347A"/>
    <w:rsid w:val="0040238D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B2530"/>
    <w:rsid w:val="004E297D"/>
    <w:rsid w:val="00531B02"/>
    <w:rsid w:val="005332F0"/>
    <w:rsid w:val="0055013B"/>
    <w:rsid w:val="00556824"/>
    <w:rsid w:val="00571B99"/>
    <w:rsid w:val="00596B15"/>
    <w:rsid w:val="005A19B9"/>
    <w:rsid w:val="005B2EAE"/>
    <w:rsid w:val="00605827"/>
    <w:rsid w:val="00675021"/>
    <w:rsid w:val="006A06C6"/>
    <w:rsid w:val="006A553A"/>
    <w:rsid w:val="0071776A"/>
    <w:rsid w:val="007224C8"/>
    <w:rsid w:val="00746B4D"/>
    <w:rsid w:val="00762AC6"/>
    <w:rsid w:val="00794BE2"/>
    <w:rsid w:val="007A5581"/>
    <w:rsid w:val="007B71FE"/>
    <w:rsid w:val="007C5BCC"/>
    <w:rsid w:val="007D781E"/>
    <w:rsid w:val="007E663E"/>
    <w:rsid w:val="00815082"/>
    <w:rsid w:val="0088395E"/>
    <w:rsid w:val="008921A2"/>
    <w:rsid w:val="008B2CC1"/>
    <w:rsid w:val="008E6BD6"/>
    <w:rsid w:val="008F2C6B"/>
    <w:rsid w:val="0090731E"/>
    <w:rsid w:val="009272A5"/>
    <w:rsid w:val="00966A22"/>
    <w:rsid w:val="00972F03"/>
    <w:rsid w:val="00982944"/>
    <w:rsid w:val="0098367F"/>
    <w:rsid w:val="009A0C8B"/>
    <w:rsid w:val="009A20CD"/>
    <w:rsid w:val="009B6241"/>
    <w:rsid w:val="009C0927"/>
    <w:rsid w:val="00A16FC0"/>
    <w:rsid w:val="00A32C9E"/>
    <w:rsid w:val="00A914C4"/>
    <w:rsid w:val="00AB3DD7"/>
    <w:rsid w:val="00AB4E21"/>
    <w:rsid w:val="00AB613D"/>
    <w:rsid w:val="00AC1E2C"/>
    <w:rsid w:val="00AE7F20"/>
    <w:rsid w:val="00B534D5"/>
    <w:rsid w:val="00B6065A"/>
    <w:rsid w:val="00B65A0A"/>
    <w:rsid w:val="00B67CDC"/>
    <w:rsid w:val="00B72D36"/>
    <w:rsid w:val="00BC4164"/>
    <w:rsid w:val="00BD2DCC"/>
    <w:rsid w:val="00BF5A8E"/>
    <w:rsid w:val="00C90559"/>
    <w:rsid w:val="00CA0500"/>
    <w:rsid w:val="00CA2251"/>
    <w:rsid w:val="00D56C7C"/>
    <w:rsid w:val="00D71B4D"/>
    <w:rsid w:val="00D90289"/>
    <w:rsid w:val="00D93D55"/>
    <w:rsid w:val="00DC4C60"/>
    <w:rsid w:val="00DD6CF4"/>
    <w:rsid w:val="00DF13F9"/>
    <w:rsid w:val="00E0079A"/>
    <w:rsid w:val="00E31D97"/>
    <w:rsid w:val="00E444DA"/>
    <w:rsid w:val="00E45C84"/>
    <w:rsid w:val="00E504E5"/>
    <w:rsid w:val="00E7279A"/>
    <w:rsid w:val="00EA1A3C"/>
    <w:rsid w:val="00EB0D93"/>
    <w:rsid w:val="00EB7A3E"/>
    <w:rsid w:val="00EC1AA7"/>
    <w:rsid w:val="00EC401A"/>
    <w:rsid w:val="00EF530A"/>
    <w:rsid w:val="00EF6622"/>
    <w:rsid w:val="00EF78A9"/>
    <w:rsid w:val="00F45288"/>
    <w:rsid w:val="00F51D1E"/>
    <w:rsid w:val="00F55408"/>
    <w:rsid w:val="00F66152"/>
    <w:rsid w:val="00F80845"/>
    <w:rsid w:val="00F84474"/>
    <w:rsid w:val="00FA0F0D"/>
    <w:rsid w:val="00FB31F5"/>
    <w:rsid w:val="00FB52F3"/>
    <w:rsid w:val="00FD539C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6AC5A"/>
  <w15:docId w15:val="{ABAB442E-0967-4247-8174-2424C392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E7279A"/>
    <w:rPr>
      <w:rFonts w:ascii="Arial" w:eastAsia="SimSun" w:hAnsi="Arial" w:cs="Arial"/>
      <w:sz w:val="22"/>
      <w:lang w:val="es-ES" w:eastAsia="zh-CN"/>
    </w:rPr>
  </w:style>
  <w:style w:type="character" w:customStyle="1" w:styleId="HeaderChar">
    <w:name w:val="Header Char"/>
    <w:basedOn w:val="DefaultParagraphFont"/>
    <w:link w:val="Header"/>
    <w:semiHidden/>
    <w:rsid w:val="00E7279A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E7279A"/>
    <w:pPr>
      <w:ind w:left="720"/>
      <w:contextualSpacing/>
    </w:pPr>
  </w:style>
  <w:style w:type="character" w:customStyle="1" w:styleId="Endofdocument-AnnexChar">
    <w:name w:val="[End of document - Annex] Char"/>
    <w:link w:val="Endofdocument-Annex"/>
    <w:rsid w:val="00E7279A"/>
    <w:rPr>
      <w:rFonts w:ascii="Arial" w:eastAsia="SimSun" w:hAnsi="Arial" w:cs="Arial"/>
      <w:sz w:val="22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E7279A"/>
    <w:rPr>
      <w:rFonts w:ascii="Arial" w:eastAsia="SimSun" w:hAnsi="Arial" w:cs="Arial"/>
      <w:sz w:val="22"/>
      <w:lang w:val="es-ES" w:eastAsia="zh-CN"/>
    </w:rPr>
  </w:style>
  <w:style w:type="character" w:customStyle="1" w:styleId="colour">
    <w:name w:val="colour"/>
    <w:basedOn w:val="DefaultParagraphFont"/>
    <w:rsid w:val="00E7279A"/>
  </w:style>
  <w:style w:type="character" w:styleId="Hyperlink">
    <w:name w:val="Hyperlink"/>
    <w:basedOn w:val="DefaultParagraphFont"/>
    <w:uiPriority w:val="99"/>
    <w:unhideWhenUsed/>
    <w:rsid w:val="004B25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4C4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2A5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927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wipo.int/sme/es/news/2021/news_0006.htm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docs/mdocs/mdocs/es/cdip_28/cdip_28_compilation_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3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B9E7-A451-459A-9E92-2BE20BE3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CDIP_31 (S)</Template>
  <TotalTime>1</TotalTime>
  <Pages>4</Pages>
  <Words>1181</Words>
  <Characters>6205</Characters>
  <Application>Microsoft Office Word</Application>
  <DocSecurity>0</DocSecurity>
  <Lines>137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CDIP/31/12 Rev.</vt:lpstr>
    </vt:vector>
  </TitlesOfParts>
  <Company>WIPO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CDIP/31/12 Rev.</dc:title>
  <dc:creator>CILLERO Francisco</dc:creator>
  <cp:keywords>FOR OFFICIAL USE ONLY</cp:keywords>
  <cp:lastModifiedBy>ESTEVES DOS SANTOS Anabela</cp:lastModifiedBy>
  <cp:revision>3</cp:revision>
  <dcterms:created xsi:type="dcterms:W3CDTF">2023-10-06T14:07:00Z</dcterms:created>
  <dcterms:modified xsi:type="dcterms:W3CDTF">2023-10-09T11:51:00Z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ed2b4316-4e58-4fcd-8e2d-80b09bf92aa9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2023-07-20T14:00:38Z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8649f9c0-6809-4a4e-a89e-bba6768af9c7</vt:lpwstr>
  </property>
  <property fmtid="{D5CDD505-2E9C-101B-9397-08002B2CF9AE}" pid="14" name="MSIP_Label_20773ee6-353b-4fb9-a59d-0b94c8c67bea_ContentBits">
    <vt:lpwstr>0</vt:lpwstr>
  </property>
</Properties>
</file>