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91E95" w:rsidRDefault="00472A6E" w:rsidP="00762AC6">
      <w:pPr>
        <w:pBdr>
          <w:bottom w:val="single" w:sz="4" w:space="11" w:color="auto"/>
        </w:pBdr>
        <w:spacing w:after="120"/>
        <w:ind w:right="-57"/>
        <w:jc w:val="right"/>
        <w:rPr>
          <w:lang w:val="es-ES_tradnl"/>
        </w:rPr>
      </w:pPr>
      <w:bookmarkStart w:id="0" w:name="_GoBack"/>
      <w:bookmarkEnd w:id="0"/>
      <w:r w:rsidRPr="00A91E95">
        <w:rPr>
          <w:noProof/>
          <w:lang w:val="en-US" w:eastAsia="en-US"/>
        </w:rPr>
        <w:drawing>
          <wp:inline distT="0" distB="0" distL="0" distR="0" wp14:anchorId="1894D303" wp14:editId="206FCB9F">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A91E95" w:rsidRDefault="009C0927" w:rsidP="00472A6E">
      <w:pPr>
        <w:jc w:val="right"/>
        <w:rPr>
          <w:rFonts w:ascii="Arial Black" w:hAnsi="Arial Black"/>
          <w:caps/>
          <w:sz w:val="15"/>
          <w:lang w:val="es-ES_tradnl"/>
        </w:rPr>
      </w:pPr>
      <w:r w:rsidRPr="00A91E95">
        <w:rPr>
          <w:rFonts w:ascii="Arial Black" w:hAnsi="Arial Black"/>
          <w:caps/>
          <w:sz w:val="15"/>
          <w:lang w:val="es-ES_tradnl"/>
        </w:rPr>
        <w:t>CDIP/30/</w:t>
      </w:r>
      <w:bookmarkStart w:id="1" w:name="Code"/>
      <w:bookmarkEnd w:id="1"/>
      <w:r w:rsidR="00473D04" w:rsidRPr="00A91E95">
        <w:rPr>
          <w:rFonts w:ascii="Arial Black" w:hAnsi="Arial Black"/>
          <w:caps/>
          <w:sz w:val="15"/>
          <w:lang w:val="es-ES_tradnl"/>
        </w:rPr>
        <w:t>3</w:t>
      </w:r>
    </w:p>
    <w:p w:rsidR="008B2CC1" w:rsidRPr="00A91E95" w:rsidRDefault="00472A6E" w:rsidP="00472A6E">
      <w:pPr>
        <w:jc w:val="right"/>
        <w:rPr>
          <w:lang w:val="es-ES_tradnl"/>
        </w:rPr>
      </w:pPr>
      <w:r w:rsidRPr="00A91E95">
        <w:rPr>
          <w:rFonts w:ascii="Arial Black" w:hAnsi="Arial Black"/>
          <w:caps/>
          <w:sz w:val="15"/>
          <w:lang w:val="es-ES_tradnl"/>
        </w:rPr>
        <w:t xml:space="preserve">ORIGINAL: </w:t>
      </w:r>
      <w:bookmarkStart w:id="2" w:name="Original"/>
      <w:r w:rsidR="00473D04" w:rsidRPr="00A91E95">
        <w:rPr>
          <w:rFonts w:ascii="Arial Black" w:hAnsi="Arial Black"/>
          <w:caps/>
          <w:sz w:val="15"/>
          <w:lang w:val="es-ES_tradnl"/>
        </w:rPr>
        <w:t>INGLÉS</w:t>
      </w:r>
    </w:p>
    <w:bookmarkEnd w:id="2"/>
    <w:p w:rsidR="008B2CC1" w:rsidRPr="00A91E95" w:rsidRDefault="00472A6E" w:rsidP="00472A6E">
      <w:pPr>
        <w:spacing w:after="1200"/>
        <w:jc w:val="right"/>
        <w:rPr>
          <w:lang w:val="es-ES_tradnl"/>
        </w:rPr>
      </w:pPr>
      <w:r w:rsidRPr="00A91E95">
        <w:rPr>
          <w:rFonts w:ascii="Arial Black" w:hAnsi="Arial Black"/>
          <w:caps/>
          <w:sz w:val="15"/>
          <w:lang w:val="es-ES_tradnl"/>
        </w:rPr>
        <w:t xml:space="preserve">fecha: </w:t>
      </w:r>
      <w:bookmarkStart w:id="3" w:name="Date"/>
      <w:r w:rsidR="00473D04" w:rsidRPr="00A91E95">
        <w:rPr>
          <w:rFonts w:ascii="Arial Black" w:hAnsi="Arial Black"/>
          <w:caps/>
          <w:sz w:val="15"/>
          <w:lang w:val="es-ES_tradnl"/>
        </w:rPr>
        <w:t>13 DE FEBRERO DE 2023</w:t>
      </w:r>
    </w:p>
    <w:bookmarkEnd w:id="3"/>
    <w:p w:rsidR="00B67CDC" w:rsidRPr="00A91E95" w:rsidRDefault="00762AC6" w:rsidP="00FB31F5">
      <w:pPr>
        <w:pStyle w:val="Heading1"/>
        <w:spacing w:before="0" w:after="600"/>
        <w:rPr>
          <w:sz w:val="28"/>
          <w:lang w:val="es-ES_tradnl"/>
        </w:rPr>
      </w:pPr>
      <w:r w:rsidRPr="00A91E95">
        <w:rPr>
          <w:caps w:val="0"/>
          <w:sz w:val="28"/>
          <w:lang w:val="es-ES_tradnl"/>
        </w:rPr>
        <w:t>Comité de Desarrollo y Propiedad Intelectual (CDIP)</w:t>
      </w:r>
    </w:p>
    <w:p w:rsidR="005B2EAE" w:rsidRPr="00A91E95" w:rsidRDefault="00762AC6" w:rsidP="005B2EAE">
      <w:pPr>
        <w:outlineLvl w:val="1"/>
        <w:rPr>
          <w:b/>
          <w:sz w:val="24"/>
          <w:szCs w:val="24"/>
          <w:lang w:val="es-ES_tradnl"/>
        </w:rPr>
      </w:pPr>
      <w:r w:rsidRPr="00A91E95">
        <w:rPr>
          <w:b/>
          <w:sz w:val="24"/>
          <w:szCs w:val="24"/>
          <w:lang w:val="es-ES_tradnl"/>
        </w:rPr>
        <w:t xml:space="preserve">Trigésima </w:t>
      </w:r>
      <w:r w:rsidR="00B67CDC" w:rsidRPr="00A91E95">
        <w:rPr>
          <w:b/>
          <w:sz w:val="24"/>
          <w:szCs w:val="24"/>
          <w:lang w:val="es-ES_tradnl"/>
        </w:rPr>
        <w:t>Sesión</w:t>
      </w:r>
    </w:p>
    <w:p w:rsidR="00B67CDC" w:rsidRPr="00A91E95" w:rsidRDefault="00762AC6" w:rsidP="00472A6E">
      <w:pPr>
        <w:spacing w:after="720"/>
        <w:outlineLvl w:val="1"/>
        <w:rPr>
          <w:b/>
          <w:sz w:val="24"/>
          <w:szCs w:val="24"/>
          <w:lang w:val="es-ES_tradnl"/>
        </w:rPr>
      </w:pPr>
      <w:r w:rsidRPr="00A91E95">
        <w:rPr>
          <w:b/>
          <w:sz w:val="24"/>
          <w:szCs w:val="24"/>
          <w:lang w:val="es-ES_tradnl"/>
        </w:rPr>
        <w:t>Ginebra, 24 a 28 de abril de 2023</w:t>
      </w:r>
    </w:p>
    <w:p w:rsidR="008B2CC1" w:rsidRPr="00A91E95" w:rsidRDefault="000C7B0C" w:rsidP="00472A6E">
      <w:pPr>
        <w:spacing w:after="360"/>
        <w:rPr>
          <w:lang w:val="es-ES_tradnl"/>
        </w:rPr>
      </w:pPr>
      <w:bookmarkStart w:id="4" w:name="TitleOfDoc"/>
      <w:r w:rsidRPr="00A91E95">
        <w:rPr>
          <w:lang w:val="es-ES_tradnl"/>
        </w:rPr>
        <w:t>MANDATO RELATIVO AL</w:t>
      </w:r>
      <w:r w:rsidR="00473D04" w:rsidRPr="00A91E95">
        <w:rPr>
          <w:lang w:val="es-ES_tradnl"/>
        </w:rPr>
        <w:t xml:space="preserve"> </w:t>
      </w:r>
      <w:r w:rsidRPr="00A91E95">
        <w:rPr>
          <w:lang w:val="es-ES_tradnl"/>
        </w:rPr>
        <w:t>EXAMEN EXTERNO INDEPENDIENTE DE LA ASISTENCIA TÉCNICA DE LA OMPI EN EL ÁMBITO DE LA COOPERACIÓN PARA EL DESARROLLO</w:t>
      </w:r>
    </w:p>
    <w:p w:rsidR="008B2CC1" w:rsidRPr="00A91E95" w:rsidRDefault="000C7B0C" w:rsidP="00FB31F5">
      <w:pPr>
        <w:spacing w:after="960"/>
        <w:rPr>
          <w:i/>
          <w:lang w:val="es-ES_tradnl"/>
        </w:rPr>
      </w:pPr>
      <w:bookmarkStart w:id="5" w:name="Prepared"/>
      <w:bookmarkEnd w:id="4"/>
      <w:bookmarkEnd w:id="5"/>
      <w:r w:rsidRPr="00A91E95">
        <w:rPr>
          <w:rFonts w:eastAsia="Arial"/>
          <w:i/>
          <w:iCs/>
          <w:szCs w:val="22"/>
          <w:lang w:val="es-ES_tradnl"/>
        </w:rPr>
        <w:t>preparado por la Secretaría</w:t>
      </w:r>
    </w:p>
    <w:p w:rsidR="00473D04" w:rsidRPr="00A91E95" w:rsidRDefault="000C7B0C" w:rsidP="000C7B0C">
      <w:pPr>
        <w:pStyle w:val="ListParagraph"/>
        <w:keepNext/>
        <w:numPr>
          <w:ilvl w:val="0"/>
          <w:numId w:val="18"/>
        </w:numPr>
        <w:autoSpaceDE w:val="0"/>
        <w:autoSpaceDN w:val="0"/>
        <w:adjustRightInd w:val="0"/>
        <w:spacing w:after="240"/>
        <w:ind w:left="0" w:firstLine="0"/>
        <w:contextualSpacing w:val="0"/>
        <w:rPr>
          <w:szCs w:val="22"/>
          <w:lang w:val="es-ES_tradnl"/>
        </w:rPr>
      </w:pPr>
      <w:r w:rsidRPr="00A91E95">
        <w:rPr>
          <w:szCs w:val="22"/>
          <w:lang w:val="es-ES_tradnl"/>
        </w:rPr>
        <w:t xml:space="preserve">El Comité de Desarrollo y Propiedad Intelectual (CDIP), en su </w:t>
      </w:r>
      <w:r w:rsidR="00E10936" w:rsidRPr="00A91E95">
        <w:rPr>
          <w:szCs w:val="22"/>
          <w:lang w:val="es-ES_tradnl"/>
        </w:rPr>
        <w:t>vigesimonovena</w:t>
      </w:r>
      <w:r w:rsidRPr="00A91E95">
        <w:rPr>
          <w:szCs w:val="22"/>
          <w:lang w:val="es-ES_tradnl"/>
        </w:rPr>
        <w:t xml:space="preserve"> sesión, celebrada en octubre de 2022, examinó la propuesta del Grupo Africano de llevar a cabo un nuevo examen externo independiente de la asistencia técnica que presta la OMPI en el ámbito de la cooperación para el desarrollo (documento CDIP/29/9).</w:t>
      </w:r>
    </w:p>
    <w:p w:rsidR="00473D04" w:rsidRPr="00A91E95" w:rsidRDefault="004B24CE" w:rsidP="004B24CE">
      <w:pPr>
        <w:pStyle w:val="ListParagraph"/>
        <w:keepNext/>
        <w:numPr>
          <w:ilvl w:val="0"/>
          <w:numId w:val="18"/>
        </w:numPr>
        <w:autoSpaceDE w:val="0"/>
        <w:autoSpaceDN w:val="0"/>
        <w:adjustRightInd w:val="0"/>
        <w:spacing w:after="240"/>
        <w:ind w:left="0" w:firstLine="0"/>
        <w:contextualSpacing w:val="0"/>
        <w:rPr>
          <w:szCs w:val="22"/>
          <w:lang w:val="es-ES_tradnl"/>
        </w:rPr>
      </w:pPr>
      <w:r w:rsidRPr="00A91E95">
        <w:rPr>
          <w:szCs w:val="22"/>
          <w:lang w:val="es-ES_tradnl"/>
        </w:rPr>
        <w:t>El Comité p</w:t>
      </w:r>
      <w:r w:rsidR="00FF0070" w:rsidRPr="00A91E95">
        <w:rPr>
          <w:szCs w:val="22"/>
          <w:lang w:val="es-ES_tradnl"/>
        </w:rPr>
        <w:t>idió a la Secretaría que preparara</w:t>
      </w:r>
      <w:r w:rsidRPr="00A91E95">
        <w:rPr>
          <w:szCs w:val="22"/>
          <w:lang w:val="es-ES_tradnl"/>
        </w:rPr>
        <w:t xml:space="preserve"> un proyecto de mandato, sobre la base de su decisión contenida en el párrafo 6.5 del resumen de la presidencia de la </w:t>
      </w:r>
      <w:r w:rsidR="00E10936" w:rsidRPr="00A91E95">
        <w:rPr>
          <w:szCs w:val="22"/>
          <w:lang w:val="es-ES_tradnl"/>
        </w:rPr>
        <w:t xml:space="preserve">vigesimonovena </w:t>
      </w:r>
      <w:r w:rsidRPr="00A91E95">
        <w:rPr>
          <w:szCs w:val="22"/>
          <w:lang w:val="es-ES_tradnl"/>
        </w:rPr>
        <w:t>se</w:t>
      </w:r>
      <w:r w:rsidR="00FF0070" w:rsidRPr="00A91E95">
        <w:rPr>
          <w:szCs w:val="22"/>
          <w:lang w:val="es-ES_tradnl"/>
        </w:rPr>
        <w:t>sión del CDIP, y que lo presentara</w:t>
      </w:r>
      <w:r w:rsidRPr="00A91E95">
        <w:rPr>
          <w:szCs w:val="22"/>
          <w:lang w:val="es-ES_tradnl"/>
        </w:rPr>
        <w:t xml:space="preserve"> en la </w:t>
      </w:r>
      <w:r w:rsidR="00E10936" w:rsidRPr="00A91E95">
        <w:rPr>
          <w:szCs w:val="22"/>
          <w:lang w:val="es-ES_tradnl"/>
        </w:rPr>
        <w:t>trigésima</w:t>
      </w:r>
      <w:r w:rsidRPr="00A91E95">
        <w:rPr>
          <w:szCs w:val="22"/>
          <w:lang w:val="es-ES_tradnl"/>
        </w:rPr>
        <w:t xml:space="preserve"> sesión del CDIP</w:t>
      </w:r>
      <w:r w:rsidR="00473D04" w:rsidRPr="00A91E95">
        <w:rPr>
          <w:szCs w:val="22"/>
          <w:lang w:val="es-ES_tradnl"/>
        </w:rPr>
        <w:t>.</w:t>
      </w:r>
    </w:p>
    <w:p w:rsidR="00473D04" w:rsidRPr="00A91E95" w:rsidRDefault="004B24CE" w:rsidP="004B24CE">
      <w:pPr>
        <w:pStyle w:val="ListParagraph"/>
        <w:keepNext/>
        <w:numPr>
          <w:ilvl w:val="0"/>
          <w:numId w:val="18"/>
        </w:numPr>
        <w:autoSpaceDE w:val="0"/>
        <w:autoSpaceDN w:val="0"/>
        <w:adjustRightInd w:val="0"/>
        <w:spacing w:after="240"/>
        <w:ind w:left="0" w:firstLine="0"/>
        <w:contextualSpacing w:val="0"/>
        <w:rPr>
          <w:szCs w:val="22"/>
          <w:lang w:val="es-ES_tradnl"/>
        </w:rPr>
      </w:pPr>
      <w:r w:rsidRPr="00A91E95">
        <w:rPr>
          <w:rFonts w:eastAsia="Batang"/>
          <w:color w:val="000000"/>
          <w:szCs w:val="22"/>
          <w:lang w:val="es-ES_tradnl" w:eastAsia="ko-KR"/>
        </w:rPr>
        <w:t>En el Anexo del presente documento figura el mencionado mandato preparado por la Secretaría.</w:t>
      </w:r>
    </w:p>
    <w:p w:rsidR="00473D04" w:rsidRPr="00A91E95" w:rsidRDefault="004B24CE" w:rsidP="00E9691D">
      <w:pPr>
        <w:pStyle w:val="ONUMFS"/>
        <w:numPr>
          <w:ilvl w:val="0"/>
          <w:numId w:val="18"/>
        </w:numPr>
        <w:tabs>
          <w:tab w:val="num" w:pos="567"/>
        </w:tabs>
        <w:spacing w:after="600"/>
        <w:ind w:left="5528" w:firstLine="0"/>
        <w:rPr>
          <w:rStyle w:val="ONUMFSChar"/>
          <w:szCs w:val="22"/>
          <w:lang w:val="es-ES_tradnl"/>
        </w:rPr>
      </w:pPr>
      <w:r w:rsidRPr="00A91E95">
        <w:rPr>
          <w:rStyle w:val="ONUMFSChar"/>
          <w:i/>
          <w:lang w:val="es-ES_tradnl"/>
        </w:rPr>
        <w:t>S</w:t>
      </w:r>
      <w:r w:rsidR="00AD4369" w:rsidRPr="00A91E95">
        <w:rPr>
          <w:rStyle w:val="ONUMFSChar"/>
          <w:i/>
          <w:lang w:val="es-ES_tradnl"/>
        </w:rPr>
        <w:t>e invita al CDIP a examinar el A</w:t>
      </w:r>
      <w:r w:rsidRPr="00A91E95">
        <w:rPr>
          <w:rStyle w:val="ONUMFSChar"/>
          <w:i/>
          <w:lang w:val="es-ES_tradnl"/>
        </w:rPr>
        <w:t>nexo del presente documento</w:t>
      </w:r>
      <w:r w:rsidR="00473D04" w:rsidRPr="00A91E95">
        <w:rPr>
          <w:rStyle w:val="ONUMFSChar"/>
          <w:i/>
          <w:lang w:val="es-ES_tradnl"/>
        </w:rPr>
        <w:t>.</w:t>
      </w:r>
    </w:p>
    <w:p w:rsidR="00473D04" w:rsidRPr="00A91E95" w:rsidRDefault="00473D04" w:rsidP="00711AEE">
      <w:pPr>
        <w:pStyle w:val="Endofdocument-Annex"/>
        <w:rPr>
          <w:lang w:val="es-ES_tradnl"/>
        </w:rPr>
      </w:pPr>
      <w:r w:rsidRPr="00A91E95">
        <w:rPr>
          <w:lang w:val="es-ES_tradnl"/>
        </w:rPr>
        <w:t>[</w:t>
      </w:r>
      <w:r w:rsidR="004B24CE" w:rsidRPr="00A91E95">
        <w:rPr>
          <w:lang w:val="es-ES_tradnl"/>
        </w:rPr>
        <w:t>Sigue el Anexo</w:t>
      </w:r>
      <w:r w:rsidRPr="00A91E95">
        <w:rPr>
          <w:lang w:val="es-ES_tradnl"/>
        </w:rPr>
        <w:t>]</w:t>
      </w:r>
    </w:p>
    <w:p w:rsidR="00711AEE" w:rsidRPr="00A91E95" w:rsidRDefault="00711AEE" w:rsidP="00711AEE">
      <w:pPr>
        <w:pStyle w:val="Endofdocument-Annex"/>
        <w:rPr>
          <w:lang w:val="es-ES_tradnl"/>
        </w:rPr>
        <w:sectPr w:rsidR="00711AEE" w:rsidRPr="00A91E95" w:rsidSect="005D075F">
          <w:headerReference w:type="even" r:id="rId9"/>
          <w:headerReference w:type="default" r:id="rId10"/>
          <w:footerReference w:type="even" r:id="rId11"/>
          <w:footerReference w:type="default" r:id="rId12"/>
          <w:headerReference w:type="first" r:id="rId13"/>
          <w:footerReference w:type="first" r:id="rId14"/>
          <w:pgSz w:w="12240" w:h="15840" w:code="1"/>
          <w:pgMar w:top="562" w:right="1440" w:bottom="1411" w:left="1411" w:header="706" w:footer="706" w:gutter="0"/>
          <w:pgNumType w:start="1"/>
          <w:cols w:space="708"/>
          <w:titlePg/>
          <w:docGrid w:linePitch="360"/>
        </w:sectPr>
      </w:pPr>
    </w:p>
    <w:p w:rsidR="00473D04" w:rsidRPr="00A91E95" w:rsidRDefault="004B24CE" w:rsidP="00E9691D">
      <w:pPr>
        <w:spacing w:before="360"/>
        <w:jc w:val="center"/>
        <w:rPr>
          <w:b/>
          <w:sz w:val="24"/>
          <w:szCs w:val="22"/>
          <w:lang w:val="es-ES_tradnl"/>
        </w:rPr>
      </w:pPr>
      <w:r w:rsidRPr="00A91E95">
        <w:rPr>
          <w:b/>
          <w:sz w:val="24"/>
          <w:szCs w:val="22"/>
          <w:lang w:val="es-ES_tradnl"/>
        </w:rPr>
        <w:lastRenderedPageBreak/>
        <w:t>MANDATO</w:t>
      </w:r>
    </w:p>
    <w:p w:rsidR="00473D04" w:rsidRPr="00A91E95" w:rsidRDefault="004B24CE" w:rsidP="00E9691D">
      <w:pPr>
        <w:spacing w:after="480"/>
        <w:jc w:val="center"/>
        <w:rPr>
          <w:b/>
          <w:sz w:val="24"/>
          <w:szCs w:val="22"/>
          <w:lang w:val="es-ES_tradnl"/>
        </w:rPr>
      </w:pPr>
      <w:r w:rsidRPr="00A91E95">
        <w:rPr>
          <w:b/>
          <w:sz w:val="24"/>
          <w:szCs w:val="22"/>
          <w:lang w:val="es-ES_tradnl"/>
        </w:rPr>
        <w:t>EXAMEN EXTERNO INDEPENDIENTE DE LA ASISTENCIA TÉCNICA DE LA OMPI EN EL ÁMBITO DE LA COOPERACIÓN PARA EL DESARROLLO</w:t>
      </w:r>
    </w:p>
    <w:p w:rsidR="00473D04" w:rsidRPr="00A91E95" w:rsidRDefault="004B24CE" w:rsidP="00473D04">
      <w:pPr>
        <w:pStyle w:val="ListParagraph"/>
        <w:numPr>
          <w:ilvl w:val="0"/>
          <w:numId w:val="17"/>
        </w:numPr>
        <w:tabs>
          <w:tab w:val="left" w:pos="9360"/>
        </w:tabs>
        <w:spacing w:before="240" w:after="240"/>
        <w:ind w:left="547"/>
        <w:contextualSpacing w:val="0"/>
        <w:rPr>
          <w:lang w:val="es-ES_tradnl"/>
        </w:rPr>
      </w:pPr>
      <w:r w:rsidRPr="00A91E95">
        <w:rPr>
          <w:lang w:val="es-ES_tradnl"/>
        </w:rPr>
        <w:t>ANTECEDENTES</w:t>
      </w:r>
    </w:p>
    <w:p w:rsidR="00473D04" w:rsidRPr="00A91E95" w:rsidRDefault="007142E7" w:rsidP="00473D04">
      <w:pPr>
        <w:spacing w:after="240"/>
        <w:rPr>
          <w:lang w:val="es-ES_tradnl"/>
        </w:rPr>
      </w:pPr>
      <w:r w:rsidRPr="00A91E95">
        <w:rPr>
          <w:lang w:val="es-ES_tradnl"/>
        </w:rPr>
        <w:t xml:space="preserve">En su cuarta sesión, celebrada en noviembre de 2009, el Comité de Desarrollo y Propiedad Intelectual (CDIP) aprobó el “Proyecto de mejora del marco de la OMPI de gestión por resultados para respaldar la supervisión y evaluación de la incidencia de las actividades de la Organización en el desarrollo” (documento </w:t>
      </w:r>
      <w:hyperlink r:id="rId15" w:history="1">
        <w:r w:rsidRPr="00A91E95">
          <w:rPr>
            <w:rStyle w:val="Hyperlink"/>
            <w:lang w:val="es-ES_tradnl"/>
          </w:rPr>
          <w:t>CDIP/4/8/Rev.</w:t>
        </w:r>
      </w:hyperlink>
      <w:r w:rsidRPr="00A91E95">
        <w:rPr>
          <w:lang w:val="es-ES_tradnl"/>
        </w:rPr>
        <w:t>), en el que se preveía un examen de las actividades de asistencia técnica de la OMPI en el ámbito de la cooperación para el desarrollo</w:t>
      </w:r>
      <w:r w:rsidR="00E10936" w:rsidRPr="00A91E95">
        <w:rPr>
          <w:lang w:val="es-ES_tradnl"/>
        </w:rPr>
        <w:t>,</w:t>
      </w:r>
      <w:r w:rsidRPr="00A91E95">
        <w:rPr>
          <w:lang w:val="es-ES_tradnl"/>
        </w:rPr>
        <w:t xml:space="preserve"> en consonancia con la recomendación 41</w:t>
      </w:r>
      <w:r w:rsidR="006163FD" w:rsidRPr="00A91E95">
        <w:rPr>
          <w:lang w:val="es-ES_tradnl"/>
        </w:rPr>
        <w:t xml:space="preserve"> </w:t>
      </w:r>
      <w:r w:rsidRPr="00A91E95">
        <w:rPr>
          <w:lang w:val="es-ES_tradnl"/>
        </w:rPr>
        <w:t>de la Agenda para el Desarrollo</w:t>
      </w:r>
      <w:r w:rsidR="00473D04" w:rsidRPr="00A91E95">
        <w:rPr>
          <w:lang w:val="es-ES_tradnl"/>
        </w:rPr>
        <w:t>.</w:t>
      </w:r>
      <w:r w:rsidR="00473D04" w:rsidRPr="00A91E95">
        <w:rPr>
          <w:vertAlign w:val="superscript"/>
          <w:lang w:val="es-ES_tradnl"/>
        </w:rPr>
        <w:footnoteReference w:id="2"/>
      </w:r>
      <w:r w:rsidR="00473D04" w:rsidRPr="00A91E95">
        <w:rPr>
          <w:lang w:val="es-ES_tradnl"/>
        </w:rPr>
        <w:t xml:space="preserve"> </w:t>
      </w:r>
    </w:p>
    <w:p w:rsidR="00473D04" w:rsidRPr="00A91E95" w:rsidRDefault="00584B4D" w:rsidP="00473D04">
      <w:pPr>
        <w:pStyle w:val="ListParagraph"/>
        <w:spacing w:after="240"/>
        <w:ind w:left="0"/>
        <w:contextualSpacing w:val="0"/>
        <w:rPr>
          <w:lang w:val="es-ES_tradnl"/>
        </w:rPr>
      </w:pPr>
      <w:r w:rsidRPr="00A91E95">
        <w:rPr>
          <w:lang w:val="es-ES_tradnl"/>
        </w:rPr>
        <w:t xml:space="preserve">La revisión fue dirigida por la Sra. </w:t>
      </w:r>
      <w:proofErr w:type="spellStart"/>
      <w:r w:rsidRPr="00A91E95">
        <w:rPr>
          <w:lang w:val="es-ES_tradnl"/>
        </w:rPr>
        <w:t>Carolyn</w:t>
      </w:r>
      <w:proofErr w:type="spellEnd"/>
      <w:r w:rsidRPr="00A91E95">
        <w:rPr>
          <w:lang w:val="es-ES_tradnl"/>
        </w:rPr>
        <w:t xml:space="preserve"> </w:t>
      </w:r>
      <w:proofErr w:type="spellStart"/>
      <w:r w:rsidRPr="00A91E95">
        <w:rPr>
          <w:lang w:val="es-ES_tradnl"/>
        </w:rPr>
        <w:t>Deere</w:t>
      </w:r>
      <w:proofErr w:type="spellEnd"/>
      <w:r w:rsidRPr="00A91E95">
        <w:rPr>
          <w:lang w:val="es-ES_tradnl"/>
        </w:rPr>
        <w:t xml:space="preserve"> </w:t>
      </w:r>
      <w:proofErr w:type="spellStart"/>
      <w:r w:rsidRPr="00A91E95">
        <w:rPr>
          <w:lang w:val="es-ES_tradnl"/>
        </w:rPr>
        <w:t>Birkbeck</w:t>
      </w:r>
      <w:proofErr w:type="spellEnd"/>
      <w:r w:rsidRPr="00A91E95">
        <w:rPr>
          <w:lang w:val="es-ES_tradnl"/>
        </w:rPr>
        <w:t xml:space="preserve"> y el Sr. Santiago Roca, con arreglo al mandato contemplado por el CDIP en 2010 y recogido en el documento </w:t>
      </w:r>
      <w:hyperlink r:id="rId16" w:history="1">
        <w:r w:rsidRPr="00A91E95">
          <w:rPr>
            <w:rStyle w:val="Hyperlink"/>
            <w:lang w:val="es-ES_tradnl"/>
          </w:rPr>
          <w:t>CDIP/4/8/REV/TOR</w:t>
        </w:r>
      </w:hyperlink>
      <w:r w:rsidRPr="00A91E95">
        <w:rPr>
          <w:lang w:val="es-ES_tradnl"/>
        </w:rPr>
        <w:t xml:space="preserve">. El informe relativo a la revisión (documento </w:t>
      </w:r>
      <w:hyperlink r:id="rId17" w:history="1">
        <w:r w:rsidRPr="00A91E95">
          <w:rPr>
            <w:rStyle w:val="Hyperlink"/>
            <w:lang w:val="es-ES_tradnl"/>
          </w:rPr>
          <w:t>CDIP/8/INF/1</w:t>
        </w:r>
      </w:hyperlink>
      <w:r w:rsidRPr="00A91E95">
        <w:rPr>
          <w:lang w:val="es-ES_tradnl"/>
        </w:rPr>
        <w:t>) se presentó en la octava sesión del CDIP, celebrada en noviembre de 2011, y se debatió en varias sesiones.</w:t>
      </w:r>
    </w:p>
    <w:p w:rsidR="00473D04" w:rsidRPr="00A91E95" w:rsidRDefault="00584B4D" w:rsidP="00473D04">
      <w:pPr>
        <w:spacing w:after="240"/>
        <w:rPr>
          <w:lang w:val="es-ES_tradnl"/>
        </w:rPr>
      </w:pPr>
      <w:r w:rsidRPr="00A91E95">
        <w:rPr>
          <w:lang w:val="es-ES_tradnl"/>
        </w:rPr>
        <w:t xml:space="preserve">La Secretaría presentó dos respuestas de la Administración a dicho informe, una contenida en el documento </w:t>
      </w:r>
      <w:hyperlink r:id="rId18" w:history="1">
        <w:r w:rsidRPr="00A91E95">
          <w:rPr>
            <w:rStyle w:val="Hyperlink"/>
            <w:lang w:val="es-ES_tradnl"/>
          </w:rPr>
          <w:t>CDIP/9/14</w:t>
        </w:r>
      </w:hyperlink>
      <w:r w:rsidRPr="00A91E95">
        <w:rPr>
          <w:lang w:val="es-ES_tradnl"/>
        </w:rPr>
        <w:t xml:space="preserve"> y la segunda en el documento </w:t>
      </w:r>
      <w:hyperlink r:id="rId19" w:history="1">
        <w:r w:rsidRPr="00A91E95">
          <w:rPr>
            <w:rStyle w:val="Hyperlink"/>
            <w:lang w:val="es-ES_tradnl"/>
          </w:rPr>
          <w:t>CDIP/16/6</w:t>
        </w:r>
      </w:hyperlink>
      <w:r w:rsidRPr="00A91E95">
        <w:rPr>
          <w:lang w:val="es-ES_tradnl"/>
        </w:rPr>
        <w:t xml:space="preserve">. Además, la Secretaría presentó un informe sobre el estado de aplicación de las recomendaciones que ya en aquel momento se reflejaban en las actividades o los programas de reforma de la OMPI (documento </w:t>
      </w:r>
      <w:hyperlink r:id="rId20" w:history="1">
        <w:r w:rsidRPr="00A91E95">
          <w:rPr>
            <w:rStyle w:val="Hyperlink"/>
            <w:lang w:val="es-ES_tradnl"/>
          </w:rPr>
          <w:t>CDIP/11/4</w:t>
        </w:r>
      </w:hyperlink>
      <w:r w:rsidRPr="00A91E95">
        <w:rPr>
          <w:lang w:val="es-ES_tradnl"/>
        </w:rPr>
        <w:t>).</w:t>
      </w:r>
    </w:p>
    <w:p w:rsidR="00473D04" w:rsidRPr="00A91E95" w:rsidRDefault="005C6989" w:rsidP="00473D04">
      <w:pPr>
        <w:spacing w:after="240"/>
        <w:rPr>
          <w:lang w:val="es-ES_tradnl"/>
        </w:rPr>
      </w:pPr>
      <w:r w:rsidRPr="00A91E95">
        <w:rPr>
          <w:lang w:val="es-ES_tradnl"/>
        </w:rPr>
        <w:t xml:space="preserve">En su </w:t>
      </w:r>
      <w:r w:rsidR="0068123A" w:rsidRPr="00A91E95">
        <w:rPr>
          <w:lang w:val="es-ES_tradnl"/>
        </w:rPr>
        <w:t>decimoctava</w:t>
      </w:r>
      <w:r w:rsidRPr="00A91E95">
        <w:rPr>
          <w:lang w:val="es-ES_tradnl"/>
        </w:rPr>
        <w:t xml:space="preserve"> sesión, el Comité aprobó una propuesta de seis puntos sobre la asistencia técnica</w:t>
      </w:r>
      <w:r w:rsidR="00473D04" w:rsidRPr="00A91E95">
        <w:rPr>
          <w:lang w:val="es-ES_tradnl"/>
        </w:rPr>
        <w:t>,</w:t>
      </w:r>
      <w:r w:rsidR="00473D04" w:rsidRPr="00A91E95">
        <w:rPr>
          <w:rStyle w:val="FootnoteReference"/>
          <w:lang w:val="es-ES_tradnl"/>
        </w:rPr>
        <w:footnoteReference w:id="3"/>
      </w:r>
      <w:r w:rsidR="00473D04" w:rsidRPr="00A91E95">
        <w:rPr>
          <w:lang w:val="es-ES_tradnl"/>
        </w:rPr>
        <w:t xml:space="preserve"> </w:t>
      </w:r>
      <w:r w:rsidRPr="00A91E95">
        <w:rPr>
          <w:lang w:val="es-ES_tradnl"/>
        </w:rPr>
        <w:t xml:space="preserve">presentada por la delegación de España, con miras a aplicarla a lo largo de seis sesiones. Asimismo, el Comité decidió, entre otras cosas, incluir un nuevo apartado en el punto del orden del día del Comité titulado “Asistencia técnica en el marco de la cooperación para el desarrollo”, que se trató durante seis sesiones consecutivas (de la </w:t>
      </w:r>
      <w:r w:rsidR="0068123A" w:rsidRPr="00A91E95">
        <w:rPr>
          <w:lang w:val="es-ES_tradnl"/>
        </w:rPr>
        <w:t>decimonovena</w:t>
      </w:r>
      <w:r w:rsidRPr="00A91E95">
        <w:rPr>
          <w:lang w:val="es-ES_tradnl"/>
        </w:rPr>
        <w:t xml:space="preserve"> a la </w:t>
      </w:r>
      <w:r w:rsidR="0068123A" w:rsidRPr="00A91E95">
        <w:rPr>
          <w:lang w:val="es-ES_tradnl"/>
        </w:rPr>
        <w:t>vigesimocuarta</w:t>
      </w:r>
      <w:r w:rsidRPr="00A91E95">
        <w:rPr>
          <w:lang w:val="es-ES_tradnl"/>
        </w:rPr>
        <w:t xml:space="preserve">). Los debates sobre este apartado del orden del día giraron en torno a la aplicación de la propuesta </w:t>
      </w:r>
      <w:r w:rsidR="00D60C89" w:rsidRPr="00A91E95">
        <w:rPr>
          <w:lang w:val="es-ES_tradnl"/>
        </w:rPr>
        <w:t>de España</w:t>
      </w:r>
      <w:r w:rsidRPr="00A91E95">
        <w:rPr>
          <w:lang w:val="es-ES_tradnl"/>
        </w:rPr>
        <w:t>.</w:t>
      </w:r>
    </w:p>
    <w:p w:rsidR="00473D04" w:rsidRPr="00A91E95" w:rsidRDefault="00A23EA1" w:rsidP="00473D04">
      <w:pPr>
        <w:pStyle w:val="ListParagraph"/>
        <w:spacing w:after="240"/>
        <w:ind w:left="0"/>
        <w:contextualSpacing w:val="0"/>
        <w:rPr>
          <w:lang w:val="es-ES_tradnl"/>
        </w:rPr>
      </w:pPr>
      <w:r w:rsidRPr="00A91E95">
        <w:rPr>
          <w:lang w:val="es-ES_tradnl"/>
        </w:rPr>
        <w:t xml:space="preserve">En su </w:t>
      </w:r>
      <w:r w:rsidR="0068123A" w:rsidRPr="00A91E95">
        <w:rPr>
          <w:lang w:val="es-ES_tradnl"/>
        </w:rPr>
        <w:t xml:space="preserve">vigesimocuarta </w:t>
      </w:r>
      <w:r w:rsidRPr="00A91E95">
        <w:rPr>
          <w:lang w:val="es-ES_tradnl"/>
        </w:rPr>
        <w:t xml:space="preserve">sesión, la Secretaría presentó un informe sobre la aplicación de la propuesta </w:t>
      </w:r>
      <w:r w:rsidR="00D60C89" w:rsidRPr="00A91E95">
        <w:rPr>
          <w:lang w:val="es-ES_tradnl"/>
        </w:rPr>
        <w:t>presentada por España</w:t>
      </w:r>
      <w:r w:rsidRPr="00A91E95">
        <w:rPr>
          <w:lang w:val="es-ES_tradnl"/>
        </w:rPr>
        <w:t xml:space="preserve">, que figura en el documento </w:t>
      </w:r>
      <w:hyperlink r:id="rId21" w:history="1">
        <w:r w:rsidRPr="00A91E95">
          <w:rPr>
            <w:rStyle w:val="Hyperlink"/>
            <w:lang w:val="es-ES_tradnl"/>
          </w:rPr>
          <w:t>CDIP/24/8</w:t>
        </w:r>
      </w:hyperlink>
      <w:r w:rsidRPr="00A91E95">
        <w:rPr>
          <w:lang w:val="es-ES_tradnl"/>
        </w:rPr>
        <w:t>. El Comité decidió “utilizar el documento CDIP/24/8 y cualquier otra posible propuesta futura presentada por los Estados miembros como base para ulteriores debates”. Durante esa misma sesión, el Comité también decidió que los debates relativos a la asistenc</w:t>
      </w:r>
      <w:r w:rsidR="00FF0070" w:rsidRPr="00A91E95">
        <w:rPr>
          <w:lang w:val="es-ES_tradnl"/>
        </w:rPr>
        <w:t>ia técnica de la OMPI proseguiría</w:t>
      </w:r>
      <w:r w:rsidRPr="00A91E95">
        <w:rPr>
          <w:lang w:val="es-ES_tradnl"/>
        </w:rPr>
        <w:t>n en el marco del punto del orden del día “Asistencia técnica de la OMPI en el ámbito de la cooperación para el desarrollo”.</w:t>
      </w:r>
      <w:r w:rsidR="00711AEE" w:rsidRPr="00A91E95">
        <w:rPr>
          <w:lang w:val="es-ES_tradnl"/>
        </w:rPr>
        <w:t xml:space="preserve"> </w:t>
      </w:r>
      <w:r w:rsidR="00D60C89" w:rsidRPr="00A91E95">
        <w:rPr>
          <w:lang w:val="es-ES_tradnl"/>
        </w:rPr>
        <w:t xml:space="preserve">En su </w:t>
      </w:r>
      <w:r w:rsidR="0068123A" w:rsidRPr="00A91E95">
        <w:rPr>
          <w:lang w:val="es-ES_tradnl"/>
        </w:rPr>
        <w:t>vigesimoctava</w:t>
      </w:r>
      <w:r w:rsidR="00D60C89" w:rsidRPr="00A91E95">
        <w:rPr>
          <w:lang w:val="es-ES_tradnl"/>
        </w:rPr>
        <w:t xml:space="preserve"> sesión, el Comité reanudó los debates sobre esta cuestión, tras no haberla examinado durante algunas sesiones debido a que el orden del día de sus sesiones se acortó durante la pandemia de COVID19</w:t>
      </w:r>
      <w:r w:rsidR="00473D04" w:rsidRPr="00A91E95">
        <w:rPr>
          <w:lang w:val="es-ES_tradnl"/>
        </w:rPr>
        <w:t xml:space="preserve">. </w:t>
      </w:r>
    </w:p>
    <w:p w:rsidR="00473D04" w:rsidRPr="00A91E95" w:rsidRDefault="00505F08" w:rsidP="00473D04">
      <w:pPr>
        <w:rPr>
          <w:lang w:val="es-ES_tradnl"/>
        </w:rPr>
      </w:pPr>
      <w:r w:rsidRPr="00A91E95">
        <w:rPr>
          <w:lang w:val="es-ES_tradnl"/>
        </w:rPr>
        <w:t xml:space="preserve">En su </w:t>
      </w:r>
      <w:r w:rsidR="0068123A" w:rsidRPr="00A91E95">
        <w:rPr>
          <w:lang w:val="es-ES_tradnl"/>
        </w:rPr>
        <w:t>vigesimonovena</w:t>
      </w:r>
      <w:r w:rsidRPr="00A91E95">
        <w:rPr>
          <w:lang w:val="es-ES_tradnl"/>
        </w:rPr>
        <w:t xml:space="preserve"> sesión, celebrada en abril de 2022, el Comité examinó la propuesta del Grupo Africano de llevar a cabo un nuevo examen externo independiente de la asistencia técnica que presta la OMPI en el ámbito de la cooperación para el desarrollo (documento </w:t>
      </w:r>
      <w:hyperlink r:id="rId22" w:history="1">
        <w:r w:rsidRPr="00A91E95">
          <w:rPr>
            <w:rStyle w:val="Hyperlink"/>
            <w:lang w:val="es-ES_tradnl"/>
          </w:rPr>
          <w:t>CDIP/29/9</w:t>
        </w:r>
      </w:hyperlink>
      <w:r w:rsidRPr="00A91E95">
        <w:rPr>
          <w:lang w:val="es-ES_tradnl"/>
        </w:rPr>
        <w:t>). El CDIP acogió con satisfacción la propuesta del Grupo Africano y p</w:t>
      </w:r>
      <w:r w:rsidR="00FF0070" w:rsidRPr="00A91E95">
        <w:rPr>
          <w:lang w:val="es-ES_tradnl"/>
        </w:rPr>
        <w:t>idió a la Secretaría que preparara</w:t>
      </w:r>
      <w:r w:rsidRPr="00A91E95">
        <w:rPr>
          <w:lang w:val="es-ES_tradnl"/>
        </w:rPr>
        <w:t xml:space="preserve"> un proyecto de mandato basado en la introducción y el objetivo de la mencion</w:t>
      </w:r>
      <w:r w:rsidR="00FF0070" w:rsidRPr="00A91E95">
        <w:rPr>
          <w:lang w:val="es-ES_tradnl"/>
        </w:rPr>
        <w:t>ada propuesta, y que lo presentara</w:t>
      </w:r>
      <w:r w:rsidRPr="00A91E95">
        <w:rPr>
          <w:lang w:val="es-ES_tradnl"/>
        </w:rPr>
        <w:t xml:space="preserve"> en la </w:t>
      </w:r>
      <w:r w:rsidR="0068123A" w:rsidRPr="00A91E95">
        <w:rPr>
          <w:lang w:val="es-ES_tradnl"/>
        </w:rPr>
        <w:t>trigésima</w:t>
      </w:r>
      <w:r w:rsidRPr="00A91E95">
        <w:rPr>
          <w:lang w:val="es-ES_tradnl"/>
        </w:rPr>
        <w:t xml:space="preserve"> sesión del Comité.</w:t>
      </w:r>
    </w:p>
    <w:p w:rsidR="00473D04" w:rsidRPr="00A91E95" w:rsidRDefault="00473D04" w:rsidP="00711AEE">
      <w:pPr>
        <w:pStyle w:val="ListParagraph"/>
        <w:keepNext/>
        <w:keepLines/>
        <w:numPr>
          <w:ilvl w:val="0"/>
          <w:numId w:val="17"/>
        </w:numPr>
        <w:spacing w:before="240" w:after="240"/>
        <w:ind w:left="516" w:hanging="329"/>
        <w:contextualSpacing w:val="0"/>
        <w:rPr>
          <w:lang w:val="es-ES_tradnl"/>
        </w:rPr>
      </w:pPr>
      <w:r w:rsidRPr="00A91E95">
        <w:rPr>
          <w:lang w:val="es-ES_tradnl"/>
        </w:rPr>
        <w:lastRenderedPageBreak/>
        <w:t>CONTEXT</w:t>
      </w:r>
      <w:r w:rsidR="003656B1" w:rsidRPr="00A91E95">
        <w:rPr>
          <w:lang w:val="es-ES_tradnl"/>
        </w:rPr>
        <w:t>O</w:t>
      </w:r>
    </w:p>
    <w:p w:rsidR="00473D04" w:rsidRPr="00A91E95" w:rsidRDefault="003656B1" w:rsidP="00473D04">
      <w:pPr>
        <w:spacing w:after="240"/>
        <w:rPr>
          <w:lang w:val="es-ES_tradnl"/>
        </w:rPr>
      </w:pPr>
      <w:r w:rsidRPr="00A91E95">
        <w:rPr>
          <w:lang w:val="es-ES_tradnl"/>
        </w:rPr>
        <w:t xml:space="preserve">Como se indica en el documento CDIP/29/9, desde la última revisión se han producido una serie de </w:t>
      </w:r>
      <w:r w:rsidR="00DB0D6B" w:rsidRPr="00A91E95">
        <w:rPr>
          <w:lang w:val="es-ES_tradnl"/>
        </w:rPr>
        <w:t>cambios</w:t>
      </w:r>
      <w:r w:rsidRPr="00A91E95">
        <w:rPr>
          <w:lang w:val="es-ES_tradnl"/>
        </w:rPr>
        <w:t xml:space="preserve"> que han hecho necesaria una nueva revisión externa independiente de la asistencia técnica de la OMPI en el ámbito de la cooperación para el desarrollo</w:t>
      </w:r>
      <w:r w:rsidR="00DB0D6B" w:rsidRPr="00A91E95">
        <w:rPr>
          <w:lang w:val="es-ES_tradnl"/>
        </w:rPr>
        <w:t xml:space="preserve">; a </w:t>
      </w:r>
      <w:proofErr w:type="gramStart"/>
      <w:r w:rsidR="00DB0D6B" w:rsidRPr="00A91E95">
        <w:rPr>
          <w:lang w:val="es-ES_tradnl"/>
        </w:rPr>
        <w:t>continuación</w:t>
      </w:r>
      <w:proofErr w:type="gramEnd"/>
      <w:r w:rsidR="00DB0D6B" w:rsidRPr="00A91E95">
        <w:rPr>
          <w:lang w:val="es-ES_tradnl"/>
        </w:rPr>
        <w:t xml:space="preserve"> se enumeran algunos de estos cambios</w:t>
      </w:r>
      <w:r w:rsidRPr="00A91E95">
        <w:rPr>
          <w:lang w:val="es-ES_tradnl"/>
        </w:rPr>
        <w:t>:</w:t>
      </w:r>
    </w:p>
    <w:p w:rsidR="00473D04" w:rsidRPr="00A91E95" w:rsidRDefault="00D64691" w:rsidP="00473D04">
      <w:pPr>
        <w:numPr>
          <w:ilvl w:val="0"/>
          <w:numId w:val="8"/>
        </w:numPr>
        <w:rPr>
          <w:lang w:val="es-ES_tradnl"/>
        </w:rPr>
      </w:pPr>
      <w:r w:rsidRPr="00A91E95">
        <w:rPr>
          <w:rFonts w:eastAsia="Arial"/>
          <w:lang w:val="es-ES_tradnl"/>
        </w:rPr>
        <w:t>la modificación de los marcos de colaboración interinstitucional en el sistema de las Naciones Unidas y las organizaciones internacionales pertinentes</w:t>
      </w:r>
      <w:r w:rsidR="00473D04" w:rsidRPr="00A91E95">
        <w:rPr>
          <w:lang w:val="es-ES_tradnl"/>
        </w:rPr>
        <w:t>;</w:t>
      </w:r>
    </w:p>
    <w:p w:rsidR="00473D04" w:rsidRPr="00A91E95" w:rsidRDefault="00D64691" w:rsidP="00473D04">
      <w:pPr>
        <w:numPr>
          <w:ilvl w:val="0"/>
          <w:numId w:val="8"/>
        </w:numPr>
        <w:rPr>
          <w:lang w:val="es-ES_tradnl"/>
        </w:rPr>
      </w:pPr>
      <w:r w:rsidRPr="00A91E95">
        <w:rPr>
          <w:rFonts w:eastAsia="Arial"/>
          <w:lang w:val="es-ES_tradnl"/>
        </w:rPr>
        <w:t>la aprobación y aplicación de los Objetivos de Desarrollo Sostenible (ODS) de la Agenda 2030, así como el Marco de Cooperación de las Naciones Unidas para el Desarrollo Sostenible</w:t>
      </w:r>
      <w:r w:rsidR="00473D04" w:rsidRPr="00A91E95">
        <w:rPr>
          <w:lang w:val="es-ES_tradnl"/>
        </w:rPr>
        <w:t>;</w:t>
      </w:r>
    </w:p>
    <w:p w:rsidR="00473D04" w:rsidRPr="00A91E95" w:rsidRDefault="00D64691" w:rsidP="00473D04">
      <w:pPr>
        <w:numPr>
          <w:ilvl w:val="0"/>
          <w:numId w:val="8"/>
        </w:numPr>
        <w:rPr>
          <w:lang w:val="es-ES_tradnl"/>
        </w:rPr>
      </w:pPr>
      <w:r w:rsidRPr="00A91E95">
        <w:rPr>
          <w:rFonts w:eastAsia="Arial"/>
          <w:lang w:val="es-ES_tradnl"/>
        </w:rPr>
        <w:t>el cada vez más complejo y diverso panorama del desarrollo y los ecosistemas de innovación</w:t>
      </w:r>
      <w:r w:rsidR="00473D04" w:rsidRPr="00A91E95">
        <w:rPr>
          <w:lang w:val="es-ES_tradnl"/>
        </w:rPr>
        <w:t xml:space="preserve">; </w:t>
      </w:r>
    </w:p>
    <w:p w:rsidR="00473D04" w:rsidRPr="00A91E95" w:rsidRDefault="00D64691" w:rsidP="00473D04">
      <w:pPr>
        <w:numPr>
          <w:ilvl w:val="0"/>
          <w:numId w:val="8"/>
        </w:numPr>
        <w:rPr>
          <w:lang w:val="es-ES_tradnl"/>
        </w:rPr>
      </w:pPr>
      <w:r w:rsidRPr="00A91E95">
        <w:rPr>
          <w:rFonts w:eastAsia="Arial"/>
          <w:lang w:val="es-ES_tradnl"/>
        </w:rPr>
        <w:t>los efectos de la transformación digital, un fenómeno revolucionario para las economías y las sociedades, y el creciente uso de las nuevas tecnologías digitales en la puesta en marcha de actividades de asistencia técnica</w:t>
      </w:r>
      <w:r w:rsidR="00473D04" w:rsidRPr="00A91E95">
        <w:rPr>
          <w:lang w:val="es-ES_tradnl"/>
        </w:rPr>
        <w:t>;</w:t>
      </w:r>
    </w:p>
    <w:p w:rsidR="00473D04" w:rsidRPr="00A91E95" w:rsidRDefault="00D64691" w:rsidP="00473D04">
      <w:pPr>
        <w:numPr>
          <w:ilvl w:val="0"/>
          <w:numId w:val="8"/>
        </w:numPr>
        <w:rPr>
          <w:lang w:val="es-ES_tradnl"/>
        </w:rPr>
      </w:pPr>
      <w:r w:rsidRPr="00A91E95">
        <w:rPr>
          <w:rFonts w:eastAsia="Arial"/>
          <w:lang w:val="es-ES_tradnl"/>
        </w:rPr>
        <w:t>la consolidación de la función que desempeñan</w:t>
      </w:r>
      <w:r w:rsidRPr="00A91E95">
        <w:rPr>
          <w:rFonts w:ascii="Calibri" w:eastAsia="Calibri" w:hAnsi="Calibri" w:cs="Times New Roman"/>
          <w:lang w:val="es-ES_tradnl"/>
        </w:rPr>
        <w:t xml:space="preserve"> </w:t>
      </w:r>
      <w:r w:rsidRPr="00A91E95">
        <w:rPr>
          <w:rFonts w:eastAsia="Arial"/>
          <w:lang w:val="es-ES_tradnl"/>
        </w:rPr>
        <w:t>las partes interesadas de los sectores público y privado —organizaciones no gubernamentales (ONG), empresas, universidades, responsables de proyectos, etcétera—; y</w:t>
      </w:r>
    </w:p>
    <w:p w:rsidR="00473D04" w:rsidRPr="00A91E95" w:rsidRDefault="00D64691" w:rsidP="00473D04">
      <w:pPr>
        <w:numPr>
          <w:ilvl w:val="0"/>
          <w:numId w:val="8"/>
        </w:numPr>
        <w:rPr>
          <w:lang w:val="es-ES_tradnl"/>
        </w:rPr>
      </w:pPr>
      <w:r w:rsidRPr="00A91E95">
        <w:rPr>
          <w:rFonts w:eastAsia="Arial"/>
          <w:lang w:val="es-ES_tradnl"/>
        </w:rPr>
        <w:t>la ampliación del ámbito de actuación de la OMPI en esferas emergentes como las tecnologías avanzadas y la inteligencia artificial</w:t>
      </w:r>
      <w:r w:rsidR="00473D04" w:rsidRPr="00A91E95">
        <w:rPr>
          <w:lang w:val="es-ES_tradnl"/>
        </w:rPr>
        <w:t>.</w:t>
      </w:r>
    </w:p>
    <w:p w:rsidR="00473D04" w:rsidRPr="00A91E95" w:rsidRDefault="003656B1" w:rsidP="003656B1">
      <w:pPr>
        <w:pStyle w:val="ListParagraph"/>
        <w:numPr>
          <w:ilvl w:val="0"/>
          <w:numId w:val="17"/>
        </w:numPr>
        <w:spacing w:before="240" w:after="120"/>
        <w:contextualSpacing w:val="0"/>
        <w:rPr>
          <w:lang w:val="es-ES_tradnl"/>
        </w:rPr>
      </w:pPr>
      <w:r w:rsidRPr="00A91E95">
        <w:rPr>
          <w:lang w:val="es-ES_tradnl"/>
        </w:rPr>
        <w:t>LA ASISTENCIA TÉCNICA DE LA OMPI PARA EL DESARROLLO</w:t>
      </w:r>
      <w:r w:rsidR="00473D04" w:rsidRPr="00A91E95">
        <w:rPr>
          <w:lang w:val="es-ES_tradnl"/>
        </w:rPr>
        <w:t xml:space="preserve"> </w:t>
      </w:r>
    </w:p>
    <w:p w:rsidR="00473D04" w:rsidRPr="00A91E95" w:rsidRDefault="0072051E" w:rsidP="00473D04">
      <w:pPr>
        <w:spacing w:after="240"/>
        <w:rPr>
          <w:lang w:val="es-ES_tradnl"/>
        </w:rPr>
      </w:pPr>
      <w:r w:rsidRPr="00A91E95">
        <w:rPr>
          <w:lang w:val="es-ES_tradnl"/>
        </w:rPr>
        <w:t>La asistencia técnica es la piedra angular de la labor de la OMPI. Aunque la mayoría de los sectores de la OMPI (Derecho de Autor e Industrias Creativas; Marcas y Diseños; Patentes y Tecnología;</w:t>
      </w:r>
      <w:r w:rsidR="00B54243" w:rsidRPr="00A91E95">
        <w:rPr>
          <w:lang w:val="es-ES_tradnl"/>
        </w:rPr>
        <w:t xml:space="preserve"> Alianzas y Desafíos Mundiales; Infraestructura y Plataformas; y PI</w:t>
      </w:r>
      <w:r w:rsidRPr="00A91E95">
        <w:rPr>
          <w:lang w:val="es-ES_tradnl"/>
        </w:rPr>
        <w:t xml:space="preserve"> </w:t>
      </w:r>
      <w:r w:rsidR="00B54243" w:rsidRPr="00A91E95">
        <w:rPr>
          <w:lang w:val="es-ES_tradnl"/>
        </w:rPr>
        <w:t>y Ecosistemas de</w:t>
      </w:r>
      <w:r w:rsidRPr="00A91E95">
        <w:rPr>
          <w:lang w:val="es-ES_tradnl"/>
        </w:rPr>
        <w:t xml:space="preserve"> Innovación) se ocupan de</w:t>
      </w:r>
      <w:r w:rsidR="00B54243" w:rsidRPr="00A91E95">
        <w:rPr>
          <w:lang w:val="es-ES_tradnl"/>
        </w:rPr>
        <w:t xml:space="preserve"> esta labor</w:t>
      </w:r>
      <w:r w:rsidRPr="00A91E95">
        <w:rPr>
          <w:lang w:val="es-ES_tradnl"/>
        </w:rPr>
        <w:t xml:space="preserve">, el Sector de Desarrollo Regional y Nacional, por conducto de sus cinco </w:t>
      </w:r>
      <w:r w:rsidR="00B54243" w:rsidRPr="00A91E95">
        <w:rPr>
          <w:lang w:val="es-ES_tradnl"/>
        </w:rPr>
        <w:t>d</w:t>
      </w:r>
      <w:r w:rsidRPr="00A91E95">
        <w:rPr>
          <w:lang w:val="es-ES_tradnl"/>
        </w:rPr>
        <w:t xml:space="preserve">ivisiones </w:t>
      </w:r>
      <w:r w:rsidR="00B54243" w:rsidRPr="00A91E95">
        <w:rPr>
          <w:lang w:val="es-ES_tradnl"/>
        </w:rPr>
        <w:t>r</w:t>
      </w:r>
      <w:r w:rsidRPr="00A91E95">
        <w:rPr>
          <w:lang w:val="es-ES_tradnl"/>
        </w:rPr>
        <w:t xml:space="preserve">egionales, es el principal encargado de </w:t>
      </w:r>
      <w:r w:rsidR="00B54243" w:rsidRPr="00A91E95">
        <w:rPr>
          <w:lang w:val="es-ES_tradnl"/>
        </w:rPr>
        <w:t>prestar asistencia técnica</w:t>
      </w:r>
      <w:r w:rsidRPr="00A91E95">
        <w:rPr>
          <w:lang w:val="es-ES_tradnl"/>
        </w:rPr>
        <w:t xml:space="preserve"> y de coordinar la labor realizada por otros sectores de la Organización. Las actividades de asistencia técnica de la OMPI </w:t>
      </w:r>
      <w:r w:rsidR="00B54243" w:rsidRPr="00A91E95">
        <w:rPr>
          <w:lang w:val="es-ES_tradnl"/>
        </w:rPr>
        <w:t xml:space="preserve">van dirigidas </w:t>
      </w:r>
      <w:r w:rsidRPr="00A91E95">
        <w:rPr>
          <w:lang w:val="es-ES_tradnl"/>
        </w:rPr>
        <w:t>a una amplia variedad de partes interesadas, entre las que figuran instituciones gubernamentales, titulares de derechos de PI, miembros del mundo académico, del sector privado, etc.</w:t>
      </w:r>
    </w:p>
    <w:p w:rsidR="00473D04" w:rsidRPr="00A91E95" w:rsidRDefault="00B54243" w:rsidP="00473D04">
      <w:pPr>
        <w:spacing w:after="240"/>
        <w:rPr>
          <w:lang w:val="es-ES_tradnl"/>
        </w:rPr>
      </w:pPr>
      <w:r w:rsidRPr="00A91E95">
        <w:rPr>
          <w:lang w:val="es-ES_tradnl"/>
        </w:rPr>
        <w:t>Desde la adopción de la Agenda de la OMPI para el Desarrollo, la asistencia técnica de la Organización se ha guiado por las recomendaciones contenidas en la Categoría A</w:t>
      </w:r>
      <w:r w:rsidR="008069A6" w:rsidRPr="00A91E95">
        <w:rPr>
          <w:lang w:val="es-ES_tradnl"/>
        </w:rPr>
        <w:t>,</w:t>
      </w:r>
      <w:r w:rsidRPr="00A91E95">
        <w:rPr>
          <w:lang w:val="es-ES_tradnl"/>
        </w:rPr>
        <w:t xml:space="preserve"> "Asistencia técnica y fortalecimiento de capacidades", y en particular por los principios reflejados en la Recomendación 1 de la Agenda para el Desarrollo.</w:t>
      </w:r>
      <w:r w:rsidR="00473D04" w:rsidRPr="00A91E95">
        <w:rPr>
          <w:rStyle w:val="FootnoteReference"/>
          <w:lang w:val="es-ES_tradnl"/>
        </w:rPr>
        <w:footnoteReference w:id="4"/>
      </w:r>
      <w:r w:rsidR="00711AEE" w:rsidRPr="00A91E95">
        <w:rPr>
          <w:lang w:val="es-ES_tradnl"/>
        </w:rPr>
        <w:t xml:space="preserve"> </w:t>
      </w:r>
    </w:p>
    <w:p w:rsidR="00473D04" w:rsidRPr="00A91E95" w:rsidRDefault="008069A6" w:rsidP="00473D04">
      <w:pPr>
        <w:rPr>
          <w:lang w:val="es-ES_tradnl"/>
        </w:rPr>
      </w:pPr>
      <w:r w:rsidRPr="00A91E95">
        <w:rPr>
          <w:lang w:val="es-ES_tradnl"/>
        </w:rPr>
        <w:t>A efectos de la presente revisión, la definición de asistencia técnica se basará en las actividades de la OMPI relacionadas con:</w:t>
      </w:r>
    </w:p>
    <w:p w:rsidR="00473D04" w:rsidRPr="00A91E95" w:rsidRDefault="008069A6" w:rsidP="008069A6">
      <w:pPr>
        <w:pStyle w:val="ListParagraph"/>
        <w:numPr>
          <w:ilvl w:val="0"/>
          <w:numId w:val="16"/>
        </w:numPr>
        <w:rPr>
          <w:lang w:val="es-ES_tradnl"/>
        </w:rPr>
      </w:pPr>
      <w:r w:rsidRPr="00A91E95">
        <w:rPr>
          <w:lang w:val="es-ES_tradnl"/>
        </w:rPr>
        <w:t>las estrategias nacionales de PI y los planes de desarrollo</w:t>
      </w:r>
      <w:r w:rsidR="00473D04" w:rsidRPr="00A91E95">
        <w:rPr>
          <w:lang w:val="es-ES_tradnl"/>
        </w:rPr>
        <w:t xml:space="preserve">; </w:t>
      </w:r>
    </w:p>
    <w:p w:rsidR="00473D04" w:rsidRPr="00A91E95" w:rsidRDefault="008069A6" w:rsidP="008069A6">
      <w:pPr>
        <w:pStyle w:val="ListParagraph"/>
        <w:numPr>
          <w:ilvl w:val="0"/>
          <w:numId w:val="16"/>
        </w:numPr>
        <w:rPr>
          <w:lang w:val="es-ES_tradnl"/>
        </w:rPr>
      </w:pPr>
      <w:r w:rsidRPr="00A91E95">
        <w:rPr>
          <w:lang w:val="es-ES_tradnl"/>
        </w:rPr>
        <w:t xml:space="preserve">la infraestructura técnica y administrativa </w:t>
      </w:r>
      <w:r w:rsidR="00473D04" w:rsidRPr="00A91E95">
        <w:rPr>
          <w:lang w:val="es-ES_tradnl"/>
        </w:rPr>
        <w:t>(</w:t>
      </w:r>
      <w:r w:rsidRPr="00A91E95">
        <w:rPr>
          <w:lang w:val="es-ES_tradnl"/>
        </w:rPr>
        <w:t>soluciones para las oficinas de PI, bases de datos</w:t>
      </w:r>
      <w:r w:rsidR="00473D04" w:rsidRPr="00A91E95">
        <w:rPr>
          <w:lang w:val="es-ES_tradnl"/>
        </w:rPr>
        <w:t xml:space="preserve">); </w:t>
      </w:r>
    </w:p>
    <w:p w:rsidR="00473D04" w:rsidRPr="00A91E95" w:rsidRDefault="008069A6" w:rsidP="008069A6">
      <w:pPr>
        <w:pStyle w:val="ListParagraph"/>
        <w:numPr>
          <w:ilvl w:val="0"/>
          <w:numId w:val="16"/>
        </w:numPr>
        <w:rPr>
          <w:lang w:val="es-ES_tradnl"/>
        </w:rPr>
      </w:pPr>
      <w:r w:rsidRPr="00A91E95">
        <w:rPr>
          <w:lang w:val="es-ES_tradnl"/>
        </w:rPr>
        <w:t>el fortalecimiento de capacidades</w:t>
      </w:r>
      <w:r w:rsidR="00473D04" w:rsidRPr="00A91E95">
        <w:rPr>
          <w:lang w:val="es-ES_tradnl"/>
        </w:rPr>
        <w:t xml:space="preserve">; </w:t>
      </w:r>
    </w:p>
    <w:p w:rsidR="00473D04" w:rsidRPr="00A91E95" w:rsidRDefault="008069A6" w:rsidP="008069A6">
      <w:pPr>
        <w:pStyle w:val="ListParagraph"/>
        <w:numPr>
          <w:ilvl w:val="0"/>
          <w:numId w:val="16"/>
        </w:numPr>
        <w:rPr>
          <w:lang w:val="es-ES_tradnl"/>
        </w:rPr>
      </w:pPr>
      <w:r w:rsidRPr="00A91E95">
        <w:rPr>
          <w:lang w:val="es-ES_tradnl"/>
        </w:rPr>
        <w:t>la asistencia legislativa</w:t>
      </w:r>
      <w:r w:rsidR="00473D04" w:rsidRPr="00A91E95">
        <w:rPr>
          <w:lang w:val="es-ES_tradnl"/>
        </w:rPr>
        <w:t xml:space="preserve">; </w:t>
      </w:r>
    </w:p>
    <w:p w:rsidR="00473D04" w:rsidRPr="00A91E95" w:rsidRDefault="008069A6" w:rsidP="008069A6">
      <w:pPr>
        <w:pStyle w:val="ListParagraph"/>
        <w:numPr>
          <w:ilvl w:val="0"/>
          <w:numId w:val="16"/>
        </w:numPr>
        <w:rPr>
          <w:lang w:val="es-ES_tradnl"/>
        </w:rPr>
      </w:pPr>
      <w:r w:rsidRPr="00A91E95">
        <w:rPr>
          <w:lang w:val="es-ES_tradnl"/>
        </w:rPr>
        <w:t>los proyectos vinculados a la Agenda para el Desarrollo</w:t>
      </w:r>
      <w:r w:rsidR="00473D04" w:rsidRPr="00A91E95">
        <w:rPr>
          <w:lang w:val="es-ES_tradnl"/>
        </w:rPr>
        <w:t xml:space="preserve">; </w:t>
      </w:r>
    </w:p>
    <w:p w:rsidR="00473D04" w:rsidRPr="00A91E95" w:rsidRDefault="008069A6" w:rsidP="008069A6">
      <w:pPr>
        <w:pStyle w:val="ListParagraph"/>
        <w:numPr>
          <w:ilvl w:val="0"/>
          <w:numId w:val="16"/>
        </w:numPr>
        <w:rPr>
          <w:lang w:val="es-ES_tradnl"/>
        </w:rPr>
      </w:pPr>
      <w:r w:rsidRPr="00A91E95">
        <w:rPr>
          <w:lang w:val="es-ES_tradnl"/>
        </w:rPr>
        <w:t xml:space="preserve">las alianzas público-privadas </w:t>
      </w:r>
      <w:r w:rsidR="00473D04" w:rsidRPr="00A91E95">
        <w:rPr>
          <w:lang w:val="es-ES_tradnl"/>
        </w:rPr>
        <w:t>(</w:t>
      </w:r>
      <w:r w:rsidRPr="00A91E95">
        <w:rPr>
          <w:lang w:val="es-ES_tradnl"/>
        </w:rPr>
        <w:t>plataformas de múltiples partes interesadas</w:t>
      </w:r>
      <w:r w:rsidR="00473D04" w:rsidRPr="00A91E95">
        <w:rPr>
          <w:lang w:val="es-ES_tradnl"/>
        </w:rPr>
        <w:t>).</w:t>
      </w:r>
    </w:p>
    <w:p w:rsidR="00473D04" w:rsidRPr="00A91E95" w:rsidRDefault="00CE1A5C" w:rsidP="00473D04">
      <w:pPr>
        <w:pStyle w:val="ListParagraph"/>
        <w:numPr>
          <w:ilvl w:val="0"/>
          <w:numId w:val="17"/>
        </w:numPr>
        <w:spacing w:before="240" w:after="240"/>
        <w:ind w:left="648"/>
        <w:contextualSpacing w:val="0"/>
        <w:rPr>
          <w:lang w:val="es-ES_tradnl"/>
        </w:rPr>
      </w:pPr>
      <w:r w:rsidRPr="00A91E95">
        <w:rPr>
          <w:lang w:val="es-ES_tradnl"/>
        </w:rPr>
        <w:lastRenderedPageBreak/>
        <w:t>FINALIDAD DE LA REVISIÓN</w:t>
      </w:r>
    </w:p>
    <w:p w:rsidR="00473D04" w:rsidRPr="00A91E95" w:rsidRDefault="009669D1" w:rsidP="00473D04">
      <w:pPr>
        <w:spacing w:after="240"/>
        <w:rPr>
          <w:lang w:val="es-ES_tradnl"/>
        </w:rPr>
      </w:pPr>
      <w:r w:rsidRPr="00A91E95">
        <w:rPr>
          <w:lang w:val="es-ES_tradnl"/>
        </w:rPr>
        <w:t>La finalidad general de la revisión será proponer formas de mejorar las actividades de asistencia técnica de la Organización, incluida la manera de fortalecer su marco de gestión por resultados a fin de facilitar el seguimiento y la evaluación de la incidencia de estas actividades en el desarrollo, teniendo en cuenta los ODS, el Plan Estratégico a Mediano Plazo de la OMPI para 2022-2026 y las recomendaciones de la Agenda para el Desarrollo.</w:t>
      </w:r>
    </w:p>
    <w:p w:rsidR="00473D04" w:rsidRPr="00A91E95" w:rsidRDefault="009669D1" w:rsidP="00473D04">
      <w:pPr>
        <w:rPr>
          <w:lang w:val="es-ES_tradnl"/>
        </w:rPr>
      </w:pPr>
      <w:r w:rsidRPr="00A91E95">
        <w:rPr>
          <w:lang w:val="es-ES_tradnl"/>
        </w:rPr>
        <w:t>Más concretamente, en la revisión se evaluarán a gran escala las actividades de asistencia técnica de la OMPI en el ámbito de la cooperación para el desarrollo, a fin de determinar su pertinencia, coherencia, eficacia, eficiencia, sostenibilidad e incidencia. También se evaluará si los mecanismos de coordinación interna existentes son adecuados para este tipo de actividades, habida cuenta de que la revisión se llevará a cabo en un momento de cambios</w:t>
      </w:r>
      <w:r w:rsidR="00FD7DBE" w:rsidRPr="00A91E95">
        <w:rPr>
          <w:lang w:val="es-ES_tradnl"/>
        </w:rPr>
        <w:t xml:space="preserve"> importantes en la Organización</w:t>
      </w:r>
      <w:r w:rsidRPr="00A91E95">
        <w:rPr>
          <w:lang w:val="es-ES_tradnl"/>
        </w:rPr>
        <w:t xml:space="preserve"> que atañen a su funcionamiento y a la prestación de servicios, en consonancia con las nuevas orientaciones estratégicas establecidas por el equipo directivo superior.</w:t>
      </w:r>
    </w:p>
    <w:p w:rsidR="00473D04" w:rsidRPr="00A91E95" w:rsidRDefault="009669D1" w:rsidP="00473D04">
      <w:pPr>
        <w:pStyle w:val="ListParagraph"/>
        <w:numPr>
          <w:ilvl w:val="0"/>
          <w:numId w:val="17"/>
        </w:numPr>
        <w:spacing w:before="240" w:after="240"/>
        <w:ind w:left="633" w:hanging="446"/>
        <w:contextualSpacing w:val="0"/>
        <w:rPr>
          <w:lang w:val="es-ES_tradnl"/>
        </w:rPr>
      </w:pPr>
      <w:r w:rsidRPr="00A91E95">
        <w:rPr>
          <w:lang w:val="es-ES_tradnl"/>
        </w:rPr>
        <w:t>ALCANCE</w:t>
      </w:r>
    </w:p>
    <w:p w:rsidR="00473D04" w:rsidRPr="00A91E95" w:rsidRDefault="00846652" w:rsidP="00473D04">
      <w:pPr>
        <w:spacing w:after="240"/>
        <w:rPr>
          <w:lang w:val="es-ES_tradnl"/>
        </w:rPr>
      </w:pPr>
      <w:r w:rsidRPr="00A91E95">
        <w:rPr>
          <w:lang w:val="es-ES_tradnl"/>
        </w:rPr>
        <w:t>Con arreglo a lo decidido por el CDIP, la revisión girará en torno a las actividades de asistencia técnica de la OMPI en la esfera de la cooperación para el des</w:t>
      </w:r>
      <w:r w:rsidR="00E9691D" w:rsidRPr="00A91E95">
        <w:rPr>
          <w:lang w:val="es-ES_tradnl"/>
        </w:rPr>
        <w:t>arrollo realizadas entre 2017 y </w:t>
      </w:r>
      <w:r w:rsidRPr="00A91E95">
        <w:rPr>
          <w:lang w:val="es-ES_tradnl"/>
        </w:rPr>
        <w:t>2022. En el examen se tendrá en cuenta la asistencia prestada por todos los sectores pertinentes de la OMPI y mediante todos los tipos de actividades descritas en la parte III. También se tendrán en cuenta las actividades realizadas en todas las regiones geográficas, las herramientas y metodologías establecidas y utilizadas en la prestación de dicha asistencia, y el cambio de enfoque en la prestación de asistencia que ha impuesto la pandemia de COVID-19.</w:t>
      </w:r>
    </w:p>
    <w:p w:rsidR="00473D04" w:rsidRPr="00A91E95" w:rsidRDefault="00846652" w:rsidP="00473D04">
      <w:pPr>
        <w:pStyle w:val="ListParagraph"/>
        <w:numPr>
          <w:ilvl w:val="0"/>
          <w:numId w:val="17"/>
        </w:numPr>
        <w:spacing w:before="240" w:after="240"/>
        <w:ind w:left="734" w:hanging="446"/>
        <w:contextualSpacing w:val="0"/>
        <w:rPr>
          <w:lang w:val="es-ES_tradnl"/>
        </w:rPr>
      </w:pPr>
      <w:r w:rsidRPr="00A91E95">
        <w:rPr>
          <w:lang w:val="es-ES_tradnl"/>
        </w:rPr>
        <w:t>PREGUNTAS FUNDAMENTALES</w:t>
      </w:r>
    </w:p>
    <w:p w:rsidR="00473D04" w:rsidRPr="00A91E95" w:rsidRDefault="00846652" w:rsidP="00473D04">
      <w:pPr>
        <w:spacing w:after="240"/>
        <w:rPr>
          <w:bCs/>
          <w:i/>
          <w:lang w:val="es-ES_tradnl"/>
        </w:rPr>
      </w:pPr>
      <w:r w:rsidRPr="00A91E95">
        <w:rPr>
          <w:rFonts w:eastAsia="Arial"/>
          <w:szCs w:val="22"/>
          <w:lang w:val="es-ES_tradnl"/>
        </w:rPr>
        <w:t>Al evaluar la pertinencia, coherencia, eficacia, eficiencia, sostenibilidad y, en última instancia, la incidencia de las actividades de asistencia técnica de la OMPI para el desarrollo, la revisión procurará responder a las siguientes preguntas fundamentales de evaluación</w:t>
      </w:r>
      <w:r w:rsidR="00473D04" w:rsidRPr="00A91E95">
        <w:rPr>
          <w:lang w:val="es-ES_tradnl"/>
        </w:rPr>
        <w:t>:</w:t>
      </w:r>
    </w:p>
    <w:p w:rsidR="00473D04" w:rsidRPr="00A91E95" w:rsidRDefault="00846652" w:rsidP="00473D04">
      <w:pPr>
        <w:spacing w:after="240"/>
        <w:rPr>
          <w:i/>
          <w:lang w:val="es-ES_tradnl"/>
        </w:rPr>
      </w:pPr>
      <w:r w:rsidRPr="00A91E95">
        <w:rPr>
          <w:bCs/>
          <w:i/>
          <w:lang w:val="es-ES_tradnl"/>
        </w:rPr>
        <w:t>Pertinencia</w:t>
      </w:r>
      <w:r w:rsidR="00473D04" w:rsidRPr="00A91E95">
        <w:rPr>
          <w:bCs/>
          <w:i/>
          <w:lang w:val="es-ES_tradnl"/>
        </w:rPr>
        <w:t>:</w:t>
      </w:r>
    </w:p>
    <w:p w:rsidR="00473D04" w:rsidRPr="00A91E95" w:rsidRDefault="009F4B68" w:rsidP="009F4B68">
      <w:pPr>
        <w:pStyle w:val="ListParagraph"/>
        <w:numPr>
          <w:ilvl w:val="0"/>
          <w:numId w:val="12"/>
        </w:numPr>
        <w:rPr>
          <w:i/>
          <w:color w:val="000000" w:themeColor="text1"/>
          <w:lang w:val="es-ES_tradnl"/>
        </w:rPr>
      </w:pPr>
      <w:r w:rsidRPr="00A91E95">
        <w:rPr>
          <w:i/>
          <w:color w:val="000000" w:themeColor="text1"/>
          <w:lang w:val="es-ES_tradnl"/>
        </w:rPr>
        <w:t>¿En qué medida la asistencia técnica de la OMPI complementó la ejecución de los planes nacionales de desarrollo de los Estados miembros?</w:t>
      </w:r>
    </w:p>
    <w:p w:rsidR="00473D04" w:rsidRPr="00A91E95" w:rsidRDefault="009F4B68" w:rsidP="009F4B68">
      <w:pPr>
        <w:pStyle w:val="ListParagraph"/>
        <w:numPr>
          <w:ilvl w:val="0"/>
          <w:numId w:val="12"/>
        </w:numPr>
        <w:rPr>
          <w:i/>
          <w:lang w:val="es-ES_tradnl"/>
        </w:rPr>
      </w:pPr>
      <w:r w:rsidRPr="00A91E95">
        <w:rPr>
          <w:i/>
          <w:lang w:val="es-ES_tradnl"/>
        </w:rPr>
        <w:t>¿En qué medida identificó la OMPI las necesidades y los destinatarios adecuados para sus intervenciones de asistencia técnica?</w:t>
      </w:r>
    </w:p>
    <w:p w:rsidR="00473D04" w:rsidRPr="00A91E95" w:rsidRDefault="009F4B68" w:rsidP="009F4B68">
      <w:pPr>
        <w:pStyle w:val="ListParagraph"/>
        <w:numPr>
          <w:ilvl w:val="0"/>
          <w:numId w:val="12"/>
        </w:numPr>
        <w:rPr>
          <w:i/>
          <w:lang w:val="es-ES_tradnl"/>
        </w:rPr>
      </w:pPr>
      <w:r w:rsidRPr="00A91E95">
        <w:rPr>
          <w:i/>
          <w:lang w:val="es-ES_tradnl"/>
        </w:rPr>
        <w:t>¿En qué medida las intervenciones de asistencia técnica respondieron a las necesidades de los distintos actores nacionales, en particular, las instancias encargadas de formular políticas, los ministerios competentes, las oficinas de PI y otras partes interesadas pertinentes?</w:t>
      </w:r>
    </w:p>
    <w:p w:rsidR="00473D04" w:rsidRPr="00A91E95" w:rsidRDefault="009F4B68" w:rsidP="009F4B68">
      <w:pPr>
        <w:pStyle w:val="ListParagraph"/>
        <w:numPr>
          <w:ilvl w:val="0"/>
          <w:numId w:val="12"/>
        </w:numPr>
        <w:rPr>
          <w:i/>
          <w:lang w:val="es-ES_tradnl"/>
        </w:rPr>
      </w:pPr>
      <w:r w:rsidRPr="00A91E95">
        <w:rPr>
          <w:i/>
          <w:lang w:val="es-ES_tradnl"/>
        </w:rPr>
        <w:t>¿En qué medida las intervenciones de asistencia técnica se ajustaron a las recomendaciones contenidas en la Categoría A de la Agenda para el Desarrollo de la OMPI?</w:t>
      </w:r>
      <w:r w:rsidR="00473D04" w:rsidRPr="00A91E95">
        <w:rPr>
          <w:i/>
          <w:lang w:val="es-ES_tradnl"/>
        </w:rPr>
        <w:t xml:space="preserve"> </w:t>
      </w:r>
    </w:p>
    <w:p w:rsidR="00473D04" w:rsidRPr="00A91E95" w:rsidRDefault="009F4B68" w:rsidP="009F4B68">
      <w:pPr>
        <w:pStyle w:val="ListParagraph"/>
        <w:numPr>
          <w:ilvl w:val="0"/>
          <w:numId w:val="12"/>
        </w:numPr>
        <w:spacing w:after="240"/>
        <w:contextualSpacing w:val="0"/>
        <w:rPr>
          <w:i/>
          <w:lang w:val="es-ES_tradnl"/>
        </w:rPr>
      </w:pPr>
      <w:r w:rsidRPr="00A91E95">
        <w:rPr>
          <w:i/>
          <w:lang w:val="es-ES_tradnl"/>
        </w:rPr>
        <w:t>¿Se tuvieron en cuenta las cuestiones de equilibrio de género en las intervenciones de asistencia técnica, de conformidad con la Política de la OMPI de 2014 sobre igualdad de género? En caso afirmativo, ¿cómo?</w:t>
      </w:r>
    </w:p>
    <w:p w:rsidR="00473D04" w:rsidRPr="00A91E95" w:rsidRDefault="00473D04" w:rsidP="00473D04">
      <w:pPr>
        <w:spacing w:after="240"/>
        <w:rPr>
          <w:i/>
          <w:lang w:val="es-ES_tradnl"/>
        </w:rPr>
      </w:pPr>
      <w:r w:rsidRPr="00A91E95">
        <w:rPr>
          <w:bCs/>
          <w:i/>
          <w:lang w:val="es-ES_tradnl"/>
        </w:rPr>
        <w:t>Coherenc</w:t>
      </w:r>
      <w:r w:rsidR="009F4B68" w:rsidRPr="00A91E95">
        <w:rPr>
          <w:bCs/>
          <w:i/>
          <w:lang w:val="es-ES_tradnl"/>
        </w:rPr>
        <w:t>ia</w:t>
      </w:r>
      <w:r w:rsidRPr="00A91E95">
        <w:rPr>
          <w:bCs/>
          <w:i/>
          <w:lang w:val="es-ES_tradnl"/>
        </w:rPr>
        <w:t xml:space="preserve">: </w:t>
      </w:r>
    </w:p>
    <w:p w:rsidR="00473D04" w:rsidRPr="00A91E95" w:rsidRDefault="009F4B68" w:rsidP="009F4B68">
      <w:pPr>
        <w:pStyle w:val="ListParagraph"/>
        <w:numPr>
          <w:ilvl w:val="0"/>
          <w:numId w:val="11"/>
        </w:numPr>
        <w:spacing w:after="240"/>
        <w:contextualSpacing w:val="0"/>
        <w:rPr>
          <w:i/>
          <w:lang w:val="es-ES_tradnl"/>
        </w:rPr>
      </w:pPr>
      <w:r w:rsidRPr="00A91E95">
        <w:rPr>
          <w:i/>
          <w:lang w:val="es-ES_tradnl"/>
        </w:rPr>
        <w:t>¿En qué medida se diseñaron las actividades de asistencia técnica de la OMPI con vistas a garantizar la coherencia de las políticas en relación con el desarrollo?</w:t>
      </w:r>
    </w:p>
    <w:p w:rsidR="00473D04" w:rsidRPr="00A91E95" w:rsidRDefault="009F4B68" w:rsidP="00E9691D">
      <w:pPr>
        <w:keepNext/>
        <w:keepLines/>
        <w:spacing w:after="240"/>
        <w:rPr>
          <w:bCs/>
          <w:i/>
          <w:lang w:val="es-ES_tradnl"/>
        </w:rPr>
      </w:pPr>
      <w:r w:rsidRPr="00A91E95">
        <w:rPr>
          <w:bCs/>
          <w:i/>
          <w:lang w:val="es-ES_tradnl"/>
        </w:rPr>
        <w:lastRenderedPageBreak/>
        <w:t>Eficacia</w:t>
      </w:r>
      <w:r w:rsidR="00473D04" w:rsidRPr="00A91E95">
        <w:rPr>
          <w:bCs/>
          <w:i/>
          <w:lang w:val="es-ES_tradnl"/>
        </w:rPr>
        <w:t>:</w:t>
      </w:r>
    </w:p>
    <w:p w:rsidR="00473D04" w:rsidRPr="00A91E95" w:rsidRDefault="00572F14" w:rsidP="00572F14">
      <w:pPr>
        <w:pStyle w:val="ListParagraph"/>
        <w:numPr>
          <w:ilvl w:val="0"/>
          <w:numId w:val="10"/>
        </w:numPr>
        <w:rPr>
          <w:i/>
          <w:lang w:val="es-ES_tradnl"/>
        </w:rPr>
      </w:pPr>
      <w:r w:rsidRPr="00A91E95">
        <w:rPr>
          <w:i/>
          <w:lang w:val="es-ES_tradnl"/>
        </w:rPr>
        <w:t>¿En qué medida fue eficaz el enfoque de la OMPI en la prestación de asistencia técnica?</w:t>
      </w:r>
      <w:r w:rsidR="00473D04" w:rsidRPr="00A91E95">
        <w:rPr>
          <w:i/>
          <w:lang w:val="es-ES_tradnl"/>
        </w:rPr>
        <w:t xml:space="preserve"> </w:t>
      </w:r>
    </w:p>
    <w:p w:rsidR="00473D04" w:rsidRPr="00A91E95" w:rsidRDefault="00572F14" w:rsidP="00572F14">
      <w:pPr>
        <w:pStyle w:val="ListParagraph"/>
        <w:numPr>
          <w:ilvl w:val="0"/>
          <w:numId w:val="10"/>
        </w:numPr>
        <w:rPr>
          <w:i/>
          <w:lang w:val="es-ES_tradnl"/>
        </w:rPr>
      </w:pPr>
      <w:r w:rsidRPr="00A91E95">
        <w:rPr>
          <w:i/>
          <w:lang w:val="es-ES_tradnl"/>
        </w:rPr>
        <w:t>¿En qué medida las intervenciones de asistencia técnica de la OMPI contribuyeron a mejorar y maximizar la transferencia de conocimientos, competencias y capacidades a los Estados miembros con miras a mejorar la capacidad institucional de los países para administrar, gestionar y utilizar la PI?</w:t>
      </w:r>
      <w:r w:rsidR="006163FD" w:rsidRPr="00A91E95">
        <w:rPr>
          <w:i/>
          <w:lang w:val="es-ES_tradnl"/>
        </w:rPr>
        <w:t xml:space="preserve"> </w:t>
      </w:r>
    </w:p>
    <w:p w:rsidR="00473D04" w:rsidRPr="00A91E95" w:rsidRDefault="00572F14" w:rsidP="00572F14">
      <w:pPr>
        <w:pStyle w:val="ListParagraph"/>
        <w:numPr>
          <w:ilvl w:val="0"/>
          <w:numId w:val="10"/>
        </w:numPr>
        <w:rPr>
          <w:i/>
          <w:lang w:val="es-ES_tradnl"/>
        </w:rPr>
      </w:pPr>
      <w:r w:rsidRPr="00A91E95">
        <w:rPr>
          <w:i/>
          <w:lang w:val="es-ES_tradnl"/>
        </w:rPr>
        <w:t>¿Se organizaron todas las intervenciones de asistencia técnica de forma eficaz y oportuna? ¿Se lograron los resultados a tiempo?</w:t>
      </w:r>
    </w:p>
    <w:p w:rsidR="00473D04" w:rsidRPr="00A91E95" w:rsidRDefault="00572F14" w:rsidP="00572F14">
      <w:pPr>
        <w:pStyle w:val="ListParagraph"/>
        <w:numPr>
          <w:ilvl w:val="0"/>
          <w:numId w:val="10"/>
        </w:numPr>
        <w:rPr>
          <w:i/>
          <w:lang w:val="es-ES_tradnl"/>
        </w:rPr>
      </w:pPr>
      <w:r w:rsidRPr="00A91E95">
        <w:rPr>
          <w:i/>
          <w:lang w:val="es-ES_tradnl"/>
        </w:rPr>
        <w:t>¿Qué tipos de asistencia técnica fueron los más eficaces, y en qué ámbitos?</w:t>
      </w:r>
    </w:p>
    <w:p w:rsidR="00473D04" w:rsidRPr="00A91E95" w:rsidRDefault="00572F14" w:rsidP="00572F14">
      <w:pPr>
        <w:pStyle w:val="ListParagraph"/>
        <w:numPr>
          <w:ilvl w:val="0"/>
          <w:numId w:val="10"/>
        </w:numPr>
        <w:rPr>
          <w:i/>
          <w:lang w:val="es-ES_tradnl"/>
        </w:rPr>
      </w:pPr>
      <w:r w:rsidRPr="00A91E95">
        <w:rPr>
          <w:i/>
          <w:lang w:val="es-ES_tradnl"/>
        </w:rPr>
        <w:t>¿En qué medida contribuyeron las actividades de asistencia técnica a alcanzar los resultados previstos de la OMPI?</w:t>
      </w:r>
    </w:p>
    <w:p w:rsidR="00473D04" w:rsidRPr="00A91E95" w:rsidRDefault="00572F14" w:rsidP="00572F14">
      <w:pPr>
        <w:pStyle w:val="ListParagraph"/>
        <w:numPr>
          <w:ilvl w:val="0"/>
          <w:numId w:val="10"/>
        </w:numPr>
        <w:spacing w:after="240"/>
        <w:contextualSpacing w:val="0"/>
        <w:rPr>
          <w:bCs/>
          <w:i/>
          <w:lang w:val="es-ES_tradnl"/>
        </w:rPr>
      </w:pPr>
      <w:r w:rsidRPr="00A91E95">
        <w:rPr>
          <w:i/>
          <w:lang w:val="es-ES_tradnl"/>
        </w:rPr>
        <w:t>¿Estaba la Organización en condiciones de dar respuesta a las solicitudes de asistencia de los Estados miembros para alcanzar los ODS?</w:t>
      </w:r>
    </w:p>
    <w:p w:rsidR="00473D04" w:rsidRPr="00A91E95" w:rsidRDefault="000A2F29" w:rsidP="00473D04">
      <w:pPr>
        <w:spacing w:after="240"/>
        <w:rPr>
          <w:i/>
          <w:lang w:val="es-ES_tradnl"/>
        </w:rPr>
      </w:pPr>
      <w:r w:rsidRPr="00A91E95">
        <w:rPr>
          <w:bCs/>
          <w:i/>
          <w:lang w:val="es-ES_tradnl"/>
        </w:rPr>
        <w:t>Ef</w:t>
      </w:r>
      <w:r w:rsidR="00473D04" w:rsidRPr="00A91E95">
        <w:rPr>
          <w:bCs/>
          <w:i/>
          <w:lang w:val="es-ES_tradnl"/>
        </w:rPr>
        <w:t>icienc</w:t>
      </w:r>
      <w:r w:rsidRPr="00A91E95">
        <w:rPr>
          <w:bCs/>
          <w:i/>
          <w:lang w:val="es-ES_tradnl"/>
        </w:rPr>
        <w:t>ia</w:t>
      </w:r>
      <w:r w:rsidR="00473D04" w:rsidRPr="00A91E95">
        <w:rPr>
          <w:bCs/>
          <w:i/>
          <w:lang w:val="es-ES_tradnl"/>
        </w:rPr>
        <w:t xml:space="preserve">: </w:t>
      </w:r>
    </w:p>
    <w:p w:rsidR="00473D04" w:rsidRPr="00A91E95" w:rsidRDefault="00331BBB" w:rsidP="00331BBB">
      <w:pPr>
        <w:pStyle w:val="ListParagraph"/>
        <w:numPr>
          <w:ilvl w:val="0"/>
          <w:numId w:val="13"/>
        </w:numPr>
        <w:rPr>
          <w:i/>
          <w:lang w:val="es-ES_tradnl"/>
        </w:rPr>
      </w:pPr>
      <w:r w:rsidRPr="00A91E95">
        <w:rPr>
          <w:i/>
          <w:lang w:val="es-ES_tradnl"/>
        </w:rPr>
        <w:t xml:space="preserve">¿En qué medida la OMPI planificó, presupuestó y puso a disposición recursos de personal para sus actividades de asistencia técnica de forma coherente y </w:t>
      </w:r>
      <w:r w:rsidR="00F51261" w:rsidRPr="00A91E95">
        <w:rPr>
          <w:i/>
          <w:lang w:val="es-ES_tradnl"/>
        </w:rPr>
        <w:t>eficaz en función de los costos</w:t>
      </w:r>
      <w:r w:rsidRPr="00A91E95">
        <w:rPr>
          <w:i/>
          <w:lang w:val="es-ES_tradnl"/>
        </w:rPr>
        <w:t>?</w:t>
      </w:r>
      <w:r w:rsidR="006163FD" w:rsidRPr="00A91E95">
        <w:rPr>
          <w:i/>
          <w:lang w:val="es-ES_tradnl"/>
        </w:rPr>
        <w:t xml:space="preserve"> </w:t>
      </w:r>
    </w:p>
    <w:p w:rsidR="00473D04" w:rsidRPr="00A91E95" w:rsidRDefault="00F51261" w:rsidP="00F51261">
      <w:pPr>
        <w:pStyle w:val="ListParagraph"/>
        <w:numPr>
          <w:ilvl w:val="0"/>
          <w:numId w:val="13"/>
        </w:numPr>
        <w:rPr>
          <w:i/>
          <w:lang w:val="es-ES_tradnl"/>
        </w:rPr>
      </w:pPr>
      <w:r w:rsidRPr="00A91E95">
        <w:rPr>
          <w:i/>
          <w:lang w:val="es-ES_tradnl"/>
        </w:rPr>
        <w:t>¿En qué medida el enfoque de la OMPI respecto de las actividades de asistencia técnica se ajustaba a los objetivos fijados?</w:t>
      </w:r>
    </w:p>
    <w:p w:rsidR="00473D04" w:rsidRPr="00A91E95" w:rsidRDefault="00F51261" w:rsidP="00F51261">
      <w:pPr>
        <w:pStyle w:val="ListParagraph"/>
        <w:numPr>
          <w:ilvl w:val="0"/>
          <w:numId w:val="13"/>
        </w:numPr>
        <w:rPr>
          <w:i/>
          <w:lang w:val="es-ES_tradnl"/>
        </w:rPr>
      </w:pPr>
      <w:r w:rsidRPr="00A91E95">
        <w:rPr>
          <w:i/>
          <w:lang w:val="es-ES_tradnl"/>
        </w:rPr>
        <w:t>¿En qué medida se aprovecharon los recursos de forma racional desde el punto de vista económico? ¿Cómo podría haber mejorado la OMPI la utilización de los recursos?</w:t>
      </w:r>
    </w:p>
    <w:p w:rsidR="00473D04" w:rsidRPr="00A91E95" w:rsidRDefault="00F51261" w:rsidP="00F51261">
      <w:pPr>
        <w:pStyle w:val="ListParagraph"/>
        <w:numPr>
          <w:ilvl w:val="0"/>
          <w:numId w:val="13"/>
        </w:numPr>
        <w:rPr>
          <w:i/>
          <w:lang w:val="es-ES_tradnl"/>
        </w:rPr>
      </w:pPr>
      <w:r w:rsidRPr="00A91E95">
        <w:rPr>
          <w:i/>
          <w:lang w:val="es-ES_tradnl"/>
        </w:rPr>
        <w:t>¿Cuáles fueron los puntos fuertes y débiles de las intervenciones de asistencia técnica?</w:t>
      </w:r>
    </w:p>
    <w:p w:rsidR="00473D04" w:rsidRPr="00A91E95" w:rsidRDefault="00F51261" w:rsidP="00F51261">
      <w:pPr>
        <w:pStyle w:val="ListParagraph"/>
        <w:numPr>
          <w:ilvl w:val="0"/>
          <w:numId w:val="13"/>
        </w:numPr>
        <w:rPr>
          <w:i/>
          <w:lang w:val="es-ES_tradnl"/>
        </w:rPr>
      </w:pPr>
      <w:r w:rsidRPr="00A91E95">
        <w:rPr>
          <w:i/>
          <w:lang w:val="es-ES_tradnl"/>
        </w:rPr>
        <w:t>¿Qué mecanismos existían para efectuar un seguimiento de la asignación de recursos a actividades relacionadas con el desarrollo?</w:t>
      </w:r>
    </w:p>
    <w:p w:rsidR="00473D04" w:rsidRPr="00A91E95" w:rsidRDefault="00F51261" w:rsidP="00F51261">
      <w:pPr>
        <w:pStyle w:val="ListParagraph"/>
        <w:numPr>
          <w:ilvl w:val="0"/>
          <w:numId w:val="13"/>
        </w:numPr>
        <w:spacing w:after="240"/>
        <w:contextualSpacing w:val="0"/>
        <w:rPr>
          <w:i/>
          <w:lang w:val="es-ES_tradnl"/>
        </w:rPr>
      </w:pPr>
      <w:r w:rsidRPr="00A91E95">
        <w:rPr>
          <w:i/>
          <w:lang w:val="es-ES_tradnl"/>
        </w:rPr>
        <w:t>¿Se utilizaron los medios adecuados para alcanzar el objetivo de la asistencia técnica en relación con el desarrollo sostenible?</w:t>
      </w:r>
    </w:p>
    <w:p w:rsidR="00473D04" w:rsidRPr="00A91E95" w:rsidRDefault="00470522" w:rsidP="00473D04">
      <w:pPr>
        <w:spacing w:after="240"/>
        <w:rPr>
          <w:b/>
          <w:i/>
          <w:lang w:val="es-ES_tradnl"/>
        </w:rPr>
      </w:pPr>
      <w:r w:rsidRPr="00A91E95">
        <w:rPr>
          <w:bCs/>
          <w:i/>
          <w:lang w:val="es-ES_tradnl"/>
        </w:rPr>
        <w:t>Sostenibilidad</w:t>
      </w:r>
      <w:r w:rsidR="00473D04" w:rsidRPr="00A91E95">
        <w:rPr>
          <w:bCs/>
          <w:i/>
          <w:lang w:val="es-ES_tradnl"/>
        </w:rPr>
        <w:t>:</w:t>
      </w:r>
    </w:p>
    <w:p w:rsidR="00473D04" w:rsidRPr="00A91E95" w:rsidRDefault="00AF1B1E" w:rsidP="00AF1B1E">
      <w:pPr>
        <w:pStyle w:val="ListParagraph"/>
        <w:numPr>
          <w:ilvl w:val="0"/>
          <w:numId w:val="15"/>
        </w:numPr>
        <w:rPr>
          <w:i/>
          <w:lang w:val="es-ES_tradnl"/>
        </w:rPr>
      </w:pPr>
      <w:r w:rsidRPr="00A91E95">
        <w:rPr>
          <w:i/>
          <w:lang w:val="es-ES_tradnl"/>
        </w:rPr>
        <w:t xml:space="preserve">¿En qué medida fueron sostenibles los efectos de las intervenciones de asistencia técnica de la OMPI desde el momento de su prestación </w:t>
      </w:r>
      <w:r w:rsidR="000B4C59" w:rsidRPr="00A91E95">
        <w:rPr>
          <w:i/>
          <w:lang w:val="es-ES_tradnl"/>
        </w:rPr>
        <w:t xml:space="preserve">y </w:t>
      </w:r>
      <w:r w:rsidRPr="00A91E95">
        <w:rPr>
          <w:i/>
          <w:lang w:val="es-ES_tradnl"/>
        </w:rPr>
        <w:t>hasta la fecha?</w:t>
      </w:r>
    </w:p>
    <w:p w:rsidR="00473D04" w:rsidRPr="00A91E95" w:rsidRDefault="000B4C59" w:rsidP="000B4C59">
      <w:pPr>
        <w:pStyle w:val="ListParagraph"/>
        <w:numPr>
          <w:ilvl w:val="0"/>
          <w:numId w:val="15"/>
        </w:numPr>
        <w:rPr>
          <w:i/>
          <w:lang w:val="es-ES_tradnl"/>
        </w:rPr>
      </w:pPr>
      <w:r w:rsidRPr="00A91E95">
        <w:rPr>
          <w:i/>
          <w:lang w:val="es-ES_tradnl"/>
        </w:rPr>
        <w:t xml:space="preserve">¿En qué medida la asistencia técnica prestada por la OMPI </w:t>
      </w:r>
      <w:r w:rsidR="00D94BD6" w:rsidRPr="00A91E95">
        <w:rPr>
          <w:i/>
          <w:lang w:val="es-ES_tradnl"/>
        </w:rPr>
        <w:t xml:space="preserve">se incorporó e integró </w:t>
      </w:r>
      <w:r w:rsidRPr="00A91E95">
        <w:rPr>
          <w:i/>
          <w:lang w:val="es-ES_tradnl"/>
        </w:rPr>
        <w:t>en la labor de los países y organizaciones pertinentes?</w:t>
      </w:r>
    </w:p>
    <w:p w:rsidR="00473D04" w:rsidRPr="00A91E95" w:rsidRDefault="000B4C59" w:rsidP="000B4C59">
      <w:pPr>
        <w:pStyle w:val="ListParagraph"/>
        <w:numPr>
          <w:ilvl w:val="0"/>
          <w:numId w:val="15"/>
        </w:numPr>
        <w:spacing w:after="240"/>
        <w:contextualSpacing w:val="0"/>
        <w:rPr>
          <w:bCs/>
          <w:i/>
          <w:lang w:val="es-ES_tradnl"/>
        </w:rPr>
      </w:pPr>
      <w:r w:rsidRPr="00A91E95">
        <w:rPr>
          <w:i/>
          <w:lang w:val="es-ES_tradnl"/>
        </w:rPr>
        <w:t>¿Qué hizo la OMPI para crear una masa crítica de expertos con las capacidades pertinentes de forma sostenible?</w:t>
      </w:r>
    </w:p>
    <w:p w:rsidR="00473D04" w:rsidRPr="00A91E95" w:rsidRDefault="00470522" w:rsidP="00473D04">
      <w:pPr>
        <w:spacing w:after="240"/>
        <w:rPr>
          <w:b/>
          <w:i/>
          <w:lang w:val="es-ES_tradnl"/>
        </w:rPr>
      </w:pPr>
      <w:r w:rsidRPr="00A91E95">
        <w:rPr>
          <w:bCs/>
          <w:i/>
          <w:lang w:val="es-ES_tradnl"/>
        </w:rPr>
        <w:t>Incidencia</w:t>
      </w:r>
      <w:r w:rsidR="00473D04" w:rsidRPr="00A91E95">
        <w:rPr>
          <w:bCs/>
          <w:i/>
          <w:lang w:val="es-ES_tradnl"/>
        </w:rPr>
        <w:t>:</w:t>
      </w:r>
    </w:p>
    <w:p w:rsidR="00473D04" w:rsidRPr="00A91E95" w:rsidRDefault="00BC2634" w:rsidP="00BC2634">
      <w:pPr>
        <w:pStyle w:val="ListParagraph"/>
        <w:numPr>
          <w:ilvl w:val="0"/>
          <w:numId w:val="14"/>
        </w:numPr>
        <w:rPr>
          <w:i/>
          <w:lang w:val="es-ES_tradnl"/>
        </w:rPr>
      </w:pPr>
      <w:r w:rsidRPr="00A91E95">
        <w:rPr>
          <w:i/>
          <w:lang w:val="es-ES_tradnl"/>
        </w:rPr>
        <w:t>¿Tuvieron las intervenciones de asistencia técnica alguna incidencia, positiva o negativa, en los niveles de capacitación política, jurídica, institucional y de recursos humanos?</w:t>
      </w:r>
    </w:p>
    <w:p w:rsidR="00473D04" w:rsidRPr="00A91E95" w:rsidRDefault="00BC2634" w:rsidP="00BC2634">
      <w:pPr>
        <w:pStyle w:val="ListParagraph"/>
        <w:numPr>
          <w:ilvl w:val="0"/>
          <w:numId w:val="14"/>
        </w:numPr>
        <w:rPr>
          <w:i/>
          <w:lang w:val="es-ES_tradnl"/>
        </w:rPr>
      </w:pPr>
      <w:r w:rsidRPr="00A91E95">
        <w:rPr>
          <w:i/>
          <w:lang w:val="es-ES_tradnl"/>
        </w:rPr>
        <w:t>¿Cuáles fueron los factores y las condiciones que potenciaron o limitaron la eficacia e incidencia de las intervenciones de asistencia técnica a escala local?</w:t>
      </w:r>
    </w:p>
    <w:p w:rsidR="00473D04" w:rsidRPr="00A91E95" w:rsidRDefault="00BC2634" w:rsidP="00BC2634">
      <w:pPr>
        <w:pStyle w:val="ListParagraph"/>
        <w:numPr>
          <w:ilvl w:val="0"/>
          <w:numId w:val="14"/>
        </w:numPr>
        <w:rPr>
          <w:i/>
          <w:lang w:val="es-ES_tradnl"/>
        </w:rPr>
      </w:pPr>
      <w:r w:rsidRPr="00A91E95">
        <w:rPr>
          <w:i/>
          <w:lang w:val="es-ES_tradnl"/>
        </w:rPr>
        <w:t>¿Tuvo alguna intervención de asistencia técnica consecuencias o repercusiones imprevistas?</w:t>
      </w:r>
    </w:p>
    <w:p w:rsidR="00473D04" w:rsidRPr="00A91E95" w:rsidRDefault="00BC2634" w:rsidP="00BC2634">
      <w:pPr>
        <w:pStyle w:val="ListParagraph"/>
        <w:numPr>
          <w:ilvl w:val="0"/>
          <w:numId w:val="14"/>
        </w:numPr>
        <w:spacing w:after="240"/>
        <w:contextualSpacing w:val="0"/>
        <w:rPr>
          <w:i/>
          <w:lang w:val="es-ES_tradnl"/>
        </w:rPr>
      </w:pPr>
      <w:r w:rsidRPr="00A91E95">
        <w:rPr>
          <w:i/>
          <w:lang w:val="es-ES_tradnl"/>
        </w:rPr>
        <w:t>¿Qué participación tuvieron otras partes interesadas (como el Gobierno, las oficinas de propiedad intelectual, las universidades, las instituciones de investigación y desarrollo, las ONG y la sociedad civil) en lo que respecta a la incidencia?</w:t>
      </w:r>
    </w:p>
    <w:p w:rsidR="00473D04" w:rsidRPr="00A91E95" w:rsidRDefault="00473D04" w:rsidP="00E9691D">
      <w:pPr>
        <w:pStyle w:val="ListParagraph"/>
        <w:keepNext/>
        <w:keepLines/>
        <w:numPr>
          <w:ilvl w:val="0"/>
          <w:numId w:val="17"/>
        </w:numPr>
        <w:spacing w:before="240" w:after="240"/>
        <w:ind w:left="714" w:hanging="357"/>
        <w:contextualSpacing w:val="0"/>
        <w:rPr>
          <w:lang w:val="es-ES_tradnl"/>
        </w:rPr>
      </w:pPr>
      <w:r w:rsidRPr="00A91E95">
        <w:rPr>
          <w:lang w:val="es-ES_tradnl"/>
        </w:rPr>
        <w:lastRenderedPageBreak/>
        <w:t>MET</w:t>
      </w:r>
      <w:r w:rsidR="00470522" w:rsidRPr="00A91E95">
        <w:rPr>
          <w:lang w:val="es-ES_tradnl"/>
        </w:rPr>
        <w:t>ODOLOGÍA</w:t>
      </w:r>
    </w:p>
    <w:p w:rsidR="00473D04" w:rsidRPr="00A91E95" w:rsidRDefault="00C87662" w:rsidP="00473D04">
      <w:pPr>
        <w:spacing w:before="120" w:after="240"/>
        <w:rPr>
          <w:lang w:val="es-ES_tradnl"/>
        </w:rPr>
      </w:pPr>
      <w:r w:rsidRPr="00A91E95">
        <w:rPr>
          <w:lang w:val="es-ES_tradnl"/>
        </w:rPr>
        <w:t xml:space="preserve">A lo largo de la revisión, el equipo </w:t>
      </w:r>
      <w:r w:rsidR="00DD2C6F" w:rsidRPr="00A91E95">
        <w:rPr>
          <w:lang w:val="es-ES_tradnl"/>
        </w:rPr>
        <w:t>responsable</w:t>
      </w:r>
      <w:r w:rsidRPr="00A91E95">
        <w:rPr>
          <w:lang w:val="es-ES_tradnl"/>
        </w:rPr>
        <w:t xml:space="preserve"> aplicará una combinación de métodos de evaluación de la asistencia técnica para responder a las preguntas de evaluación mencionadas. La revisión constará de cinco fases principales: i) fase de diseño y </w:t>
      </w:r>
      <w:r w:rsidR="0090493C" w:rsidRPr="00A91E95">
        <w:rPr>
          <w:lang w:val="es-ES_tradnl"/>
        </w:rPr>
        <w:t>estudio teórico de documentos</w:t>
      </w:r>
      <w:r w:rsidRPr="00A91E95">
        <w:rPr>
          <w:lang w:val="es-ES_tradnl"/>
        </w:rPr>
        <w:t xml:space="preserve">; ii) fase </w:t>
      </w:r>
      <w:r w:rsidR="00122291" w:rsidRPr="00A91E95">
        <w:rPr>
          <w:lang w:val="es-ES_tradnl"/>
        </w:rPr>
        <w:t>inicial</w:t>
      </w:r>
      <w:r w:rsidRPr="00A91E95">
        <w:rPr>
          <w:lang w:val="es-ES_tradnl"/>
        </w:rPr>
        <w:t>; iii) fase de entrevistas con las partes interesadas; iv) fase de elaboración de informes; y v) fase de seguimiento y difusión.</w:t>
      </w:r>
    </w:p>
    <w:p w:rsidR="00473D04" w:rsidRPr="00A91E95" w:rsidRDefault="0090493C" w:rsidP="00473D04">
      <w:pPr>
        <w:spacing w:after="240"/>
        <w:rPr>
          <w:lang w:val="es-ES_tradnl"/>
        </w:rPr>
      </w:pPr>
      <w:r w:rsidRPr="00A91E95">
        <w:rPr>
          <w:lang w:val="es-ES_tradnl"/>
        </w:rPr>
        <w:t>El estudio teórico se llevará a cabo mediante el análisis de los planes de trabajo pertinentes, los documentos de proyecto, los informes y demás documentación facilitada por las divisiones de todos los sectores pertinentes de la OMPI, según se considere oportuno. También se incluirán los documentos pertinentes relativos a la labor de las Asambleas de la OMPI, el Comité del Programa y Presupuesto (PBC) y el CDIP</w:t>
      </w:r>
      <w:r w:rsidR="00473D04" w:rsidRPr="00A91E95">
        <w:rPr>
          <w:lang w:val="es-ES_tradnl"/>
        </w:rPr>
        <w:t>.</w:t>
      </w:r>
      <w:r w:rsidR="00711AEE" w:rsidRPr="00A91E95">
        <w:rPr>
          <w:lang w:val="es-ES_tradnl"/>
        </w:rPr>
        <w:t xml:space="preserve"> </w:t>
      </w:r>
      <w:r w:rsidRPr="00A91E95">
        <w:rPr>
          <w:lang w:val="es-ES_tradnl"/>
        </w:rPr>
        <w:t>En particular, el equipo examinará los documentos</w:t>
      </w:r>
      <w:r w:rsidR="00473D04" w:rsidRPr="00A91E95">
        <w:rPr>
          <w:lang w:val="es-ES_tradnl"/>
        </w:rPr>
        <w:t xml:space="preserve"> </w:t>
      </w:r>
      <w:hyperlink r:id="rId23" w:history="1">
        <w:r w:rsidR="00473D04" w:rsidRPr="00A91E95">
          <w:rPr>
            <w:rStyle w:val="Hyperlink"/>
            <w:lang w:val="es-ES_tradnl"/>
          </w:rPr>
          <w:t>CDIP/12/7</w:t>
        </w:r>
      </w:hyperlink>
      <w:r w:rsidR="00A93FB1" w:rsidRPr="00A91E95">
        <w:rPr>
          <w:lang w:val="es-ES_tradnl"/>
        </w:rPr>
        <w:t xml:space="preserve">, </w:t>
      </w:r>
      <w:r w:rsidR="00711AEE" w:rsidRPr="00A91E95">
        <w:rPr>
          <w:lang w:val="es-ES_tradnl"/>
        </w:rPr>
        <w:t>“</w:t>
      </w:r>
      <w:r w:rsidR="00A93FB1" w:rsidRPr="00A91E95">
        <w:rPr>
          <w:lang w:val="es-ES_tradnl"/>
        </w:rPr>
        <w:t>Manual de la OMPI sobre prestación de asistencia técnica</w:t>
      </w:r>
      <w:r w:rsidR="00711AEE" w:rsidRPr="00A91E95">
        <w:rPr>
          <w:lang w:val="es-ES_tradnl"/>
        </w:rPr>
        <w:t>”</w:t>
      </w:r>
      <w:r w:rsidR="00473D04" w:rsidRPr="00A91E95">
        <w:rPr>
          <w:lang w:val="es-ES_tradnl"/>
        </w:rPr>
        <w:t xml:space="preserve">, </w:t>
      </w:r>
      <w:r w:rsidRPr="00A91E95">
        <w:rPr>
          <w:lang w:val="es-ES_tradnl"/>
        </w:rPr>
        <w:t>y</w:t>
      </w:r>
      <w:r w:rsidR="00473D04" w:rsidRPr="00A91E95">
        <w:rPr>
          <w:lang w:val="es-ES_tradnl"/>
        </w:rPr>
        <w:t xml:space="preserve"> </w:t>
      </w:r>
      <w:hyperlink r:id="rId24" w:history="1">
        <w:r w:rsidR="00473D04" w:rsidRPr="00A91E95">
          <w:rPr>
            <w:rStyle w:val="Hyperlink"/>
            <w:lang w:val="es-ES_tradnl"/>
          </w:rPr>
          <w:t>CDIP/21/4</w:t>
        </w:r>
      </w:hyperlink>
      <w:r w:rsidR="00A93FB1" w:rsidRPr="00A91E95">
        <w:rPr>
          <w:lang w:val="es-ES_tradnl"/>
        </w:rPr>
        <w:t xml:space="preserve">, </w:t>
      </w:r>
      <w:r w:rsidR="00711AEE" w:rsidRPr="00A91E95">
        <w:rPr>
          <w:lang w:val="es-ES_tradnl"/>
        </w:rPr>
        <w:t>“</w:t>
      </w:r>
      <w:r w:rsidR="00A93FB1" w:rsidRPr="00A91E95">
        <w:rPr>
          <w:lang w:val="es-ES_tradnl"/>
        </w:rPr>
        <w:t>Compilación de las prácticas, metodologías y herramientas para el suministro de asistencia técnica</w:t>
      </w:r>
      <w:r w:rsidR="00711AEE" w:rsidRPr="00A91E95">
        <w:rPr>
          <w:lang w:val="es-ES_tradnl"/>
        </w:rPr>
        <w:t>”</w:t>
      </w:r>
      <w:r w:rsidR="00473D04" w:rsidRPr="00A91E95">
        <w:rPr>
          <w:lang w:val="es-ES_tradnl"/>
        </w:rPr>
        <w:t>.</w:t>
      </w:r>
      <w:r w:rsidR="00711AEE" w:rsidRPr="00A91E95">
        <w:rPr>
          <w:lang w:val="es-ES_tradnl"/>
        </w:rPr>
        <w:t xml:space="preserve"> </w:t>
      </w:r>
    </w:p>
    <w:p w:rsidR="00473D04" w:rsidRPr="00A91E95" w:rsidRDefault="00246DDC" w:rsidP="00473D04">
      <w:pPr>
        <w:spacing w:after="240"/>
        <w:rPr>
          <w:lang w:val="es-ES_tradnl"/>
        </w:rPr>
      </w:pPr>
      <w:r w:rsidRPr="00A91E95">
        <w:rPr>
          <w:lang w:val="es-ES_tradnl"/>
        </w:rPr>
        <w:t>El estudio teórico se complementará con una serie de técnicas de recopilación de datos, como entrevistas presenciales y virtuales a las principales partes interesadas tanto internas como externas, encuestas de autoevaluación y análisis estructurado de documentos (incluido el análisis de datos financieros y no financieros). Se realizará un análisis cuantitativo y cualitativo de la información, prestando especial atención a la validación cruzada de los datos (triangulación).</w:t>
      </w:r>
    </w:p>
    <w:p w:rsidR="00473D04" w:rsidRPr="00A91E95" w:rsidRDefault="00886DEE" w:rsidP="00473D04">
      <w:pPr>
        <w:spacing w:after="240"/>
        <w:rPr>
          <w:szCs w:val="22"/>
          <w:lang w:val="es-ES_tradnl"/>
        </w:rPr>
      </w:pPr>
      <w:r w:rsidRPr="00A91E95">
        <w:rPr>
          <w:lang w:val="es-ES_tradnl"/>
        </w:rPr>
        <w:t>La información obtenida a través de las encuestas se complementará con las respuestas facilitadas durante las entrevistas. La selección de los países entrevistados se basará en los siguientes criterios, entre otros:</w:t>
      </w:r>
    </w:p>
    <w:p w:rsidR="00473D04" w:rsidRPr="00A91E95" w:rsidRDefault="00886DEE" w:rsidP="00473D04">
      <w:pPr>
        <w:numPr>
          <w:ilvl w:val="0"/>
          <w:numId w:val="9"/>
        </w:numPr>
        <w:spacing w:after="240" w:line="259" w:lineRule="auto"/>
        <w:ind w:left="360"/>
        <w:rPr>
          <w:rFonts w:asciiTheme="minorHAnsi" w:eastAsiaTheme="minorHAnsi" w:hAnsiTheme="minorHAnsi" w:cstheme="minorBidi"/>
          <w:szCs w:val="22"/>
          <w:lang w:val="es-ES_tradnl"/>
        </w:rPr>
      </w:pPr>
      <w:r w:rsidRPr="00A91E95">
        <w:rPr>
          <w:rFonts w:eastAsia="Arial"/>
          <w:lang w:val="es-ES_tradnl"/>
        </w:rPr>
        <w:t>equilibrio geográfico y nivel de desarrollo;</w:t>
      </w:r>
    </w:p>
    <w:p w:rsidR="00473D04" w:rsidRPr="00A91E95" w:rsidRDefault="005D3355" w:rsidP="005D3355">
      <w:pPr>
        <w:numPr>
          <w:ilvl w:val="0"/>
          <w:numId w:val="9"/>
        </w:numPr>
        <w:spacing w:after="240" w:line="259" w:lineRule="auto"/>
        <w:ind w:left="360"/>
        <w:rPr>
          <w:rFonts w:asciiTheme="minorHAnsi" w:eastAsiaTheme="minorHAnsi" w:hAnsiTheme="minorHAnsi" w:cstheme="minorBidi"/>
          <w:szCs w:val="22"/>
          <w:lang w:val="es-ES_tradnl"/>
        </w:rPr>
      </w:pPr>
      <w:r w:rsidRPr="00A91E95">
        <w:rPr>
          <w:rFonts w:eastAsiaTheme="minorHAnsi" w:cstheme="minorBidi"/>
          <w:szCs w:val="22"/>
          <w:lang w:val="es-ES_tradnl"/>
        </w:rPr>
        <w:t>equilibrio de género entre las personas entrevistadas;</w:t>
      </w:r>
    </w:p>
    <w:p w:rsidR="00473D04" w:rsidRPr="00A91E95" w:rsidRDefault="00886DEE" w:rsidP="00473D04">
      <w:pPr>
        <w:numPr>
          <w:ilvl w:val="0"/>
          <w:numId w:val="9"/>
        </w:numPr>
        <w:spacing w:after="240" w:line="259" w:lineRule="auto"/>
        <w:ind w:left="360"/>
        <w:rPr>
          <w:rFonts w:asciiTheme="minorHAnsi" w:eastAsiaTheme="minorHAnsi" w:hAnsiTheme="minorHAnsi" w:cstheme="minorBidi"/>
          <w:szCs w:val="22"/>
          <w:lang w:val="es-ES_tradnl"/>
        </w:rPr>
      </w:pPr>
      <w:r w:rsidRPr="00A91E95">
        <w:rPr>
          <w:rFonts w:eastAsia="Arial"/>
          <w:lang w:val="es-ES_tradnl"/>
        </w:rPr>
        <w:t>representación de países en desarrollo y países menos adelantados (PMA);</w:t>
      </w:r>
    </w:p>
    <w:p w:rsidR="00473D04" w:rsidRPr="00A91E95" w:rsidRDefault="00886DEE" w:rsidP="00473D04">
      <w:pPr>
        <w:numPr>
          <w:ilvl w:val="0"/>
          <w:numId w:val="9"/>
        </w:numPr>
        <w:spacing w:after="240" w:line="259" w:lineRule="auto"/>
        <w:ind w:left="360"/>
        <w:rPr>
          <w:rFonts w:asciiTheme="minorHAnsi" w:eastAsiaTheme="minorHAnsi" w:hAnsiTheme="minorHAnsi" w:cstheme="minorBidi"/>
          <w:szCs w:val="22"/>
          <w:lang w:val="es-ES_tradnl"/>
        </w:rPr>
      </w:pPr>
      <w:r w:rsidRPr="00A91E95">
        <w:rPr>
          <w:rFonts w:eastAsia="Arial"/>
          <w:lang w:val="es-ES_tradnl"/>
        </w:rPr>
        <w:t>países que hayan recibido un nivel importante de asistencia técnica de la OMPI durante el período objeto de revisión</w:t>
      </w:r>
      <w:r w:rsidR="00473D04" w:rsidRPr="00A91E95">
        <w:rPr>
          <w:rFonts w:eastAsiaTheme="minorHAnsi" w:cstheme="minorBidi"/>
          <w:szCs w:val="22"/>
          <w:lang w:val="es-ES_tradnl"/>
        </w:rPr>
        <w:t xml:space="preserve">; </w:t>
      </w:r>
    </w:p>
    <w:p w:rsidR="00473D04" w:rsidRPr="00A91E95" w:rsidRDefault="00886DEE" w:rsidP="00473D04">
      <w:pPr>
        <w:numPr>
          <w:ilvl w:val="0"/>
          <w:numId w:val="9"/>
        </w:numPr>
        <w:spacing w:after="240" w:line="259" w:lineRule="auto"/>
        <w:ind w:left="360"/>
        <w:rPr>
          <w:rFonts w:asciiTheme="minorHAnsi" w:eastAsiaTheme="minorHAnsi" w:hAnsiTheme="minorHAnsi" w:cstheme="minorBidi"/>
          <w:szCs w:val="22"/>
          <w:lang w:val="es-ES_tradnl"/>
        </w:rPr>
      </w:pPr>
      <w:r w:rsidRPr="00A91E95">
        <w:rPr>
          <w:rFonts w:eastAsia="Arial"/>
          <w:lang w:val="es-ES_tradnl"/>
        </w:rPr>
        <w:t>proporción de “casos exitosos” y casos menos exitosos, según se indique en las respuestas al cuestionario</w:t>
      </w:r>
      <w:r w:rsidR="00473D04" w:rsidRPr="00A91E95">
        <w:rPr>
          <w:rFonts w:eastAsiaTheme="minorHAnsi" w:cstheme="minorBidi"/>
          <w:szCs w:val="22"/>
          <w:lang w:val="es-ES_tradnl"/>
        </w:rPr>
        <w:t xml:space="preserve">. </w:t>
      </w:r>
    </w:p>
    <w:p w:rsidR="00473D04" w:rsidRPr="00A91E95" w:rsidRDefault="005D3355" w:rsidP="005D3355">
      <w:pPr>
        <w:numPr>
          <w:ilvl w:val="0"/>
          <w:numId w:val="9"/>
        </w:numPr>
        <w:spacing w:after="240" w:line="259" w:lineRule="auto"/>
        <w:ind w:left="360"/>
        <w:rPr>
          <w:rFonts w:asciiTheme="minorHAnsi" w:eastAsiaTheme="minorHAnsi" w:hAnsiTheme="minorHAnsi" w:cstheme="minorBidi"/>
          <w:szCs w:val="22"/>
          <w:lang w:val="es-ES_tradnl"/>
        </w:rPr>
      </w:pPr>
      <w:r w:rsidRPr="00A91E95">
        <w:rPr>
          <w:rFonts w:eastAsiaTheme="minorHAnsi" w:cstheme="minorBidi"/>
          <w:szCs w:val="22"/>
          <w:lang w:val="es-ES_tradnl"/>
        </w:rPr>
        <w:t xml:space="preserve">países que recibieron asistencia </w:t>
      </w:r>
      <w:r w:rsidR="006163FD" w:rsidRPr="00A91E95">
        <w:rPr>
          <w:rFonts w:eastAsiaTheme="minorHAnsi" w:cstheme="minorBidi"/>
          <w:szCs w:val="22"/>
          <w:lang w:val="es-ES_tradnl"/>
        </w:rPr>
        <w:t>como</w:t>
      </w:r>
      <w:r w:rsidRPr="00A91E95">
        <w:rPr>
          <w:rFonts w:eastAsiaTheme="minorHAnsi" w:cstheme="minorBidi"/>
          <w:szCs w:val="22"/>
          <w:lang w:val="es-ES_tradnl"/>
        </w:rPr>
        <w:t xml:space="preserve"> parte de agrupaciones/organizaciones regionales.</w:t>
      </w:r>
    </w:p>
    <w:p w:rsidR="00473D04" w:rsidRPr="00A91E95" w:rsidRDefault="001B4D05" w:rsidP="00473D04">
      <w:pPr>
        <w:spacing w:after="240"/>
        <w:rPr>
          <w:lang w:val="es-ES_tradnl"/>
        </w:rPr>
      </w:pPr>
      <w:r w:rsidRPr="00A91E95">
        <w:rPr>
          <w:lang w:val="es-ES_tradnl"/>
        </w:rPr>
        <w:t xml:space="preserve">El equipo de </w:t>
      </w:r>
      <w:r w:rsidR="00DD2C6F" w:rsidRPr="00A91E95">
        <w:rPr>
          <w:lang w:val="es-ES_tradnl"/>
        </w:rPr>
        <w:t>revisión</w:t>
      </w:r>
      <w:r w:rsidRPr="00A91E95">
        <w:rPr>
          <w:lang w:val="es-ES_tradnl"/>
        </w:rPr>
        <w:t xml:space="preserve"> podrá añadir criterios adicionales, en consulta con la División de Coordinación de la Agenda para el Desarrollo (DACD).</w:t>
      </w:r>
    </w:p>
    <w:p w:rsidR="00711AEE" w:rsidRPr="00A91E95" w:rsidRDefault="001B4D05" w:rsidP="00473D04">
      <w:pPr>
        <w:spacing w:after="240"/>
        <w:rPr>
          <w:lang w:val="es-ES_tradnl"/>
        </w:rPr>
      </w:pPr>
      <w:r w:rsidRPr="00A91E95">
        <w:rPr>
          <w:lang w:val="es-ES_tradnl"/>
        </w:rPr>
        <w:t xml:space="preserve">La revisión se llevará a cabo de conformidad con los </w:t>
      </w:r>
      <w:r w:rsidRPr="00A91E95">
        <w:rPr>
          <w:i/>
          <w:lang w:val="es-ES_tradnl"/>
        </w:rPr>
        <w:t>Estándares de evaluación en el sistema de las Naciones Unidas</w:t>
      </w:r>
      <w:r w:rsidRPr="00A91E95">
        <w:rPr>
          <w:lang w:val="es-ES_tradnl"/>
        </w:rPr>
        <w:t xml:space="preserve"> y el </w:t>
      </w:r>
      <w:r w:rsidRPr="00A91E95">
        <w:rPr>
          <w:i/>
          <w:lang w:val="es-ES_tradnl"/>
        </w:rPr>
        <w:t xml:space="preserve">Código de conducta para la evaluación en el sistema de las Naciones Unidas </w:t>
      </w:r>
      <w:r w:rsidRPr="00A91E95">
        <w:rPr>
          <w:lang w:val="es-ES_tradnl"/>
        </w:rPr>
        <w:t>adoptados por el Grupo de Evaluació</w:t>
      </w:r>
      <w:r w:rsidR="006163FD" w:rsidRPr="00A91E95">
        <w:rPr>
          <w:lang w:val="es-ES_tradnl"/>
        </w:rPr>
        <w:t>n de las Naciones Unidas (UNEG)</w:t>
      </w:r>
      <w:r w:rsidRPr="00A91E95">
        <w:rPr>
          <w:lang w:val="es-ES_tradnl"/>
        </w:rPr>
        <w:t>.</w:t>
      </w:r>
    </w:p>
    <w:p w:rsidR="00473D04" w:rsidRPr="00A91E95" w:rsidRDefault="00DD2C6F" w:rsidP="00DD2C6F">
      <w:pPr>
        <w:pStyle w:val="ListParagraph"/>
        <w:numPr>
          <w:ilvl w:val="0"/>
          <w:numId w:val="17"/>
        </w:numPr>
        <w:spacing w:before="240" w:after="240"/>
        <w:contextualSpacing w:val="0"/>
        <w:rPr>
          <w:lang w:val="es-ES_tradnl"/>
        </w:rPr>
      </w:pPr>
      <w:r w:rsidRPr="00A91E95">
        <w:rPr>
          <w:lang w:val="es-ES_tradnl"/>
        </w:rPr>
        <w:t>EQUIPO EXTERNO DE REVISIÓN</w:t>
      </w:r>
      <w:r w:rsidR="00473D04" w:rsidRPr="00A91E95">
        <w:rPr>
          <w:lang w:val="es-ES_tradnl"/>
        </w:rPr>
        <w:t xml:space="preserve"> </w:t>
      </w:r>
    </w:p>
    <w:p w:rsidR="00473D04" w:rsidRPr="00A91E95" w:rsidRDefault="000D2ADF" w:rsidP="00473D04">
      <w:pPr>
        <w:spacing w:before="120" w:after="240"/>
        <w:rPr>
          <w:lang w:val="es-ES_tradnl"/>
        </w:rPr>
      </w:pPr>
      <w:r w:rsidRPr="00A91E95">
        <w:rPr>
          <w:lang w:val="es-ES_tradnl"/>
        </w:rPr>
        <w:t xml:space="preserve">El equipo de revisión debe poseer las aptitudes y conocimientos necesarios para llevar a cabo la revisión de manera creíble e independiente. Por lo tanto, el equipo debería incluir dos especialistas en PI y desarrollo y un experto en evaluación de actividades/proyectos/programas de desarrollo. Este último actuaría también como evaluador jefe. Se dará prioridad a los expertos que tengan un conocimiento demostrado de las cuestiones relacionadas con la PI y </w:t>
      </w:r>
      <w:r w:rsidRPr="00A91E95">
        <w:rPr>
          <w:lang w:val="es-ES_tradnl"/>
        </w:rPr>
        <w:lastRenderedPageBreak/>
        <w:t>experiencia en la prestación de asistencia técnica y en actividades de creación de capacidad en países en desarrollo y PMA. El equipo de revisión, bajo la dirección del evaluador jefe y la supervisión de la DACD, será responsable de llevar a cabo la revisión de conformidad con el mandato acordado.</w:t>
      </w:r>
    </w:p>
    <w:p w:rsidR="00473D04" w:rsidRPr="00A91E95" w:rsidRDefault="00863745" w:rsidP="00E9691D">
      <w:pPr>
        <w:pStyle w:val="ListParagraph"/>
        <w:numPr>
          <w:ilvl w:val="0"/>
          <w:numId w:val="17"/>
        </w:numPr>
        <w:spacing w:before="240" w:after="240"/>
        <w:ind w:left="567" w:hanging="283"/>
        <w:contextualSpacing w:val="0"/>
        <w:rPr>
          <w:lang w:val="es-ES_tradnl"/>
        </w:rPr>
      </w:pPr>
      <w:r w:rsidRPr="00A91E95">
        <w:rPr>
          <w:lang w:val="es-ES_tradnl"/>
        </w:rPr>
        <w:t>PLANIFICACIÓN, REALIZACIÓN Y GESTIÓN DE LA REVISIÓN</w:t>
      </w:r>
    </w:p>
    <w:p w:rsidR="00473D04" w:rsidRPr="00A91E95" w:rsidRDefault="002C4D28" w:rsidP="00473D04">
      <w:pPr>
        <w:spacing w:after="240"/>
        <w:rPr>
          <w:lang w:val="es-ES_tradnl"/>
        </w:rPr>
      </w:pPr>
      <w:r w:rsidRPr="00A91E95">
        <w:rPr>
          <w:lang w:val="es-ES_tradnl"/>
        </w:rPr>
        <w:t>La revisión se llevará a cabo bajo la supervisión de la DACD. Para garantizar la plena objetividad e independencia de la revisión, el papel de la División se limitará a coordinar y prestar apoyo al equipo seleccionado de consultores externos independientes (en adelante, el "equipo de revisión"). La DACD también cooperará estrechamente con la División de Supervisión Interna de la OMPI en todas las fases de la evaluación.</w:t>
      </w:r>
    </w:p>
    <w:p w:rsidR="00473D04" w:rsidRPr="00A91E95" w:rsidRDefault="002C4D28" w:rsidP="00473D04">
      <w:pPr>
        <w:spacing w:after="240"/>
        <w:rPr>
          <w:lang w:val="es-ES_tradnl"/>
        </w:rPr>
      </w:pPr>
      <w:r w:rsidRPr="00A91E95">
        <w:rPr>
          <w:lang w:val="es-ES_tradnl"/>
        </w:rPr>
        <w:t>El equipo de revisión estará compuesto por tres consultores externos independientes seleccionados por la OMPI. El equipo de revisión celebrará dos sesiones de información para los Estados miembros, una para presentar el informe inicial (</w:t>
      </w:r>
      <w:r w:rsidR="00936FB3" w:rsidRPr="00A91E95">
        <w:rPr>
          <w:i/>
          <w:lang w:val="es-ES_tradnl"/>
        </w:rPr>
        <w:t>infra</w:t>
      </w:r>
      <w:r w:rsidRPr="00A91E95">
        <w:rPr>
          <w:lang w:val="es-ES_tradnl"/>
        </w:rPr>
        <w:t>) de la revisión, y la segunda para presentar los principales resultados y conclusiones de la misma.</w:t>
      </w:r>
    </w:p>
    <w:p w:rsidR="00473D04" w:rsidRPr="00A91E95" w:rsidRDefault="002C4D28" w:rsidP="00473D04">
      <w:pPr>
        <w:spacing w:after="240"/>
        <w:rPr>
          <w:lang w:val="es-ES_tradnl"/>
        </w:rPr>
      </w:pPr>
      <w:r w:rsidRPr="00A91E95">
        <w:rPr>
          <w:lang w:val="es-ES_tradnl"/>
        </w:rPr>
        <w:t>El informe final de la revisión se presentará al CDIP.</w:t>
      </w:r>
    </w:p>
    <w:p w:rsidR="00473D04" w:rsidRPr="00A91E95" w:rsidRDefault="00DC4540" w:rsidP="00E9691D">
      <w:pPr>
        <w:pStyle w:val="ListParagraph"/>
        <w:numPr>
          <w:ilvl w:val="0"/>
          <w:numId w:val="17"/>
        </w:numPr>
        <w:spacing w:before="240" w:after="240"/>
        <w:ind w:left="567" w:hanging="425"/>
        <w:contextualSpacing w:val="0"/>
        <w:rPr>
          <w:lang w:val="es-ES_tradnl"/>
        </w:rPr>
      </w:pPr>
      <w:r w:rsidRPr="00A91E95">
        <w:rPr>
          <w:lang w:val="es-ES_tradnl"/>
        </w:rPr>
        <w:t>PRODUCTOS PREVISTOS Y CALENDARIO</w:t>
      </w:r>
    </w:p>
    <w:p w:rsidR="00473D04" w:rsidRPr="00A91E95" w:rsidRDefault="002E4283" w:rsidP="00473D04">
      <w:pPr>
        <w:spacing w:after="240"/>
        <w:rPr>
          <w:lang w:val="es-ES_tradnl"/>
        </w:rPr>
      </w:pPr>
      <w:r w:rsidRPr="00A91E95">
        <w:rPr>
          <w:lang w:val="es-ES_tradnl"/>
        </w:rPr>
        <w:t>Se prevé que la Revisión se lleve a cabo en un plazo de ocho meses, tras la aprobación del mandato por parte del CDIP y la selección del equipo de revisión. En el capítulo XII se presenta un calendario provisional.</w:t>
      </w:r>
    </w:p>
    <w:p w:rsidR="00473D04" w:rsidRPr="00A91E95" w:rsidRDefault="002E4283" w:rsidP="00473D04">
      <w:pPr>
        <w:spacing w:after="240"/>
        <w:rPr>
          <w:lang w:val="es-ES_tradnl"/>
        </w:rPr>
      </w:pPr>
      <w:r w:rsidRPr="00A91E95">
        <w:rPr>
          <w:lang w:val="es-ES_tradnl"/>
        </w:rPr>
        <w:t>El equipo de revisión</w:t>
      </w:r>
      <w:r w:rsidR="00473D04" w:rsidRPr="00A91E95">
        <w:rPr>
          <w:lang w:val="es-ES_tradnl"/>
        </w:rPr>
        <w:t>:</w:t>
      </w:r>
    </w:p>
    <w:p w:rsidR="00473D04" w:rsidRPr="00A91E95" w:rsidRDefault="00122291" w:rsidP="00122291">
      <w:pPr>
        <w:pStyle w:val="ListParagraph"/>
        <w:numPr>
          <w:ilvl w:val="0"/>
          <w:numId w:val="19"/>
        </w:numPr>
        <w:spacing w:after="240"/>
        <w:contextualSpacing w:val="0"/>
        <w:rPr>
          <w:lang w:val="es-ES_tradnl"/>
        </w:rPr>
      </w:pPr>
      <w:r w:rsidRPr="00A91E95">
        <w:rPr>
          <w:lang w:val="es-ES_tradnl"/>
        </w:rPr>
        <w:t>presentará un informe inicial en el que se describa la metodología de la revisión, las preguntas del proyecto de encuesta y la lista de partes interesadas seleccionadas;</w:t>
      </w:r>
    </w:p>
    <w:p w:rsidR="00473D04" w:rsidRPr="00A91E95" w:rsidRDefault="00122291" w:rsidP="00122291">
      <w:pPr>
        <w:pStyle w:val="ListParagraph"/>
        <w:numPr>
          <w:ilvl w:val="0"/>
          <w:numId w:val="19"/>
        </w:numPr>
        <w:spacing w:after="240"/>
        <w:contextualSpacing w:val="0"/>
        <w:rPr>
          <w:lang w:val="es-ES_tradnl"/>
        </w:rPr>
      </w:pPr>
      <w:r w:rsidRPr="00A91E95">
        <w:rPr>
          <w:lang w:val="es-ES_tradnl"/>
        </w:rPr>
        <w:t>celebrará una sesión de información para presentar el informe inicial a los Estados miembros, y una segunda sesión de información para presentar el primer proyecto de informe con conclusiones y recomendaciones preliminares;</w:t>
      </w:r>
    </w:p>
    <w:p w:rsidR="00473D04" w:rsidRPr="00A91E95" w:rsidRDefault="00122291" w:rsidP="00122291">
      <w:pPr>
        <w:pStyle w:val="ListParagraph"/>
        <w:numPr>
          <w:ilvl w:val="0"/>
          <w:numId w:val="19"/>
        </w:numPr>
        <w:spacing w:after="240"/>
        <w:contextualSpacing w:val="0"/>
        <w:rPr>
          <w:lang w:val="es-ES_tradnl"/>
        </w:rPr>
      </w:pPr>
      <w:r w:rsidRPr="00A91E95">
        <w:rPr>
          <w:lang w:val="es-ES_tradnl"/>
        </w:rPr>
        <w:t>presentará el informe final al DACD dentro del plazo acordado; y</w:t>
      </w:r>
    </w:p>
    <w:p w:rsidR="00473D04" w:rsidRPr="00A91E95" w:rsidRDefault="00122291" w:rsidP="00122291">
      <w:pPr>
        <w:pStyle w:val="ListParagraph"/>
        <w:numPr>
          <w:ilvl w:val="0"/>
          <w:numId w:val="19"/>
        </w:numPr>
        <w:spacing w:after="240"/>
        <w:contextualSpacing w:val="0"/>
        <w:rPr>
          <w:lang w:val="es-ES_tradnl"/>
        </w:rPr>
      </w:pPr>
      <w:r w:rsidRPr="00A91E95">
        <w:rPr>
          <w:lang w:val="es-ES_tradnl"/>
        </w:rPr>
        <w:t>presentará el informe final al CDIP.</w:t>
      </w:r>
    </w:p>
    <w:p w:rsidR="00711AEE" w:rsidRPr="00A91E95" w:rsidRDefault="00122291" w:rsidP="00473D04">
      <w:pPr>
        <w:rPr>
          <w:lang w:val="es-ES_tradnl"/>
        </w:rPr>
      </w:pPr>
      <w:r w:rsidRPr="00A91E95">
        <w:rPr>
          <w:lang w:val="es-ES_tradnl"/>
        </w:rPr>
        <w:t>El informe final contendrá resultados y conclusiones, así como recomendaciones específicas, mensurables, realizables, pertinentes y sujetas a plazos (SMART).</w:t>
      </w:r>
    </w:p>
    <w:p w:rsidR="00711AEE" w:rsidRPr="00A91E95" w:rsidRDefault="00711AEE">
      <w:pPr>
        <w:rPr>
          <w:lang w:val="es-ES_tradnl"/>
        </w:rPr>
      </w:pPr>
      <w:r w:rsidRPr="00A91E95">
        <w:rPr>
          <w:lang w:val="es-ES_tradnl"/>
        </w:rPr>
        <w:br w:type="page"/>
      </w:r>
    </w:p>
    <w:p w:rsidR="00473D04" w:rsidRPr="00A91E95" w:rsidRDefault="005752D9" w:rsidP="00473D04">
      <w:pPr>
        <w:pStyle w:val="ListParagraph"/>
        <w:numPr>
          <w:ilvl w:val="0"/>
          <w:numId w:val="17"/>
        </w:numPr>
        <w:spacing w:before="240" w:after="120"/>
        <w:ind w:left="648"/>
        <w:contextualSpacing w:val="0"/>
        <w:rPr>
          <w:lang w:val="es-ES_tradnl"/>
        </w:rPr>
      </w:pPr>
      <w:r w:rsidRPr="00A91E95">
        <w:rPr>
          <w:lang w:val="es-ES_tradnl"/>
        </w:rPr>
        <w:lastRenderedPageBreak/>
        <w:t>PRESUPUESTO</w:t>
      </w:r>
    </w:p>
    <w:tbl>
      <w:tblPr>
        <w:tblStyle w:val="TableGrid"/>
        <w:tblW w:w="0" w:type="auto"/>
        <w:tblInd w:w="-5" w:type="dxa"/>
        <w:tblLook w:val="01E0" w:firstRow="1" w:lastRow="1" w:firstColumn="1" w:lastColumn="1" w:noHBand="0" w:noVBand="0"/>
        <w:tblCaption w:val="XI. Budget"/>
        <w:tblDescription w:val="Budget Item Description"/>
      </w:tblPr>
      <w:tblGrid>
        <w:gridCol w:w="5004"/>
        <w:gridCol w:w="1917"/>
        <w:gridCol w:w="1720"/>
      </w:tblGrid>
      <w:tr w:rsidR="00473D04" w:rsidRPr="00A91E95" w:rsidTr="00202B28">
        <w:trPr>
          <w:tblHeader/>
        </w:trPr>
        <w:tc>
          <w:tcPr>
            <w:tcW w:w="5004" w:type="dxa"/>
            <w:tcMar>
              <w:top w:w="85" w:type="dxa"/>
              <w:bottom w:w="85" w:type="dxa"/>
            </w:tcMar>
          </w:tcPr>
          <w:p w:rsidR="00473D04" w:rsidRPr="00A91E95" w:rsidRDefault="005752D9" w:rsidP="00202B28">
            <w:pPr>
              <w:rPr>
                <w:b/>
                <w:lang w:val="es-ES_tradnl"/>
              </w:rPr>
            </w:pPr>
            <w:r w:rsidRPr="00A91E95">
              <w:rPr>
                <w:b/>
                <w:lang w:val="es-ES_tradnl"/>
              </w:rPr>
              <w:t>Descripción de los elementos</w:t>
            </w:r>
          </w:p>
        </w:tc>
        <w:tc>
          <w:tcPr>
            <w:tcW w:w="1917" w:type="dxa"/>
            <w:tcMar>
              <w:top w:w="85" w:type="dxa"/>
              <w:bottom w:w="85" w:type="dxa"/>
            </w:tcMar>
            <w:vAlign w:val="center"/>
          </w:tcPr>
          <w:p w:rsidR="00473D04" w:rsidRPr="00A91E95" w:rsidRDefault="005752D9" w:rsidP="00202B28">
            <w:pPr>
              <w:rPr>
                <w:b/>
                <w:lang w:val="es-ES_tradnl"/>
              </w:rPr>
            </w:pPr>
            <w:r w:rsidRPr="00A91E95">
              <w:rPr>
                <w:b/>
                <w:lang w:val="es-ES_tradnl"/>
              </w:rPr>
              <w:t>Costo unitario en CHF</w:t>
            </w:r>
          </w:p>
        </w:tc>
        <w:tc>
          <w:tcPr>
            <w:tcW w:w="1720" w:type="dxa"/>
            <w:tcMar>
              <w:top w:w="85" w:type="dxa"/>
              <w:bottom w:w="85" w:type="dxa"/>
            </w:tcMar>
          </w:tcPr>
          <w:p w:rsidR="00473D04" w:rsidRPr="00A91E95" w:rsidRDefault="005752D9" w:rsidP="00202B28">
            <w:pPr>
              <w:rPr>
                <w:b/>
                <w:lang w:val="es-ES_tradnl"/>
              </w:rPr>
            </w:pPr>
            <w:r w:rsidRPr="00A91E95">
              <w:rPr>
                <w:b/>
                <w:lang w:val="es-ES_tradnl"/>
              </w:rPr>
              <w:t>Total en CHF</w:t>
            </w:r>
          </w:p>
        </w:tc>
      </w:tr>
      <w:tr w:rsidR="00473D04" w:rsidRPr="00A91E95" w:rsidTr="00202B28">
        <w:tc>
          <w:tcPr>
            <w:tcW w:w="5004" w:type="dxa"/>
            <w:tcMar>
              <w:top w:w="85" w:type="dxa"/>
              <w:bottom w:w="85" w:type="dxa"/>
            </w:tcMar>
          </w:tcPr>
          <w:p w:rsidR="00473D04" w:rsidRPr="00A91E95" w:rsidRDefault="005752D9" w:rsidP="005752D9">
            <w:pPr>
              <w:rPr>
                <w:lang w:val="es-ES_tradnl"/>
              </w:rPr>
            </w:pPr>
            <w:r w:rsidRPr="00A91E95">
              <w:rPr>
                <w:lang w:val="es-ES_tradnl"/>
              </w:rPr>
              <w:t>Honorarios del evaluador jefe</w:t>
            </w:r>
            <w:r w:rsidR="00473D04" w:rsidRPr="00A91E95">
              <w:rPr>
                <w:lang w:val="es-ES_tradnl"/>
              </w:rPr>
              <w:t xml:space="preserve"> </w:t>
            </w:r>
          </w:p>
        </w:tc>
        <w:tc>
          <w:tcPr>
            <w:tcW w:w="1917" w:type="dxa"/>
            <w:tcMar>
              <w:top w:w="85" w:type="dxa"/>
              <w:bottom w:w="85" w:type="dxa"/>
            </w:tcMar>
            <w:vAlign w:val="center"/>
          </w:tcPr>
          <w:p w:rsidR="00473D04" w:rsidRPr="00A91E95" w:rsidRDefault="00473D04" w:rsidP="00202B28">
            <w:pPr>
              <w:rPr>
                <w:lang w:val="es-ES_tradnl"/>
              </w:rPr>
            </w:pPr>
            <w:r w:rsidRPr="00A91E95">
              <w:rPr>
                <w:lang w:val="es-ES_tradnl"/>
              </w:rPr>
              <w:t>20</w:t>
            </w:r>
            <w:r w:rsidR="005752D9" w:rsidRPr="00A91E95">
              <w:rPr>
                <w:lang w:val="es-ES_tradnl"/>
              </w:rPr>
              <w:t>.</w:t>
            </w:r>
            <w:r w:rsidRPr="00A91E95">
              <w:rPr>
                <w:lang w:val="es-ES_tradnl"/>
              </w:rPr>
              <w:t xml:space="preserve">000 </w:t>
            </w:r>
          </w:p>
        </w:tc>
        <w:tc>
          <w:tcPr>
            <w:tcW w:w="1720" w:type="dxa"/>
            <w:tcMar>
              <w:top w:w="85" w:type="dxa"/>
              <w:bottom w:w="85" w:type="dxa"/>
            </w:tcMar>
          </w:tcPr>
          <w:p w:rsidR="00473D04" w:rsidRPr="00A91E95" w:rsidRDefault="00473D04" w:rsidP="00202B28">
            <w:pPr>
              <w:rPr>
                <w:lang w:val="es-ES_tradnl"/>
              </w:rPr>
            </w:pPr>
            <w:r w:rsidRPr="00A91E95">
              <w:rPr>
                <w:lang w:val="es-ES_tradnl"/>
              </w:rPr>
              <w:t>20</w:t>
            </w:r>
            <w:r w:rsidR="005752D9" w:rsidRPr="00A91E95">
              <w:rPr>
                <w:lang w:val="es-ES_tradnl"/>
              </w:rPr>
              <w:t>.</w:t>
            </w:r>
            <w:r w:rsidRPr="00A91E95">
              <w:rPr>
                <w:lang w:val="es-ES_tradnl"/>
              </w:rPr>
              <w:t xml:space="preserve">000 </w:t>
            </w:r>
          </w:p>
        </w:tc>
      </w:tr>
      <w:tr w:rsidR="00473D04" w:rsidRPr="00A91E95" w:rsidTr="00202B28">
        <w:tc>
          <w:tcPr>
            <w:tcW w:w="5004" w:type="dxa"/>
            <w:tcMar>
              <w:top w:w="85" w:type="dxa"/>
              <w:bottom w:w="85" w:type="dxa"/>
            </w:tcMar>
          </w:tcPr>
          <w:p w:rsidR="00473D04" w:rsidRPr="00A91E95" w:rsidRDefault="005752D9" w:rsidP="00202B28">
            <w:pPr>
              <w:rPr>
                <w:lang w:val="es-ES_tradnl"/>
              </w:rPr>
            </w:pPr>
            <w:r w:rsidRPr="00A91E95">
              <w:rPr>
                <w:lang w:val="es-ES_tradnl"/>
              </w:rPr>
              <w:t>Honorarios de expertos (2 expertos)</w:t>
            </w:r>
          </w:p>
        </w:tc>
        <w:tc>
          <w:tcPr>
            <w:tcW w:w="1917" w:type="dxa"/>
            <w:tcMar>
              <w:top w:w="85" w:type="dxa"/>
              <w:bottom w:w="85" w:type="dxa"/>
            </w:tcMar>
            <w:vAlign w:val="center"/>
          </w:tcPr>
          <w:p w:rsidR="00473D04" w:rsidRPr="00A91E95" w:rsidRDefault="00473D04" w:rsidP="00202B28">
            <w:pPr>
              <w:rPr>
                <w:lang w:val="es-ES_tradnl"/>
              </w:rPr>
            </w:pPr>
            <w:r w:rsidRPr="00A91E95">
              <w:rPr>
                <w:lang w:val="es-ES_tradnl"/>
              </w:rPr>
              <w:t>15</w:t>
            </w:r>
            <w:r w:rsidR="005752D9" w:rsidRPr="00A91E95">
              <w:rPr>
                <w:lang w:val="es-ES_tradnl"/>
              </w:rPr>
              <w:t>.</w:t>
            </w:r>
            <w:r w:rsidRPr="00A91E95">
              <w:rPr>
                <w:lang w:val="es-ES_tradnl"/>
              </w:rPr>
              <w:t>000</w:t>
            </w:r>
          </w:p>
        </w:tc>
        <w:tc>
          <w:tcPr>
            <w:tcW w:w="1720" w:type="dxa"/>
            <w:tcMar>
              <w:top w:w="85" w:type="dxa"/>
              <w:bottom w:w="85" w:type="dxa"/>
            </w:tcMar>
          </w:tcPr>
          <w:p w:rsidR="00473D04" w:rsidRPr="00A91E95" w:rsidRDefault="00473D04" w:rsidP="00202B28">
            <w:pPr>
              <w:rPr>
                <w:lang w:val="es-ES_tradnl"/>
              </w:rPr>
            </w:pPr>
            <w:r w:rsidRPr="00A91E95">
              <w:rPr>
                <w:lang w:val="es-ES_tradnl"/>
              </w:rPr>
              <w:t>30</w:t>
            </w:r>
            <w:r w:rsidR="005752D9" w:rsidRPr="00A91E95">
              <w:rPr>
                <w:lang w:val="es-ES_tradnl"/>
              </w:rPr>
              <w:t>.</w:t>
            </w:r>
            <w:r w:rsidRPr="00A91E95">
              <w:rPr>
                <w:lang w:val="es-ES_tradnl"/>
              </w:rPr>
              <w:t>000</w:t>
            </w:r>
          </w:p>
        </w:tc>
      </w:tr>
      <w:tr w:rsidR="00473D04" w:rsidRPr="00A91E95" w:rsidTr="00202B28">
        <w:tc>
          <w:tcPr>
            <w:tcW w:w="5004" w:type="dxa"/>
            <w:tcMar>
              <w:top w:w="85" w:type="dxa"/>
              <w:bottom w:w="85" w:type="dxa"/>
            </w:tcMar>
          </w:tcPr>
          <w:p w:rsidR="00473D04" w:rsidRPr="00A91E95" w:rsidRDefault="005752D9" w:rsidP="005752D9">
            <w:pPr>
              <w:rPr>
                <w:lang w:val="es-ES_tradnl"/>
              </w:rPr>
            </w:pPr>
            <w:r w:rsidRPr="00A91E95">
              <w:rPr>
                <w:lang w:val="es-ES_tradnl"/>
              </w:rPr>
              <w:t>2 sesiones de información para los Estados miembros en Ginebra (3 expertos, 3 días cada uno por misión)</w:t>
            </w:r>
          </w:p>
        </w:tc>
        <w:tc>
          <w:tcPr>
            <w:tcW w:w="1917" w:type="dxa"/>
            <w:tcMar>
              <w:top w:w="85" w:type="dxa"/>
              <w:bottom w:w="85" w:type="dxa"/>
            </w:tcMar>
            <w:vAlign w:val="center"/>
          </w:tcPr>
          <w:p w:rsidR="00473D04" w:rsidRPr="00A91E95" w:rsidRDefault="00473D04" w:rsidP="005752D9">
            <w:pPr>
              <w:rPr>
                <w:lang w:val="es-ES_tradnl"/>
              </w:rPr>
            </w:pPr>
            <w:r w:rsidRPr="00A91E95">
              <w:rPr>
                <w:lang w:val="es-ES_tradnl"/>
              </w:rPr>
              <w:t>4</w:t>
            </w:r>
            <w:r w:rsidR="00936FB3" w:rsidRPr="00A91E95">
              <w:rPr>
                <w:lang w:val="es-ES_tradnl"/>
              </w:rPr>
              <w:t>.</w:t>
            </w:r>
            <w:r w:rsidRPr="00A91E95">
              <w:rPr>
                <w:lang w:val="es-ES_tradnl"/>
              </w:rPr>
              <w:t>000/mi</w:t>
            </w:r>
            <w:r w:rsidR="005752D9" w:rsidRPr="00A91E95">
              <w:rPr>
                <w:lang w:val="es-ES_tradnl"/>
              </w:rPr>
              <w:t>sión</w:t>
            </w:r>
          </w:p>
        </w:tc>
        <w:tc>
          <w:tcPr>
            <w:tcW w:w="1720" w:type="dxa"/>
            <w:tcMar>
              <w:top w:w="85" w:type="dxa"/>
              <w:bottom w:w="85" w:type="dxa"/>
            </w:tcMar>
          </w:tcPr>
          <w:p w:rsidR="00473D04" w:rsidRPr="00A91E95" w:rsidRDefault="00473D04" w:rsidP="00202B28">
            <w:pPr>
              <w:spacing w:before="120" w:line="360" w:lineRule="auto"/>
              <w:rPr>
                <w:lang w:val="es-ES_tradnl"/>
              </w:rPr>
            </w:pPr>
            <w:r w:rsidRPr="00A91E95">
              <w:rPr>
                <w:lang w:val="es-ES_tradnl"/>
              </w:rPr>
              <w:t>24</w:t>
            </w:r>
            <w:r w:rsidR="005752D9" w:rsidRPr="00A91E95">
              <w:rPr>
                <w:lang w:val="es-ES_tradnl"/>
              </w:rPr>
              <w:t>.</w:t>
            </w:r>
            <w:r w:rsidRPr="00A91E95">
              <w:rPr>
                <w:lang w:val="es-ES_tradnl"/>
              </w:rPr>
              <w:t>000</w:t>
            </w:r>
          </w:p>
        </w:tc>
      </w:tr>
      <w:tr w:rsidR="00473D04" w:rsidRPr="00A91E95" w:rsidTr="00202B28">
        <w:tc>
          <w:tcPr>
            <w:tcW w:w="5004" w:type="dxa"/>
            <w:tcMar>
              <w:top w:w="85" w:type="dxa"/>
              <w:bottom w:w="85" w:type="dxa"/>
            </w:tcMar>
          </w:tcPr>
          <w:p w:rsidR="00473D04" w:rsidRPr="00A91E95" w:rsidRDefault="005752D9" w:rsidP="00202B28">
            <w:pPr>
              <w:rPr>
                <w:lang w:val="es-ES_tradnl"/>
              </w:rPr>
            </w:pPr>
            <w:r w:rsidRPr="00A91E95">
              <w:rPr>
                <w:lang w:val="es-ES_tradnl"/>
              </w:rPr>
              <w:t>Traducción</w:t>
            </w:r>
            <w:r w:rsidR="00473D04" w:rsidRPr="00A91E95">
              <w:rPr>
                <w:lang w:val="es-ES_tradnl"/>
              </w:rPr>
              <w:t xml:space="preserve"> </w:t>
            </w:r>
          </w:p>
        </w:tc>
        <w:tc>
          <w:tcPr>
            <w:tcW w:w="1917" w:type="dxa"/>
            <w:tcMar>
              <w:top w:w="85" w:type="dxa"/>
              <w:bottom w:w="85" w:type="dxa"/>
            </w:tcMar>
            <w:vAlign w:val="center"/>
          </w:tcPr>
          <w:p w:rsidR="00473D04" w:rsidRPr="00A91E95" w:rsidRDefault="00473D04" w:rsidP="00202B28">
            <w:pPr>
              <w:rPr>
                <w:lang w:val="es-ES_tradnl"/>
              </w:rPr>
            </w:pPr>
            <w:r w:rsidRPr="00A91E95">
              <w:rPr>
                <w:lang w:val="es-ES_tradnl"/>
              </w:rPr>
              <w:t>5</w:t>
            </w:r>
            <w:r w:rsidR="00936FB3" w:rsidRPr="00A91E95">
              <w:rPr>
                <w:lang w:val="es-ES_tradnl"/>
              </w:rPr>
              <w:t>.</w:t>
            </w:r>
            <w:r w:rsidRPr="00A91E95">
              <w:rPr>
                <w:lang w:val="es-ES_tradnl"/>
              </w:rPr>
              <w:t>000</w:t>
            </w:r>
          </w:p>
        </w:tc>
        <w:tc>
          <w:tcPr>
            <w:tcW w:w="1720" w:type="dxa"/>
            <w:tcMar>
              <w:top w:w="85" w:type="dxa"/>
              <w:bottom w:w="85" w:type="dxa"/>
            </w:tcMar>
          </w:tcPr>
          <w:p w:rsidR="00473D04" w:rsidRPr="00A91E95" w:rsidRDefault="00473D04" w:rsidP="00202B28">
            <w:pPr>
              <w:rPr>
                <w:lang w:val="es-ES_tradnl"/>
              </w:rPr>
            </w:pPr>
            <w:r w:rsidRPr="00A91E95">
              <w:rPr>
                <w:lang w:val="es-ES_tradnl"/>
              </w:rPr>
              <w:t>5</w:t>
            </w:r>
            <w:r w:rsidR="00936FB3" w:rsidRPr="00A91E95">
              <w:rPr>
                <w:lang w:val="es-ES_tradnl"/>
              </w:rPr>
              <w:t>.</w:t>
            </w:r>
            <w:r w:rsidRPr="00A91E95">
              <w:rPr>
                <w:lang w:val="es-ES_tradnl"/>
              </w:rPr>
              <w:t>000</w:t>
            </w:r>
          </w:p>
        </w:tc>
      </w:tr>
      <w:tr w:rsidR="00473D04" w:rsidRPr="00A91E95" w:rsidTr="00202B28">
        <w:tc>
          <w:tcPr>
            <w:tcW w:w="5004" w:type="dxa"/>
            <w:tcMar>
              <w:top w:w="85" w:type="dxa"/>
              <w:bottom w:w="85" w:type="dxa"/>
            </w:tcMar>
          </w:tcPr>
          <w:p w:rsidR="00473D04" w:rsidRPr="00A91E95" w:rsidRDefault="005752D9" w:rsidP="00202B28">
            <w:pPr>
              <w:rPr>
                <w:lang w:val="es-ES_tradnl"/>
              </w:rPr>
            </w:pPr>
            <w:r w:rsidRPr="00A91E95">
              <w:rPr>
                <w:lang w:val="es-ES_tradnl"/>
              </w:rPr>
              <w:t>Otros gastos/gastos imprevistos</w:t>
            </w:r>
          </w:p>
        </w:tc>
        <w:tc>
          <w:tcPr>
            <w:tcW w:w="1917" w:type="dxa"/>
            <w:tcMar>
              <w:top w:w="85" w:type="dxa"/>
              <w:bottom w:w="85" w:type="dxa"/>
            </w:tcMar>
            <w:vAlign w:val="center"/>
          </w:tcPr>
          <w:p w:rsidR="00473D04" w:rsidRPr="00A91E95" w:rsidRDefault="00473D04" w:rsidP="00202B28">
            <w:pPr>
              <w:rPr>
                <w:lang w:val="es-ES_tradnl"/>
              </w:rPr>
            </w:pPr>
            <w:r w:rsidRPr="00A91E95">
              <w:rPr>
                <w:lang w:val="es-ES_tradnl"/>
              </w:rPr>
              <w:t>15</w:t>
            </w:r>
            <w:r w:rsidR="005752D9" w:rsidRPr="00A91E95">
              <w:rPr>
                <w:lang w:val="es-ES_tradnl"/>
              </w:rPr>
              <w:t>.</w:t>
            </w:r>
            <w:r w:rsidRPr="00A91E95">
              <w:rPr>
                <w:lang w:val="es-ES_tradnl"/>
              </w:rPr>
              <w:t>000</w:t>
            </w:r>
          </w:p>
        </w:tc>
        <w:tc>
          <w:tcPr>
            <w:tcW w:w="1720" w:type="dxa"/>
            <w:tcMar>
              <w:top w:w="85" w:type="dxa"/>
              <w:bottom w:w="85" w:type="dxa"/>
            </w:tcMar>
          </w:tcPr>
          <w:p w:rsidR="00473D04" w:rsidRPr="00A91E95" w:rsidRDefault="00473D04" w:rsidP="00202B28">
            <w:pPr>
              <w:rPr>
                <w:lang w:val="es-ES_tradnl"/>
              </w:rPr>
            </w:pPr>
            <w:r w:rsidRPr="00A91E95">
              <w:rPr>
                <w:lang w:val="es-ES_tradnl"/>
              </w:rPr>
              <w:t>15</w:t>
            </w:r>
            <w:r w:rsidR="005752D9" w:rsidRPr="00A91E95">
              <w:rPr>
                <w:lang w:val="es-ES_tradnl"/>
              </w:rPr>
              <w:t>.</w:t>
            </w:r>
            <w:r w:rsidRPr="00A91E95">
              <w:rPr>
                <w:lang w:val="es-ES_tradnl"/>
              </w:rPr>
              <w:t>000</w:t>
            </w:r>
          </w:p>
        </w:tc>
      </w:tr>
      <w:tr w:rsidR="00473D04" w:rsidRPr="00A91E95" w:rsidTr="00202B28">
        <w:tc>
          <w:tcPr>
            <w:tcW w:w="5004" w:type="dxa"/>
            <w:tcMar>
              <w:top w:w="85" w:type="dxa"/>
              <w:bottom w:w="85" w:type="dxa"/>
            </w:tcMar>
          </w:tcPr>
          <w:p w:rsidR="00473D04" w:rsidRPr="00A91E95" w:rsidRDefault="005752D9" w:rsidP="00202B28">
            <w:pPr>
              <w:rPr>
                <w:b/>
                <w:lang w:val="es-ES_tradnl"/>
              </w:rPr>
            </w:pPr>
            <w:r w:rsidRPr="00A91E95">
              <w:rPr>
                <w:b/>
                <w:lang w:val="es-ES_tradnl"/>
              </w:rPr>
              <w:t>Presupuesto total</w:t>
            </w:r>
          </w:p>
        </w:tc>
        <w:tc>
          <w:tcPr>
            <w:tcW w:w="1917" w:type="dxa"/>
            <w:tcMar>
              <w:top w:w="85" w:type="dxa"/>
              <w:bottom w:w="85" w:type="dxa"/>
            </w:tcMar>
          </w:tcPr>
          <w:p w:rsidR="00473D04" w:rsidRPr="00A91E95" w:rsidRDefault="00473D04" w:rsidP="00202B28">
            <w:pPr>
              <w:rPr>
                <w:b/>
                <w:lang w:val="es-ES_tradnl"/>
              </w:rPr>
            </w:pPr>
            <w:r w:rsidRPr="00A91E95">
              <w:rPr>
                <w:b/>
                <w:lang w:val="es-ES_tradnl"/>
              </w:rPr>
              <w:t>-</w:t>
            </w:r>
          </w:p>
        </w:tc>
        <w:tc>
          <w:tcPr>
            <w:tcW w:w="1720" w:type="dxa"/>
            <w:tcMar>
              <w:top w:w="85" w:type="dxa"/>
              <w:bottom w:w="85" w:type="dxa"/>
            </w:tcMar>
          </w:tcPr>
          <w:p w:rsidR="00473D04" w:rsidRPr="00A91E95" w:rsidRDefault="00473D04" w:rsidP="00202B28">
            <w:pPr>
              <w:rPr>
                <w:b/>
                <w:lang w:val="es-ES_tradnl"/>
              </w:rPr>
            </w:pPr>
            <w:r w:rsidRPr="00A91E95">
              <w:rPr>
                <w:b/>
                <w:lang w:val="es-ES_tradnl"/>
              </w:rPr>
              <w:t>94</w:t>
            </w:r>
            <w:r w:rsidR="005752D9" w:rsidRPr="00A91E95">
              <w:rPr>
                <w:b/>
                <w:lang w:val="es-ES_tradnl"/>
              </w:rPr>
              <w:t>.</w:t>
            </w:r>
            <w:r w:rsidRPr="00A91E95">
              <w:rPr>
                <w:b/>
                <w:lang w:val="es-ES_tradnl"/>
              </w:rPr>
              <w:t>000</w:t>
            </w:r>
          </w:p>
        </w:tc>
      </w:tr>
    </w:tbl>
    <w:p w:rsidR="00473D04" w:rsidRPr="00A91E95" w:rsidRDefault="005752D9" w:rsidP="00473D04">
      <w:pPr>
        <w:pStyle w:val="ListParagraph"/>
        <w:numPr>
          <w:ilvl w:val="0"/>
          <w:numId w:val="17"/>
        </w:numPr>
        <w:spacing w:before="240" w:after="120"/>
        <w:ind w:left="648"/>
        <w:contextualSpacing w:val="0"/>
        <w:rPr>
          <w:lang w:val="es-ES_tradnl"/>
        </w:rPr>
      </w:pPr>
      <w:r w:rsidRPr="00A91E95">
        <w:rPr>
          <w:lang w:val="es-ES_tradnl"/>
        </w:rPr>
        <w:t>CALENDARIO DETALLADO</w:t>
      </w:r>
    </w:p>
    <w:tbl>
      <w:tblPr>
        <w:tblStyle w:val="TableGrid"/>
        <w:tblW w:w="8647" w:type="dxa"/>
        <w:tblInd w:w="-5" w:type="dxa"/>
        <w:tblLayout w:type="fixed"/>
        <w:tblLook w:val="04A0" w:firstRow="1" w:lastRow="0" w:firstColumn="1" w:lastColumn="0" w:noHBand="0" w:noVBand="1"/>
        <w:tblCaption w:val="XII. Deatialed Timeline"/>
        <w:tblDescription w:val="Detailed timeline:"/>
      </w:tblPr>
      <w:tblGrid>
        <w:gridCol w:w="3544"/>
        <w:gridCol w:w="425"/>
        <w:gridCol w:w="426"/>
        <w:gridCol w:w="425"/>
        <w:gridCol w:w="425"/>
        <w:gridCol w:w="425"/>
        <w:gridCol w:w="426"/>
        <w:gridCol w:w="425"/>
        <w:gridCol w:w="425"/>
        <w:gridCol w:w="425"/>
        <w:gridCol w:w="426"/>
        <w:gridCol w:w="433"/>
        <w:gridCol w:w="417"/>
      </w:tblGrid>
      <w:tr w:rsidR="00473D04" w:rsidRPr="00A91E95" w:rsidTr="00202B28">
        <w:trPr>
          <w:tblHeader/>
        </w:trPr>
        <w:tc>
          <w:tcPr>
            <w:tcW w:w="3544" w:type="dxa"/>
            <w:vMerge w:val="restart"/>
          </w:tcPr>
          <w:p w:rsidR="00473D04" w:rsidRPr="00A91E95" w:rsidRDefault="005752D9" w:rsidP="00202B28">
            <w:pPr>
              <w:jc w:val="center"/>
              <w:rPr>
                <w:lang w:val="es-ES_tradnl"/>
              </w:rPr>
            </w:pPr>
            <w:r w:rsidRPr="00A91E95">
              <w:rPr>
                <w:sz w:val="20"/>
                <w:szCs w:val="18"/>
                <w:lang w:val="es-ES_tradnl"/>
              </w:rPr>
              <w:t>Tareas</w:t>
            </w:r>
          </w:p>
        </w:tc>
        <w:tc>
          <w:tcPr>
            <w:tcW w:w="5103" w:type="dxa"/>
            <w:gridSpan w:val="12"/>
          </w:tcPr>
          <w:p w:rsidR="00473D04" w:rsidRPr="00A91E95" w:rsidRDefault="005752D9" w:rsidP="00202B28">
            <w:pPr>
              <w:jc w:val="center"/>
              <w:rPr>
                <w:sz w:val="18"/>
                <w:szCs w:val="16"/>
                <w:lang w:val="es-ES_tradnl"/>
              </w:rPr>
            </w:pPr>
            <w:r w:rsidRPr="00A91E95">
              <w:rPr>
                <w:sz w:val="18"/>
                <w:szCs w:val="16"/>
                <w:lang w:val="es-ES_tradnl"/>
              </w:rPr>
              <w:t>Año</w:t>
            </w:r>
            <w:r w:rsidR="00473D04" w:rsidRPr="00A91E95">
              <w:rPr>
                <w:sz w:val="18"/>
                <w:szCs w:val="16"/>
                <w:lang w:val="es-ES_tradnl"/>
              </w:rPr>
              <w:t xml:space="preserve">/ </w:t>
            </w:r>
          </w:p>
          <w:p w:rsidR="00473D04" w:rsidRPr="00A91E95" w:rsidRDefault="00473D04" w:rsidP="005752D9">
            <w:pPr>
              <w:jc w:val="center"/>
              <w:rPr>
                <w:sz w:val="18"/>
                <w:szCs w:val="16"/>
                <w:lang w:val="es-ES_tradnl"/>
              </w:rPr>
            </w:pPr>
            <w:r w:rsidRPr="00A91E95">
              <w:rPr>
                <w:sz w:val="18"/>
                <w:szCs w:val="16"/>
                <w:lang w:val="es-ES_tradnl"/>
              </w:rPr>
              <w:t>m</w:t>
            </w:r>
            <w:r w:rsidR="005752D9" w:rsidRPr="00A91E95">
              <w:rPr>
                <w:sz w:val="18"/>
                <w:szCs w:val="16"/>
                <w:lang w:val="es-ES_tradnl"/>
              </w:rPr>
              <w:t>es</w:t>
            </w:r>
          </w:p>
        </w:tc>
      </w:tr>
      <w:tr w:rsidR="00473D04" w:rsidRPr="00A91E95" w:rsidTr="00202B28">
        <w:tc>
          <w:tcPr>
            <w:tcW w:w="3544" w:type="dxa"/>
            <w:vMerge/>
          </w:tcPr>
          <w:p w:rsidR="00473D04" w:rsidRPr="00A91E95" w:rsidRDefault="00473D04" w:rsidP="00202B28">
            <w:pPr>
              <w:rPr>
                <w:lang w:val="es-ES_tradnl"/>
              </w:rPr>
            </w:pPr>
          </w:p>
        </w:tc>
        <w:tc>
          <w:tcPr>
            <w:tcW w:w="425" w:type="dxa"/>
          </w:tcPr>
          <w:p w:rsidR="00473D04" w:rsidRPr="00A91E95" w:rsidRDefault="00473D04" w:rsidP="00202B28">
            <w:pPr>
              <w:jc w:val="center"/>
              <w:rPr>
                <w:sz w:val="18"/>
                <w:szCs w:val="16"/>
                <w:lang w:val="es-ES_tradnl"/>
              </w:rPr>
            </w:pPr>
            <w:r w:rsidRPr="00A91E95">
              <w:rPr>
                <w:sz w:val="18"/>
                <w:szCs w:val="16"/>
                <w:lang w:val="es-ES_tradnl"/>
              </w:rPr>
              <w:t>1</w:t>
            </w:r>
          </w:p>
        </w:tc>
        <w:tc>
          <w:tcPr>
            <w:tcW w:w="426" w:type="dxa"/>
          </w:tcPr>
          <w:p w:rsidR="00473D04" w:rsidRPr="00A91E95" w:rsidRDefault="00473D04" w:rsidP="00202B28">
            <w:pPr>
              <w:jc w:val="center"/>
              <w:rPr>
                <w:sz w:val="18"/>
                <w:szCs w:val="16"/>
                <w:lang w:val="es-ES_tradnl"/>
              </w:rPr>
            </w:pPr>
            <w:r w:rsidRPr="00A91E95">
              <w:rPr>
                <w:sz w:val="18"/>
                <w:szCs w:val="16"/>
                <w:lang w:val="es-ES_tradnl"/>
              </w:rPr>
              <w:t>2</w:t>
            </w:r>
          </w:p>
        </w:tc>
        <w:tc>
          <w:tcPr>
            <w:tcW w:w="425" w:type="dxa"/>
          </w:tcPr>
          <w:p w:rsidR="00473D04" w:rsidRPr="00A91E95" w:rsidRDefault="00473D04" w:rsidP="00202B28">
            <w:pPr>
              <w:jc w:val="center"/>
              <w:rPr>
                <w:sz w:val="18"/>
                <w:szCs w:val="16"/>
                <w:lang w:val="es-ES_tradnl"/>
              </w:rPr>
            </w:pPr>
            <w:r w:rsidRPr="00A91E95">
              <w:rPr>
                <w:sz w:val="18"/>
                <w:szCs w:val="16"/>
                <w:lang w:val="es-ES_tradnl"/>
              </w:rPr>
              <w:t>3</w:t>
            </w:r>
          </w:p>
        </w:tc>
        <w:tc>
          <w:tcPr>
            <w:tcW w:w="425" w:type="dxa"/>
          </w:tcPr>
          <w:p w:rsidR="00473D04" w:rsidRPr="00A91E95" w:rsidRDefault="00473D04" w:rsidP="00202B28">
            <w:pPr>
              <w:jc w:val="center"/>
              <w:rPr>
                <w:sz w:val="18"/>
                <w:szCs w:val="16"/>
                <w:lang w:val="es-ES_tradnl"/>
              </w:rPr>
            </w:pPr>
            <w:r w:rsidRPr="00A91E95">
              <w:rPr>
                <w:sz w:val="18"/>
                <w:szCs w:val="16"/>
                <w:lang w:val="es-ES_tradnl"/>
              </w:rPr>
              <w:t>4</w:t>
            </w:r>
          </w:p>
        </w:tc>
        <w:tc>
          <w:tcPr>
            <w:tcW w:w="425" w:type="dxa"/>
          </w:tcPr>
          <w:p w:rsidR="00473D04" w:rsidRPr="00A91E95" w:rsidRDefault="00473D04" w:rsidP="00202B28">
            <w:pPr>
              <w:jc w:val="center"/>
              <w:rPr>
                <w:sz w:val="18"/>
                <w:szCs w:val="16"/>
                <w:lang w:val="es-ES_tradnl"/>
              </w:rPr>
            </w:pPr>
            <w:r w:rsidRPr="00A91E95">
              <w:rPr>
                <w:sz w:val="18"/>
                <w:szCs w:val="16"/>
                <w:lang w:val="es-ES_tradnl"/>
              </w:rPr>
              <w:t>5</w:t>
            </w:r>
          </w:p>
        </w:tc>
        <w:tc>
          <w:tcPr>
            <w:tcW w:w="426" w:type="dxa"/>
          </w:tcPr>
          <w:p w:rsidR="00473D04" w:rsidRPr="00A91E95" w:rsidRDefault="00473D04" w:rsidP="00202B28">
            <w:pPr>
              <w:jc w:val="center"/>
              <w:rPr>
                <w:sz w:val="18"/>
                <w:szCs w:val="16"/>
                <w:lang w:val="es-ES_tradnl"/>
              </w:rPr>
            </w:pPr>
            <w:r w:rsidRPr="00A91E95">
              <w:rPr>
                <w:sz w:val="18"/>
                <w:szCs w:val="16"/>
                <w:lang w:val="es-ES_tradnl"/>
              </w:rPr>
              <w:t>6</w:t>
            </w:r>
          </w:p>
        </w:tc>
        <w:tc>
          <w:tcPr>
            <w:tcW w:w="425" w:type="dxa"/>
          </w:tcPr>
          <w:p w:rsidR="00473D04" w:rsidRPr="00A91E95" w:rsidRDefault="00473D04" w:rsidP="00202B28">
            <w:pPr>
              <w:jc w:val="center"/>
              <w:rPr>
                <w:sz w:val="18"/>
                <w:szCs w:val="16"/>
                <w:lang w:val="es-ES_tradnl"/>
              </w:rPr>
            </w:pPr>
            <w:r w:rsidRPr="00A91E95">
              <w:rPr>
                <w:sz w:val="18"/>
                <w:szCs w:val="16"/>
                <w:lang w:val="es-ES_tradnl"/>
              </w:rPr>
              <w:t>7</w:t>
            </w:r>
          </w:p>
        </w:tc>
        <w:tc>
          <w:tcPr>
            <w:tcW w:w="425" w:type="dxa"/>
          </w:tcPr>
          <w:p w:rsidR="00473D04" w:rsidRPr="00A91E95" w:rsidRDefault="00473D04" w:rsidP="00202B28">
            <w:pPr>
              <w:jc w:val="center"/>
              <w:rPr>
                <w:sz w:val="18"/>
                <w:szCs w:val="16"/>
                <w:lang w:val="es-ES_tradnl"/>
              </w:rPr>
            </w:pPr>
            <w:r w:rsidRPr="00A91E95">
              <w:rPr>
                <w:sz w:val="18"/>
                <w:szCs w:val="16"/>
                <w:lang w:val="es-ES_tradnl"/>
              </w:rPr>
              <w:t>8</w:t>
            </w:r>
          </w:p>
        </w:tc>
        <w:tc>
          <w:tcPr>
            <w:tcW w:w="425" w:type="dxa"/>
          </w:tcPr>
          <w:p w:rsidR="00473D04" w:rsidRPr="00A91E95" w:rsidRDefault="00473D04" w:rsidP="00202B28">
            <w:pPr>
              <w:jc w:val="center"/>
              <w:rPr>
                <w:sz w:val="18"/>
                <w:szCs w:val="16"/>
                <w:lang w:val="es-ES_tradnl"/>
              </w:rPr>
            </w:pPr>
            <w:r w:rsidRPr="00A91E95">
              <w:rPr>
                <w:sz w:val="18"/>
                <w:szCs w:val="16"/>
                <w:lang w:val="es-ES_tradnl"/>
              </w:rPr>
              <w:t>9</w:t>
            </w:r>
          </w:p>
        </w:tc>
        <w:tc>
          <w:tcPr>
            <w:tcW w:w="426" w:type="dxa"/>
          </w:tcPr>
          <w:p w:rsidR="00473D04" w:rsidRPr="00A91E95" w:rsidRDefault="00473D04" w:rsidP="00202B28">
            <w:pPr>
              <w:jc w:val="center"/>
              <w:rPr>
                <w:sz w:val="18"/>
                <w:szCs w:val="16"/>
                <w:lang w:val="es-ES_tradnl"/>
              </w:rPr>
            </w:pPr>
            <w:r w:rsidRPr="00A91E95">
              <w:rPr>
                <w:sz w:val="18"/>
                <w:szCs w:val="16"/>
                <w:lang w:val="es-ES_tradnl"/>
              </w:rPr>
              <w:t>10</w:t>
            </w:r>
          </w:p>
        </w:tc>
        <w:tc>
          <w:tcPr>
            <w:tcW w:w="433" w:type="dxa"/>
          </w:tcPr>
          <w:p w:rsidR="00473D04" w:rsidRPr="00A91E95" w:rsidRDefault="00473D04" w:rsidP="00202B28">
            <w:pPr>
              <w:jc w:val="center"/>
              <w:rPr>
                <w:sz w:val="18"/>
                <w:szCs w:val="16"/>
                <w:lang w:val="es-ES_tradnl"/>
              </w:rPr>
            </w:pPr>
            <w:r w:rsidRPr="00A91E95">
              <w:rPr>
                <w:sz w:val="18"/>
                <w:szCs w:val="16"/>
                <w:lang w:val="es-ES_tradnl"/>
              </w:rPr>
              <w:t>11</w:t>
            </w:r>
          </w:p>
        </w:tc>
        <w:tc>
          <w:tcPr>
            <w:tcW w:w="417" w:type="dxa"/>
          </w:tcPr>
          <w:p w:rsidR="00473D04" w:rsidRPr="00A91E95" w:rsidRDefault="00473D04" w:rsidP="00202B28">
            <w:pPr>
              <w:jc w:val="center"/>
              <w:rPr>
                <w:sz w:val="18"/>
                <w:szCs w:val="16"/>
                <w:lang w:val="es-ES_tradnl"/>
              </w:rPr>
            </w:pPr>
            <w:r w:rsidRPr="00A91E95">
              <w:rPr>
                <w:sz w:val="18"/>
                <w:szCs w:val="16"/>
                <w:lang w:val="es-ES_tradnl"/>
              </w:rPr>
              <w:t>12</w:t>
            </w:r>
          </w:p>
        </w:tc>
      </w:tr>
      <w:tr w:rsidR="00473D04" w:rsidRPr="00A91E95" w:rsidTr="00202B28">
        <w:tc>
          <w:tcPr>
            <w:tcW w:w="3544" w:type="dxa"/>
          </w:tcPr>
          <w:p w:rsidR="00473D04" w:rsidRPr="00A91E95" w:rsidRDefault="005752D9" w:rsidP="00202B28">
            <w:pPr>
              <w:jc w:val="center"/>
              <w:rPr>
                <w:b/>
                <w:bCs/>
                <w:sz w:val="18"/>
                <w:szCs w:val="16"/>
                <w:u w:val="single"/>
                <w:lang w:val="es-ES_tradnl"/>
              </w:rPr>
            </w:pPr>
            <w:r w:rsidRPr="00A91E95">
              <w:rPr>
                <w:b/>
                <w:bCs/>
                <w:sz w:val="18"/>
                <w:szCs w:val="16"/>
                <w:u w:val="single"/>
                <w:lang w:val="es-ES_tradnl"/>
              </w:rPr>
              <w:t>Fase cero</w:t>
            </w:r>
            <w:r w:rsidR="00473D04" w:rsidRPr="00A91E95">
              <w:rPr>
                <w:b/>
                <w:bCs/>
                <w:sz w:val="18"/>
                <w:szCs w:val="16"/>
                <w:u w:val="single"/>
                <w:lang w:val="es-ES_tradnl"/>
              </w:rPr>
              <w:t>:</w:t>
            </w:r>
          </w:p>
          <w:p w:rsidR="00473D04" w:rsidRPr="00A91E95" w:rsidRDefault="00473D04" w:rsidP="00202B28">
            <w:pPr>
              <w:rPr>
                <w:sz w:val="18"/>
                <w:szCs w:val="16"/>
                <w:lang w:val="es-ES_tradnl"/>
              </w:rPr>
            </w:pPr>
          </w:p>
          <w:p w:rsidR="00473D04" w:rsidRPr="00A91E95" w:rsidRDefault="00473D04" w:rsidP="00202B28">
            <w:pPr>
              <w:rPr>
                <w:sz w:val="18"/>
                <w:szCs w:val="16"/>
                <w:lang w:val="es-ES_tradnl"/>
              </w:rPr>
            </w:pPr>
            <w:r w:rsidRPr="00A91E95">
              <w:rPr>
                <w:sz w:val="18"/>
                <w:szCs w:val="16"/>
                <w:lang w:val="es-ES_tradnl"/>
              </w:rPr>
              <w:t xml:space="preserve">i) </w:t>
            </w:r>
            <w:r w:rsidR="00964E85" w:rsidRPr="00A91E95">
              <w:rPr>
                <w:sz w:val="18"/>
                <w:szCs w:val="16"/>
                <w:lang w:val="es-ES_tradnl"/>
              </w:rPr>
              <w:t>Examen y aprobación del mandato por el CDIP;</w:t>
            </w:r>
            <w:r w:rsidR="006163FD" w:rsidRPr="00A91E95">
              <w:rPr>
                <w:sz w:val="18"/>
                <w:szCs w:val="16"/>
                <w:lang w:val="es-ES_tradnl"/>
              </w:rPr>
              <w:t xml:space="preserve"> </w:t>
            </w:r>
          </w:p>
          <w:p w:rsidR="00473D04" w:rsidRPr="00A91E95" w:rsidRDefault="00473D04" w:rsidP="00202B28">
            <w:pPr>
              <w:rPr>
                <w:sz w:val="18"/>
                <w:szCs w:val="16"/>
                <w:lang w:val="es-ES_tradnl"/>
              </w:rPr>
            </w:pPr>
          </w:p>
          <w:p w:rsidR="00473D04" w:rsidRPr="00A91E95" w:rsidRDefault="00473D04" w:rsidP="00202B28">
            <w:pPr>
              <w:rPr>
                <w:sz w:val="18"/>
                <w:szCs w:val="16"/>
                <w:lang w:val="es-ES_tradnl"/>
              </w:rPr>
            </w:pPr>
            <w:r w:rsidRPr="00A91E95">
              <w:rPr>
                <w:sz w:val="18"/>
                <w:szCs w:val="16"/>
                <w:lang w:val="es-ES_tradnl"/>
              </w:rPr>
              <w:t xml:space="preserve">ii) </w:t>
            </w:r>
            <w:r w:rsidR="00964E85" w:rsidRPr="00A91E95">
              <w:rPr>
                <w:sz w:val="18"/>
                <w:szCs w:val="16"/>
                <w:lang w:val="es-ES_tradnl"/>
              </w:rPr>
              <w:t>Convocatoria de manifestaciones de interés para un equipo de revisión</w:t>
            </w:r>
            <w:r w:rsidRPr="00A91E95">
              <w:rPr>
                <w:sz w:val="18"/>
                <w:szCs w:val="16"/>
                <w:lang w:val="es-ES_tradnl"/>
              </w:rPr>
              <w:t xml:space="preserve">. </w:t>
            </w:r>
          </w:p>
          <w:p w:rsidR="00473D04" w:rsidRPr="00A91E95" w:rsidRDefault="00473D04" w:rsidP="00202B28">
            <w:pPr>
              <w:rPr>
                <w:sz w:val="18"/>
                <w:szCs w:val="16"/>
                <w:lang w:val="es-ES_tradnl"/>
              </w:rPr>
            </w:pPr>
          </w:p>
          <w:p w:rsidR="00473D04" w:rsidRPr="00A91E95" w:rsidRDefault="00473D04" w:rsidP="00202B28">
            <w:pPr>
              <w:rPr>
                <w:sz w:val="18"/>
                <w:szCs w:val="16"/>
                <w:lang w:val="es-ES_tradnl"/>
              </w:rPr>
            </w:pPr>
            <w:r w:rsidRPr="00A91E95">
              <w:rPr>
                <w:sz w:val="18"/>
                <w:szCs w:val="16"/>
                <w:lang w:val="es-ES_tradnl"/>
              </w:rPr>
              <w:t xml:space="preserve">iii) </w:t>
            </w:r>
            <w:r w:rsidR="00964E85" w:rsidRPr="00A91E95">
              <w:rPr>
                <w:sz w:val="18"/>
                <w:szCs w:val="16"/>
                <w:lang w:val="es-ES_tradnl"/>
              </w:rPr>
              <w:t>Selección del equipo de revisión</w:t>
            </w:r>
          </w:p>
        </w:tc>
        <w:tc>
          <w:tcPr>
            <w:tcW w:w="425" w:type="dxa"/>
            <w:shd w:val="clear" w:color="auto" w:fill="auto"/>
          </w:tcPr>
          <w:p w:rsidR="00473D04" w:rsidRPr="00A91E95" w:rsidRDefault="00473D04" w:rsidP="00202B28">
            <w:pPr>
              <w:rPr>
                <w:lang w:val="es-ES_tradnl"/>
              </w:rPr>
            </w:pPr>
          </w:p>
        </w:tc>
        <w:tc>
          <w:tcPr>
            <w:tcW w:w="426" w:type="dxa"/>
            <w:shd w:val="clear" w:color="auto" w:fill="auto"/>
          </w:tcPr>
          <w:p w:rsidR="00473D04" w:rsidRPr="00A91E95" w:rsidRDefault="00473D04" w:rsidP="00202B28">
            <w:pPr>
              <w:rPr>
                <w:lang w:val="es-ES_tradnl"/>
              </w:rPr>
            </w:pPr>
          </w:p>
        </w:tc>
        <w:tc>
          <w:tcPr>
            <w:tcW w:w="425" w:type="dxa"/>
            <w:shd w:val="clear" w:color="auto" w:fill="auto"/>
          </w:tcPr>
          <w:p w:rsidR="00473D04" w:rsidRPr="00A91E95" w:rsidRDefault="00473D04" w:rsidP="00202B28">
            <w:pPr>
              <w:rPr>
                <w:lang w:val="es-ES_tradnl"/>
              </w:rPr>
            </w:pPr>
          </w:p>
        </w:tc>
        <w:tc>
          <w:tcPr>
            <w:tcW w:w="425" w:type="dxa"/>
          </w:tcPr>
          <w:p w:rsidR="00473D04" w:rsidRPr="00A91E95" w:rsidRDefault="00473D04" w:rsidP="00202B28">
            <w:pPr>
              <w:rPr>
                <w:lang w:val="es-ES_tradnl"/>
              </w:rPr>
            </w:pPr>
          </w:p>
        </w:tc>
        <w:tc>
          <w:tcPr>
            <w:tcW w:w="425" w:type="dxa"/>
          </w:tcPr>
          <w:p w:rsidR="00473D04" w:rsidRPr="00A91E95" w:rsidRDefault="00473D04" w:rsidP="00202B28">
            <w:pPr>
              <w:rPr>
                <w:lang w:val="es-ES_tradnl"/>
              </w:rPr>
            </w:pPr>
          </w:p>
        </w:tc>
        <w:tc>
          <w:tcPr>
            <w:tcW w:w="426" w:type="dxa"/>
          </w:tcPr>
          <w:p w:rsidR="00473D04" w:rsidRPr="00A91E95" w:rsidRDefault="00473D04" w:rsidP="00202B28">
            <w:pPr>
              <w:rPr>
                <w:lang w:val="es-ES_tradnl"/>
              </w:rPr>
            </w:pPr>
          </w:p>
        </w:tc>
        <w:tc>
          <w:tcPr>
            <w:tcW w:w="425" w:type="dxa"/>
          </w:tcPr>
          <w:p w:rsidR="00473D04" w:rsidRPr="00A91E95" w:rsidRDefault="00473D04" w:rsidP="00202B28">
            <w:pPr>
              <w:rPr>
                <w:lang w:val="es-ES_tradnl"/>
              </w:rPr>
            </w:pPr>
          </w:p>
        </w:tc>
        <w:tc>
          <w:tcPr>
            <w:tcW w:w="425" w:type="dxa"/>
          </w:tcPr>
          <w:p w:rsidR="00473D04" w:rsidRPr="00A91E95" w:rsidRDefault="00473D04" w:rsidP="00202B28">
            <w:pPr>
              <w:rPr>
                <w:lang w:val="es-ES_tradnl"/>
              </w:rPr>
            </w:pPr>
          </w:p>
        </w:tc>
        <w:tc>
          <w:tcPr>
            <w:tcW w:w="425" w:type="dxa"/>
          </w:tcPr>
          <w:p w:rsidR="00473D04" w:rsidRPr="00A91E95" w:rsidRDefault="00473D04" w:rsidP="00202B28">
            <w:pPr>
              <w:rPr>
                <w:lang w:val="es-ES_tradnl"/>
              </w:rPr>
            </w:pPr>
          </w:p>
        </w:tc>
        <w:tc>
          <w:tcPr>
            <w:tcW w:w="426" w:type="dxa"/>
          </w:tcPr>
          <w:p w:rsidR="00473D04" w:rsidRPr="00A91E95" w:rsidRDefault="00473D04" w:rsidP="00202B28">
            <w:pPr>
              <w:rPr>
                <w:lang w:val="es-ES_tradnl"/>
              </w:rPr>
            </w:pPr>
          </w:p>
        </w:tc>
        <w:tc>
          <w:tcPr>
            <w:tcW w:w="433" w:type="dxa"/>
          </w:tcPr>
          <w:p w:rsidR="00473D04" w:rsidRPr="00A91E95" w:rsidRDefault="00473D04" w:rsidP="00202B28">
            <w:pPr>
              <w:rPr>
                <w:lang w:val="es-ES_tradnl"/>
              </w:rPr>
            </w:pPr>
          </w:p>
        </w:tc>
        <w:tc>
          <w:tcPr>
            <w:tcW w:w="417" w:type="dxa"/>
          </w:tcPr>
          <w:p w:rsidR="00473D04" w:rsidRPr="00A91E95" w:rsidRDefault="00473D04" w:rsidP="00202B28">
            <w:pPr>
              <w:rPr>
                <w:lang w:val="es-ES_tradnl"/>
              </w:rPr>
            </w:pPr>
          </w:p>
        </w:tc>
      </w:tr>
      <w:tr w:rsidR="00473D04" w:rsidRPr="00A91E95" w:rsidTr="00202B28">
        <w:tc>
          <w:tcPr>
            <w:tcW w:w="3544" w:type="dxa"/>
          </w:tcPr>
          <w:p w:rsidR="00473D04" w:rsidRPr="00A91E95" w:rsidRDefault="00964E85" w:rsidP="00202B28">
            <w:pPr>
              <w:rPr>
                <w:sz w:val="18"/>
                <w:szCs w:val="16"/>
                <w:lang w:val="es-ES_tradnl"/>
              </w:rPr>
            </w:pPr>
            <w:r w:rsidRPr="00A91E95">
              <w:rPr>
                <w:sz w:val="18"/>
                <w:szCs w:val="16"/>
                <w:lang w:val="es-ES_tradnl"/>
              </w:rPr>
              <w:t>Estudio teórico de documentos</w:t>
            </w:r>
          </w:p>
        </w:tc>
        <w:tc>
          <w:tcPr>
            <w:tcW w:w="425" w:type="dxa"/>
            <w:shd w:val="clear" w:color="auto" w:fill="D6E3BC" w:themeFill="accent3" w:themeFillTint="66"/>
          </w:tcPr>
          <w:p w:rsidR="00473D04" w:rsidRPr="00A91E95" w:rsidRDefault="00473D04" w:rsidP="00202B28">
            <w:pPr>
              <w:rPr>
                <w:sz w:val="18"/>
                <w:szCs w:val="16"/>
                <w:lang w:val="es-ES_tradnl"/>
              </w:rPr>
            </w:pPr>
          </w:p>
        </w:tc>
        <w:tc>
          <w:tcPr>
            <w:tcW w:w="426" w:type="dxa"/>
            <w:shd w:val="clear" w:color="auto" w:fill="D6E3BC" w:themeFill="accent3" w:themeFillTint="66"/>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6" w:type="dxa"/>
            <w:shd w:val="clear" w:color="auto" w:fill="FFFFFF" w:themeFill="background1"/>
          </w:tcPr>
          <w:p w:rsidR="00473D04" w:rsidRPr="00A91E95" w:rsidRDefault="00473D04" w:rsidP="00202B28">
            <w:pPr>
              <w:rPr>
                <w:sz w:val="18"/>
                <w:szCs w:val="16"/>
                <w:lang w:val="es-ES_tradnl"/>
              </w:rPr>
            </w:pPr>
          </w:p>
        </w:tc>
        <w:tc>
          <w:tcPr>
            <w:tcW w:w="425" w:type="dxa"/>
            <w:shd w:val="clear" w:color="auto" w:fill="FFFFFF" w:themeFill="background1"/>
          </w:tcPr>
          <w:p w:rsidR="00473D04" w:rsidRPr="00A91E95" w:rsidRDefault="00473D04" w:rsidP="00202B28">
            <w:pPr>
              <w:rPr>
                <w:sz w:val="18"/>
                <w:szCs w:val="16"/>
                <w:lang w:val="es-ES_tradnl"/>
              </w:rPr>
            </w:pPr>
          </w:p>
        </w:tc>
        <w:tc>
          <w:tcPr>
            <w:tcW w:w="425" w:type="dxa"/>
            <w:shd w:val="clear" w:color="auto" w:fill="FFFFFF" w:themeFill="background1"/>
          </w:tcPr>
          <w:p w:rsidR="00473D04" w:rsidRPr="00A91E95" w:rsidRDefault="00473D04" w:rsidP="00202B28">
            <w:pPr>
              <w:rPr>
                <w:sz w:val="18"/>
                <w:szCs w:val="16"/>
                <w:lang w:val="es-ES_tradnl"/>
              </w:rPr>
            </w:pPr>
          </w:p>
        </w:tc>
        <w:tc>
          <w:tcPr>
            <w:tcW w:w="425" w:type="dxa"/>
            <w:shd w:val="clear" w:color="auto" w:fill="FFFFFF" w:themeFill="background1"/>
          </w:tcPr>
          <w:p w:rsidR="00473D04" w:rsidRPr="00A91E95" w:rsidRDefault="00473D04" w:rsidP="00202B28">
            <w:pPr>
              <w:rPr>
                <w:sz w:val="18"/>
                <w:szCs w:val="16"/>
                <w:lang w:val="es-ES_tradnl"/>
              </w:rPr>
            </w:pPr>
          </w:p>
        </w:tc>
        <w:tc>
          <w:tcPr>
            <w:tcW w:w="426" w:type="dxa"/>
            <w:shd w:val="clear" w:color="auto" w:fill="FFFFFF" w:themeFill="background1"/>
          </w:tcPr>
          <w:p w:rsidR="00473D04" w:rsidRPr="00A91E95" w:rsidRDefault="00473D04" w:rsidP="00202B28">
            <w:pPr>
              <w:rPr>
                <w:sz w:val="18"/>
                <w:szCs w:val="16"/>
                <w:lang w:val="es-ES_tradnl"/>
              </w:rPr>
            </w:pPr>
          </w:p>
        </w:tc>
        <w:tc>
          <w:tcPr>
            <w:tcW w:w="433" w:type="dxa"/>
            <w:shd w:val="clear" w:color="auto" w:fill="FFFFFF" w:themeFill="background1"/>
          </w:tcPr>
          <w:p w:rsidR="00473D04" w:rsidRPr="00A91E95" w:rsidRDefault="00473D04" w:rsidP="00202B28">
            <w:pPr>
              <w:rPr>
                <w:sz w:val="18"/>
                <w:szCs w:val="16"/>
                <w:lang w:val="es-ES_tradnl"/>
              </w:rPr>
            </w:pPr>
          </w:p>
        </w:tc>
        <w:tc>
          <w:tcPr>
            <w:tcW w:w="417" w:type="dxa"/>
            <w:shd w:val="clear" w:color="auto" w:fill="FFFFFF" w:themeFill="background1"/>
          </w:tcPr>
          <w:p w:rsidR="00473D04" w:rsidRPr="00A91E95" w:rsidRDefault="00473D04" w:rsidP="00202B28">
            <w:pPr>
              <w:rPr>
                <w:sz w:val="18"/>
                <w:szCs w:val="16"/>
                <w:lang w:val="es-ES_tradnl"/>
              </w:rPr>
            </w:pPr>
          </w:p>
        </w:tc>
      </w:tr>
      <w:tr w:rsidR="00473D04" w:rsidRPr="00A91E95" w:rsidTr="00202B28">
        <w:tc>
          <w:tcPr>
            <w:tcW w:w="3544" w:type="dxa"/>
          </w:tcPr>
          <w:p w:rsidR="00473D04" w:rsidRPr="00A91E95" w:rsidRDefault="00964E85" w:rsidP="00202B28">
            <w:pPr>
              <w:rPr>
                <w:sz w:val="18"/>
                <w:szCs w:val="16"/>
                <w:lang w:val="es-ES_tradnl"/>
              </w:rPr>
            </w:pPr>
            <w:r w:rsidRPr="00A91E95">
              <w:rPr>
                <w:sz w:val="18"/>
                <w:szCs w:val="16"/>
                <w:lang w:val="es-ES_tradnl"/>
              </w:rPr>
              <w:t>Informe inicial</w:t>
            </w:r>
          </w:p>
        </w:tc>
        <w:tc>
          <w:tcPr>
            <w:tcW w:w="425" w:type="dxa"/>
          </w:tcPr>
          <w:p w:rsidR="00473D04" w:rsidRPr="00A91E95" w:rsidRDefault="00473D04" w:rsidP="00202B28">
            <w:pPr>
              <w:rPr>
                <w:sz w:val="18"/>
                <w:szCs w:val="16"/>
                <w:lang w:val="es-ES_tradnl"/>
              </w:rPr>
            </w:pPr>
          </w:p>
        </w:tc>
        <w:tc>
          <w:tcPr>
            <w:tcW w:w="426" w:type="dxa"/>
          </w:tcPr>
          <w:p w:rsidR="00473D04" w:rsidRPr="00A91E95" w:rsidRDefault="00473D04" w:rsidP="00202B28">
            <w:pPr>
              <w:rPr>
                <w:sz w:val="18"/>
                <w:szCs w:val="16"/>
                <w:lang w:val="es-ES_tradnl"/>
              </w:rPr>
            </w:pPr>
          </w:p>
        </w:tc>
        <w:tc>
          <w:tcPr>
            <w:tcW w:w="425" w:type="dxa"/>
            <w:shd w:val="clear" w:color="auto" w:fill="D6E3BC" w:themeFill="accent3" w:themeFillTint="66"/>
          </w:tcPr>
          <w:p w:rsidR="00473D04" w:rsidRPr="00A91E95" w:rsidRDefault="00473D04" w:rsidP="00202B28">
            <w:pPr>
              <w:rPr>
                <w:sz w:val="18"/>
                <w:szCs w:val="16"/>
                <w:lang w:val="es-ES_tradnl"/>
              </w:rPr>
            </w:pPr>
          </w:p>
        </w:tc>
        <w:tc>
          <w:tcPr>
            <w:tcW w:w="425" w:type="dxa"/>
            <w:shd w:val="clear" w:color="auto" w:fill="D6E3BC" w:themeFill="accent3" w:themeFillTint="66"/>
          </w:tcPr>
          <w:p w:rsidR="00473D04" w:rsidRPr="00A91E95" w:rsidRDefault="00473D04" w:rsidP="00202B28">
            <w:pPr>
              <w:rPr>
                <w:sz w:val="18"/>
                <w:szCs w:val="16"/>
                <w:lang w:val="es-ES_tradnl"/>
              </w:rPr>
            </w:pPr>
          </w:p>
        </w:tc>
        <w:tc>
          <w:tcPr>
            <w:tcW w:w="425" w:type="dxa"/>
            <w:shd w:val="clear" w:color="auto" w:fill="D6E3BC" w:themeFill="accent3" w:themeFillTint="66"/>
          </w:tcPr>
          <w:p w:rsidR="00473D04" w:rsidRPr="00A91E95" w:rsidRDefault="00473D04" w:rsidP="00202B28">
            <w:pPr>
              <w:rPr>
                <w:sz w:val="18"/>
                <w:szCs w:val="16"/>
                <w:lang w:val="es-ES_tradnl"/>
              </w:rPr>
            </w:pPr>
          </w:p>
        </w:tc>
        <w:tc>
          <w:tcPr>
            <w:tcW w:w="426" w:type="dxa"/>
            <w:shd w:val="clear" w:color="auto" w:fill="FFFFFF" w:themeFill="background1"/>
          </w:tcPr>
          <w:p w:rsidR="00473D04" w:rsidRPr="00A91E95" w:rsidRDefault="00473D04" w:rsidP="00202B28">
            <w:pPr>
              <w:rPr>
                <w:sz w:val="18"/>
                <w:szCs w:val="16"/>
                <w:lang w:val="es-ES_tradnl"/>
              </w:rPr>
            </w:pPr>
          </w:p>
        </w:tc>
        <w:tc>
          <w:tcPr>
            <w:tcW w:w="425" w:type="dxa"/>
            <w:shd w:val="clear" w:color="auto" w:fill="FFFFFF" w:themeFill="background1"/>
          </w:tcPr>
          <w:p w:rsidR="00473D04" w:rsidRPr="00A91E95" w:rsidRDefault="00473D04" w:rsidP="00202B28">
            <w:pPr>
              <w:rPr>
                <w:sz w:val="18"/>
                <w:szCs w:val="16"/>
                <w:lang w:val="es-ES_tradnl"/>
              </w:rPr>
            </w:pPr>
          </w:p>
        </w:tc>
        <w:tc>
          <w:tcPr>
            <w:tcW w:w="425" w:type="dxa"/>
            <w:shd w:val="clear" w:color="auto" w:fill="FFFFFF" w:themeFill="background1"/>
          </w:tcPr>
          <w:p w:rsidR="00473D04" w:rsidRPr="00A91E95" w:rsidRDefault="00473D04" w:rsidP="00202B28">
            <w:pPr>
              <w:rPr>
                <w:sz w:val="18"/>
                <w:szCs w:val="16"/>
                <w:lang w:val="es-ES_tradnl"/>
              </w:rPr>
            </w:pPr>
          </w:p>
        </w:tc>
        <w:tc>
          <w:tcPr>
            <w:tcW w:w="425" w:type="dxa"/>
            <w:shd w:val="clear" w:color="auto" w:fill="FFFFFF" w:themeFill="background1"/>
          </w:tcPr>
          <w:p w:rsidR="00473D04" w:rsidRPr="00A91E95" w:rsidRDefault="00473D04" w:rsidP="00202B28">
            <w:pPr>
              <w:rPr>
                <w:sz w:val="18"/>
                <w:szCs w:val="16"/>
                <w:lang w:val="es-ES_tradnl"/>
              </w:rPr>
            </w:pPr>
          </w:p>
        </w:tc>
        <w:tc>
          <w:tcPr>
            <w:tcW w:w="426" w:type="dxa"/>
            <w:shd w:val="clear" w:color="auto" w:fill="FFFFFF" w:themeFill="background1"/>
          </w:tcPr>
          <w:p w:rsidR="00473D04" w:rsidRPr="00A91E95" w:rsidRDefault="00473D04" w:rsidP="00202B28">
            <w:pPr>
              <w:rPr>
                <w:sz w:val="18"/>
                <w:szCs w:val="16"/>
                <w:lang w:val="es-ES_tradnl"/>
              </w:rPr>
            </w:pPr>
          </w:p>
        </w:tc>
        <w:tc>
          <w:tcPr>
            <w:tcW w:w="433" w:type="dxa"/>
            <w:shd w:val="clear" w:color="auto" w:fill="FFFFFF" w:themeFill="background1"/>
          </w:tcPr>
          <w:p w:rsidR="00473D04" w:rsidRPr="00A91E95" w:rsidRDefault="00473D04" w:rsidP="00202B28">
            <w:pPr>
              <w:rPr>
                <w:sz w:val="18"/>
                <w:szCs w:val="16"/>
                <w:lang w:val="es-ES_tradnl"/>
              </w:rPr>
            </w:pPr>
          </w:p>
        </w:tc>
        <w:tc>
          <w:tcPr>
            <w:tcW w:w="417" w:type="dxa"/>
            <w:shd w:val="clear" w:color="auto" w:fill="FFFFFF" w:themeFill="background1"/>
          </w:tcPr>
          <w:p w:rsidR="00473D04" w:rsidRPr="00A91E95" w:rsidRDefault="00473D04" w:rsidP="00202B28">
            <w:pPr>
              <w:rPr>
                <w:sz w:val="18"/>
                <w:szCs w:val="16"/>
                <w:lang w:val="es-ES_tradnl"/>
              </w:rPr>
            </w:pPr>
          </w:p>
        </w:tc>
      </w:tr>
      <w:tr w:rsidR="00473D04" w:rsidRPr="00A91E95" w:rsidTr="00202B28">
        <w:tc>
          <w:tcPr>
            <w:tcW w:w="3544" w:type="dxa"/>
          </w:tcPr>
          <w:p w:rsidR="00473D04" w:rsidRPr="00A91E95" w:rsidRDefault="00964E85" w:rsidP="00202B28">
            <w:pPr>
              <w:rPr>
                <w:sz w:val="18"/>
                <w:szCs w:val="16"/>
                <w:lang w:val="es-ES_tradnl"/>
              </w:rPr>
            </w:pPr>
            <w:r w:rsidRPr="00A91E95">
              <w:rPr>
                <w:sz w:val="18"/>
                <w:szCs w:val="16"/>
                <w:lang w:val="es-ES_tradnl"/>
              </w:rPr>
              <w:t>Sesión de información para los Estados miembros</w:t>
            </w:r>
          </w:p>
        </w:tc>
        <w:tc>
          <w:tcPr>
            <w:tcW w:w="425" w:type="dxa"/>
          </w:tcPr>
          <w:p w:rsidR="00473D04" w:rsidRPr="00A91E95" w:rsidRDefault="00473D04" w:rsidP="00202B28">
            <w:pPr>
              <w:rPr>
                <w:sz w:val="18"/>
                <w:szCs w:val="16"/>
                <w:lang w:val="es-ES_tradnl"/>
              </w:rPr>
            </w:pPr>
          </w:p>
        </w:tc>
        <w:tc>
          <w:tcPr>
            <w:tcW w:w="426"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shd w:val="clear" w:color="auto" w:fill="D6E3BC" w:themeFill="accent3" w:themeFillTint="66"/>
          </w:tcPr>
          <w:p w:rsidR="00473D04" w:rsidRPr="00A91E95" w:rsidRDefault="00473D04" w:rsidP="00202B28">
            <w:pPr>
              <w:rPr>
                <w:sz w:val="18"/>
                <w:szCs w:val="16"/>
                <w:lang w:val="es-ES_tradnl"/>
              </w:rPr>
            </w:pPr>
          </w:p>
        </w:tc>
        <w:tc>
          <w:tcPr>
            <w:tcW w:w="426" w:type="dxa"/>
            <w:shd w:val="clear" w:color="auto" w:fill="FFFFFF" w:themeFill="background1"/>
          </w:tcPr>
          <w:p w:rsidR="00473D04" w:rsidRPr="00A91E95" w:rsidRDefault="00473D04" w:rsidP="00202B28">
            <w:pPr>
              <w:rPr>
                <w:sz w:val="18"/>
                <w:szCs w:val="16"/>
                <w:lang w:val="es-ES_tradnl"/>
              </w:rPr>
            </w:pPr>
          </w:p>
        </w:tc>
        <w:tc>
          <w:tcPr>
            <w:tcW w:w="425" w:type="dxa"/>
            <w:shd w:val="clear" w:color="auto" w:fill="FFFFFF" w:themeFill="background1"/>
          </w:tcPr>
          <w:p w:rsidR="00473D04" w:rsidRPr="00A91E95" w:rsidRDefault="00473D04" w:rsidP="00202B28">
            <w:pPr>
              <w:rPr>
                <w:sz w:val="18"/>
                <w:szCs w:val="16"/>
                <w:lang w:val="es-ES_tradnl"/>
              </w:rPr>
            </w:pPr>
          </w:p>
        </w:tc>
        <w:tc>
          <w:tcPr>
            <w:tcW w:w="425" w:type="dxa"/>
            <w:shd w:val="clear" w:color="auto" w:fill="FFFFFF" w:themeFill="background1"/>
          </w:tcPr>
          <w:p w:rsidR="00473D04" w:rsidRPr="00A91E95" w:rsidRDefault="00473D04" w:rsidP="00202B28">
            <w:pPr>
              <w:rPr>
                <w:sz w:val="18"/>
                <w:szCs w:val="16"/>
                <w:lang w:val="es-ES_tradnl"/>
              </w:rPr>
            </w:pPr>
          </w:p>
        </w:tc>
        <w:tc>
          <w:tcPr>
            <w:tcW w:w="425" w:type="dxa"/>
            <w:shd w:val="clear" w:color="auto" w:fill="FFFFFF" w:themeFill="background1"/>
          </w:tcPr>
          <w:p w:rsidR="00473D04" w:rsidRPr="00A91E95" w:rsidRDefault="00473D04" w:rsidP="00202B28">
            <w:pPr>
              <w:rPr>
                <w:sz w:val="18"/>
                <w:szCs w:val="16"/>
                <w:lang w:val="es-ES_tradnl"/>
              </w:rPr>
            </w:pPr>
          </w:p>
        </w:tc>
        <w:tc>
          <w:tcPr>
            <w:tcW w:w="426" w:type="dxa"/>
            <w:shd w:val="clear" w:color="auto" w:fill="FFFFFF" w:themeFill="background1"/>
          </w:tcPr>
          <w:p w:rsidR="00473D04" w:rsidRPr="00A91E95" w:rsidRDefault="00473D04" w:rsidP="00202B28">
            <w:pPr>
              <w:rPr>
                <w:sz w:val="18"/>
                <w:szCs w:val="16"/>
                <w:lang w:val="es-ES_tradnl"/>
              </w:rPr>
            </w:pPr>
          </w:p>
        </w:tc>
        <w:tc>
          <w:tcPr>
            <w:tcW w:w="433" w:type="dxa"/>
            <w:shd w:val="clear" w:color="auto" w:fill="FFFFFF" w:themeFill="background1"/>
          </w:tcPr>
          <w:p w:rsidR="00473D04" w:rsidRPr="00A91E95" w:rsidRDefault="00473D04" w:rsidP="00202B28">
            <w:pPr>
              <w:rPr>
                <w:sz w:val="18"/>
                <w:szCs w:val="16"/>
                <w:lang w:val="es-ES_tradnl"/>
              </w:rPr>
            </w:pPr>
          </w:p>
        </w:tc>
        <w:tc>
          <w:tcPr>
            <w:tcW w:w="417" w:type="dxa"/>
            <w:shd w:val="clear" w:color="auto" w:fill="FFFFFF" w:themeFill="background1"/>
          </w:tcPr>
          <w:p w:rsidR="00473D04" w:rsidRPr="00A91E95" w:rsidRDefault="00473D04" w:rsidP="00202B28">
            <w:pPr>
              <w:rPr>
                <w:sz w:val="18"/>
                <w:szCs w:val="16"/>
                <w:lang w:val="es-ES_tradnl"/>
              </w:rPr>
            </w:pPr>
          </w:p>
        </w:tc>
      </w:tr>
      <w:tr w:rsidR="00473D04" w:rsidRPr="00A91E95" w:rsidTr="00202B28">
        <w:tc>
          <w:tcPr>
            <w:tcW w:w="3544" w:type="dxa"/>
          </w:tcPr>
          <w:p w:rsidR="00473D04" w:rsidRPr="00A91E95" w:rsidRDefault="00964E85" w:rsidP="00202B28">
            <w:pPr>
              <w:rPr>
                <w:sz w:val="18"/>
                <w:szCs w:val="16"/>
                <w:lang w:val="es-ES_tradnl"/>
              </w:rPr>
            </w:pPr>
            <w:r w:rsidRPr="00A91E95">
              <w:rPr>
                <w:sz w:val="18"/>
                <w:szCs w:val="16"/>
                <w:lang w:val="es-ES_tradnl"/>
              </w:rPr>
              <w:t>Presentación del primer proyecto de informe</w:t>
            </w:r>
          </w:p>
        </w:tc>
        <w:tc>
          <w:tcPr>
            <w:tcW w:w="425" w:type="dxa"/>
          </w:tcPr>
          <w:p w:rsidR="00473D04" w:rsidRPr="00A91E95" w:rsidRDefault="00473D04" w:rsidP="00202B28">
            <w:pPr>
              <w:rPr>
                <w:sz w:val="18"/>
                <w:szCs w:val="16"/>
                <w:lang w:val="es-ES_tradnl"/>
              </w:rPr>
            </w:pPr>
          </w:p>
        </w:tc>
        <w:tc>
          <w:tcPr>
            <w:tcW w:w="426"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6" w:type="dxa"/>
            <w:shd w:val="clear" w:color="auto" w:fill="D6E3BC" w:themeFill="accent3" w:themeFillTint="66"/>
          </w:tcPr>
          <w:p w:rsidR="00473D04" w:rsidRPr="00A91E95" w:rsidRDefault="00473D04" w:rsidP="00202B28">
            <w:pPr>
              <w:rPr>
                <w:sz w:val="18"/>
                <w:szCs w:val="16"/>
                <w:lang w:val="es-ES_tradnl"/>
              </w:rPr>
            </w:pPr>
          </w:p>
        </w:tc>
        <w:tc>
          <w:tcPr>
            <w:tcW w:w="425" w:type="dxa"/>
            <w:shd w:val="clear" w:color="auto" w:fill="D6E3BC" w:themeFill="accent3" w:themeFillTint="66"/>
          </w:tcPr>
          <w:p w:rsidR="00473D04" w:rsidRPr="00A91E95" w:rsidRDefault="00473D04" w:rsidP="00202B28">
            <w:pPr>
              <w:rPr>
                <w:sz w:val="18"/>
                <w:szCs w:val="16"/>
                <w:lang w:val="es-ES_tradnl"/>
              </w:rPr>
            </w:pPr>
          </w:p>
        </w:tc>
        <w:tc>
          <w:tcPr>
            <w:tcW w:w="425" w:type="dxa"/>
            <w:shd w:val="clear" w:color="auto" w:fill="FFFFFF" w:themeFill="background1"/>
          </w:tcPr>
          <w:p w:rsidR="00473D04" w:rsidRPr="00A91E95" w:rsidRDefault="00473D04" w:rsidP="00202B28">
            <w:pPr>
              <w:rPr>
                <w:sz w:val="18"/>
                <w:szCs w:val="16"/>
                <w:lang w:val="es-ES_tradnl"/>
              </w:rPr>
            </w:pPr>
          </w:p>
        </w:tc>
        <w:tc>
          <w:tcPr>
            <w:tcW w:w="425" w:type="dxa"/>
            <w:shd w:val="clear" w:color="auto" w:fill="FFFFFF" w:themeFill="background1"/>
          </w:tcPr>
          <w:p w:rsidR="00473D04" w:rsidRPr="00A91E95" w:rsidRDefault="00473D04" w:rsidP="00202B28">
            <w:pPr>
              <w:rPr>
                <w:sz w:val="18"/>
                <w:szCs w:val="16"/>
                <w:lang w:val="es-ES_tradnl"/>
              </w:rPr>
            </w:pPr>
          </w:p>
        </w:tc>
        <w:tc>
          <w:tcPr>
            <w:tcW w:w="426" w:type="dxa"/>
            <w:shd w:val="clear" w:color="auto" w:fill="FFFFFF" w:themeFill="background1"/>
          </w:tcPr>
          <w:p w:rsidR="00473D04" w:rsidRPr="00A91E95" w:rsidRDefault="00473D04" w:rsidP="00202B28">
            <w:pPr>
              <w:rPr>
                <w:sz w:val="18"/>
                <w:szCs w:val="16"/>
                <w:lang w:val="es-ES_tradnl"/>
              </w:rPr>
            </w:pPr>
          </w:p>
        </w:tc>
        <w:tc>
          <w:tcPr>
            <w:tcW w:w="433" w:type="dxa"/>
            <w:shd w:val="clear" w:color="auto" w:fill="FFFFFF" w:themeFill="background1"/>
          </w:tcPr>
          <w:p w:rsidR="00473D04" w:rsidRPr="00A91E95" w:rsidRDefault="00473D04" w:rsidP="00202B28">
            <w:pPr>
              <w:rPr>
                <w:sz w:val="18"/>
                <w:szCs w:val="16"/>
                <w:lang w:val="es-ES_tradnl"/>
              </w:rPr>
            </w:pPr>
          </w:p>
        </w:tc>
        <w:tc>
          <w:tcPr>
            <w:tcW w:w="417" w:type="dxa"/>
            <w:shd w:val="clear" w:color="auto" w:fill="FFFFFF" w:themeFill="background1"/>
          </w:tcPr>
          <w:p w:rsidR="00473D04" w:rsidRPr="00A91E95" w:rsidRDefault="00473D04" w:rsidP="00202B28">
            <w:pPr>
              <w:rPr>
                <w:sz w:val="18"/>
                <w:szCs w:val="16"/>
                <w:lang w:val="es-ES_tradnl"/>
              </w:rPr>
            </w:pPr>
          </w:p>
        </w:tc>
      </w:tr>
      <w:tr w:rsidR="00473D04" w:rsidRPr="00A91E95" w:rsidTr="00202B28">
        <w:tc>
          <w:tcPr>
            <w:tcW w:w="3544" w:type="dxa"/>
          </w:tcPr>
          <w:p w:rsidR="00473D04" w:rsidRPr="00A91E95" w:rsidRDefault="00964E85" w:rsidP="00202B28">
            <w:pPr>
              <w:rPr>
                <w:sz w:val="18"/>
                <w:szCs w:val="16"/>
                <w:lang w:val="es-ES_tradnl"/>
              </w:rPr>
            </w:pPr>
            <w:r w:rsidRPr="00A91E95">
              <w:rPr>
                <w:sz w:val="18"/>
                <w:szCs w:val="16"/>
                <w:lang w:val="es-ES_tradnl"/>
              </w:rPr>
              <w:t>Segunda sesión de información para los Estados miembros</w:t>
            </w:r>
          </w:p>
        </w:tc>
        <w:tc>
          <w:tcPr>
            <w:tcW w:w="425" w:type="dxa"/>
          </w:tcPr>
          <w:p w:rsidR="00473D04" w:rsidRPr="00A91E95" w:rsidRDefault="00473D04" w:rsidP="00202B28">
            <w:pPr>
              <w:rPr>
                <w:sz w:val="18"/>
                <w:szCs w:val="16"/>
                <w:lang w:val="es-ES_tradnl"/>
              </w:rPr>
            </w:pPr>
          </w:p>
        </w:tc>
        <w:tc>
          <w:tcPr>
            <w:tcW w:w="426"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6" w:type="dxa"/>
            <w:shd w:val="clear" w:color="auto" w:fill="FFFFFF" w:themeFill="background1"/>
          </w:tcPr>
          <w:p w:rsidR="00473D04" w:rsidRPr="00A91E95" w:rsidRDefault="00473D04" w:rsidP="00202B28">
            <w:pPr>
              <w:rPr>
                <w:sz w:val="18"/>
                <w:szCs w:val="16"/>
                <w:lang w:val="es-ES_tradnl"/>
              </w:rPr>
            </w:pPr>
          </w:p>
        </w:tc>
        <w:tc>
          <w:tcPr>
            <w:tcW w:w="425" w:type="dxa"/>
            <w:shd w:val="clear" w:color="auto" w:fill="D6E3BC" w:themeFill="accent3" w:themeFillTint="66"/>
          </w:tcPr>
          <w:p w:rsidR="00473D04" w:rsidRPr="00A91E95" w:rsidRDefault="00473D04" w:rsidP="00202B28">
            <w:pPr>
              <w:rPr>
                <w:sz w:val="18"/>
                <w:szCs w:val="16"/>
                <w:lang w:val="es-ES_tradnl"/>
              </w:rPr>
            </w:pPr>
          </w:p>
        </w:tc>
        <w:tc>
          <w:tcPr>
            <w:tcW w:w="425" w:type="dxa"/>
            <w:shd w:val="clear" w:color="auto" w:fill="FFFFFF" w:themeFill="background1"/>
          </w:tcPr>
          <w:p w:rsidR="00473D04" w:rsidRPr="00A91E95" w:rsidRDefault="00473D04" w:rsidP="00202B28">
            <w:pPr>
              <w:rPr>
                <w:sz w:val="18"/>
                <w:szCs w:val="16"/>
                <w:lang w:val="es-ES_tradnl"/>
              </w:rPr>
            </w:pPr>
          </w:p>
        </w:tc>
        <w:tc>
          <w:tcPr>
            <w:tcW w:w="425" w:type="dxa"/>
            <w:shd w:val="clear" w:color="auto" w:fill="FFFFFF" w:themeFill="background1"/>
          </w:tcPr>
          <w:p w:rsidR="00473D04" w:rsidRPr="00A91E95" w:rsidRDefault="00473D04" w:rsidP="00202B28">
            <w:pPr>
              <w:rPr>
                <w:sz w:val="18"/>
                <w:szCs w:val="16"/>
                <w:lang w:val="es-ES_tradnl"/>
              </w:rPr>
            </w:pPr>
          </w:p>
        </w:tc>
        <w:tc>
          <w:tcPr>
            <w:tcW w:w="426" w:type="dxa"/>
            <w:shd w:val="clear" w:color="auto" w:fill="FFFFFF" w:themeFill="background1"/>
          </w:tcPr>
          <w:p w:rsidR="00473D04" w:rsidRPr="00A91E95" w:rsidRDefault="00473D04" w:rsidP="00202B28">
            <w:pPr>
              <w:rPr>
                <w:sz w:val="18"/>
                <w:szCs w:val="16"/>
                <w:lang w:val="es-ES_tradnl"/>
              </w:rPr>
            </w:pPr>
          </w:p>
        </w:tc>
        <w:tc>
          <w:tcPr>
            <w:tcW w:w="433" w:type="dxa"/>
            <w:shd w:val="clear" w:color="auto" w:fill="FFFFFF" w:themeFill="background1"/>
          </w:tcPr>
          <w:p w:rsidR="00473D04" w:rsidRPr="00A91E95" w:rsidRDefault="00473D04" w:rsidP="00202B28">
            <w:pPr>
              <w:rPr>
                <w:sz w:val="18"/>
                <w:szCs w:val="16"/>
                <w:lang w:val="es-ES_tradnl"/>
              </w:rPr>
            </w:pPr>
          </w:p>
        </w:tc>
        <w:tc>
          <w:tcPr>
            <w:tcW w:w="417" w:type="dxa"/>
            <w:shd w:val="clear" w:color="auto" w:fill="FFFFFF" w:themeFill="background1"/>
          </w:tcPr>
          <w:p w:rsidR="00473D04" w:rsidRPr="00A91E95" w:rsidRDefault="00473D04" w:rsidP="00202B28">
            <w:pPr>
              <w:rPr>
                <w:sz w:val="18"/>
                <w:szCs w:val="16"/>
                <w:lang w:val="es-ES_tradnl"/>
              </w:rPr>
            </w:pPr>
          </w:p>
        </w:tc>
      </w:tr>
      <w:tr w:rsidR="00473D04" w:rsidRPr="00A91E95" w:rsidTr="00202B28">
        <w:tc>
          <w:tcPr>
            <w:tcW w:w="3544" w:type="dxa"/>
          </w:tcPr>
          <w:p w:rsidR="00473D04" w:rsidRPr="00A91E95" w:rsidRDefault="00964E85" w:rsidP="00202B28">
            <w:pPr>
              <w:rPr>
                <w:sz w:val="18"/>
                <w:szCs w:val="16"/>
                <w:lang w:val="es-ES_tradnl"/>
              </w:rPr>
            </w:pPr>
            <w:r w:rsidRPr="00A91E95">
              <w:rPr>
                <w:sz w:val="18"/>
                <w:szCs w:val="16"/>
                <w:lang w:val="es-ES_tradnl"/>
              </w:rPr>
              <w:t>Presentación del informe final</w:t>
            </w:r>
          </w:p>
        </w:tc>
        <w:tc>
          <w:tcPr>
            <w:tcW w:w="425" w:type="dxa"/>
          </w:tcPr>
          <w:p w:rsidR="00473D04" w:rsidRPr="00A91E95" w:rsidRDefault="00473D04" w:rsidP="00202B28">
            <w:pPr>
              <w:rPr>
                <w:sz w:val="18"/>
                <w:szCs w:val="16"/>
                <w:lang w:val="es-ES_tradnl"/>
              </w:rPr>
            </w:pPr>
          </w:p>
        </w:tc>
        <w:tc>
          <w:tcPr>
            <w:tcW w:w="426"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6"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shd w:val="clear" w:color="auto" w:fill="D6E3BC" w:themeFill="accent3" w:themeFillTint="66"/>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6" w:type="dxa"/>
            <w:shd w:val="clear" w:color="auto" w:fill="FFFFFF" w:themeFill="background1"/>
          </w:tcPr>
          <w:p w:rsidR="00473D04" w:rsidRPr="00A91E95" w:rsidRDefault="00473D04" w:rsidP="00202B28">
            <w:pPr>
              <w:rPr>
                <w:sz w:val="18"/>
                <w:szCs w:val="16"/>
                <w:lang w:val="es-ES_tradnl"/>
              </w:rPr>
            </w:pPr>
          </w:p>
        </w:tc>
        <w:tc>
          <w:tcPr>
            <w:tcW w:w="433" w:type="dxa"/>
            <w:shd w:val="clear" w:color="auto" w:fill="FFFFFF" w:themeFill="background1"/>
          </w:tcPr>
          <w:p w:rsidR="00473D04" w:rsidRPr="00A91E95" w:rsidRDefault="00473D04" w:rsidP="00202B28">
            <w:pPr>
              <w:rPr>
                <w:sz w:val="18"/>
                <w:szCs w:val="16"/>
                <w:lang w:val="es-ES_tradnl"/>
              </w:rPr>
            </w:pPr>
          </w:p>
        </w:tc>
        <w:tc>
          <w:tcPr>
            <w:tcW w:w="417" w:type="dxa"/>
          </w:tcPr>
          <w:p w:rsidR="00473D04" w:rsidRPr="00A91E95" w:rsidRDefault="00473D04" w:rsidP="00202B28">
            <w:pPr>
              <w:rPr>
                <w:sz w:val="18"/>
                <w:szCs w:val="16"/>
                <w:lang w:val="es-ES_tradnl"/>
              </w:rPr>
            </w:pPr>
          </w:p>
        </w:tc>
      </w:tr>
      <w:tr w:rsidR="00473D04" w:rsidRPr="00A91E95" w:rsidTr="00202B28">
        <w:tc>
          <w:tcPr>
            <w:tcW w:w="3544" w:type="dxa"/>
          </w:tcPr>
          <w:p w:rsidR="00473D04" w:rsidRPr="00A91E95" w:rsidRDefault="00964E85" w:rsidP="00202B28">
            <w:pPr>
              <w:rPr>
                <w:sz w:val="18"/>
                <w:szCs w:val="16"/>
                <w:lang w:val="es-ES_tradnl"/>
              </w:rPr>
            </w:pPr>
            <w:r w:rsidRPr="00A91E95">
              <w:rPr>
                <w:sz w:val="18"/>
                <w:szCs w:val="16"/>
                <w:lang w:val="es-ES_tradnl"/>
              </w:rPr>
              <w:t>Traducción y publicación</w:t>
            </w:r>
          </w:p>
        </w:tc>
        <w:tc>
          <w:tcPr>
            <w:tcW w:w="425" w:type="dxa"/>
          </w:tcPr>
          <w:p w:rsidR="00473D04" w:rsidRPr="00A91E95" w:rsidRDefault="00473D04" w:rsidP="00202B28">
            <w:pPr>
              <w:rPr>
                <w:sz w:val="18"/>
                <w:szCs w:val="16"/>
                <w:lang w:val="es-ES_tradnl"/>
              </w:rPr>
            </w:pPr>
          </w:p>
        </w:tc>
        <w:tc>
          <w:tcPr>
            <w:tcW w:w="426"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6"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shd w:val="clear" w:color="auto" w:fill="D6E3BC" w:themeFill="accent3" w:themeFillTint="66"/>
          </w:tcPr>
          <w:p w:rsidR="00473D04" w:rsidRPr="00A91E95" w:rsidRDefault="00473D04" w:rsidP="00202B28">
            <w:pPr>
              <w:rPr>
                <w:sz w:val="18"/>
                <w:szCs w:val="16"/>
                <w:lang w:val="es-ES_tradnl"/>
              </w:rPr>
            </w:pPr>
          </w:p>
        </w:tc>
        <w:tc>
          <w:tcPr>
            <w:tcW w:w="426" w:type="dxa"/>
          </w:tcPr>
          <w:p w:rsidR="00473D04" w:rsidRPr="00A91E95" w:rsidRDefault="00473D04" w:rsidP="00202B28">
            <w:pPr>
              <w:rPr>
                <w:sz w:val="18"/>
                <w:szCs w:val="16"/>
                <w:lang w:val="es-ES_tradnl"/>
              </w:rPr>
            </w:pPr>
          </w:p>
        </w:tc>
        <w:tc>
          <w:tcPr>
            <w:tcW w:w="433" w:type="dxa"/>
          </w:tcPr>
          <w:p w:rsidR="00473D04" w:rsidRPr="00A91E95" w:rsidRDefault="00473D04" w:rsidP="00202B28">
            <w:pPr>
              <w:rPr>
                <w:sz w:val="18"/>
                <w:szCs w:val="16"/>
                <w:lang w:val="es-ES_tradnl"/>
              </w:rPr>
            </w:pPr>
          </w:p>
        </w:tc>
        <w:tc>
          <w:tcPr>
            <w:tcW w:w="417" w:type="dxa"/>
          </w:tcPr>
          <w:p w:rsidR="00473D04" w:rsidRPr="00A91E95" w:rsidRDefault="00473D04" w:rsidP="00202B28">
            <w:pPr>
              <w:rPr>
                <w:sz w:val="18"/>
                <w:szCs w:val="16"/>
                <w:lang w:val="es-ES_tradnl"/>
              </w:rPr>
            </w:pPr>
          </w:p>
        </w:tc>
      </w:tr>
      <w:tr w:rsidR="00473D04" w:rsidRPr="00A91E95" w:rsidTr="00202B28">
        <w:tc>
          <w:tcPr>
            <w:tcW w:w="3544" w:type="dxa"/>
          </w:tcPr>
          <w:p w:rsidR="00473D04" w:rsidRPr="00A91E95" w:rsidRDefault="00964E85" w:rsidP="00202B28">
            <w:pPr>
              <w:rPr>
                <w:sz w:val="18"/>
                <w:szCs w:val="16"/>
                <w:lang w:val="es-ES_tradnl"/>
              </w:rPr>
            </w:pPr>
            <w:r w:rsidRPr="00A91E95">
              <w:rPr>
                <w:sz w:val="18"/>
                <w:szCs w:val="16"/>
                <w:lang w:val="es-ES_tradnl"/>
              </w:rPr>
              <w:t>Presentación al CDIP</w:t>
            </w:r>
          </w:p>
        </w:tc>
        <w:tc>
          <w:tcPr>
            <w:tcW w:w="425" w:type="dxa"/>
          </w:tcPr>
          <w:p w:rsidR="00473D04" w:rsidRPr="00A91E95" w:rsidRDefault="00473D04" w:rsidP="00202B28">
            <w:pPr>
              <w:rPr>
                <w:sz w:val="18"/>
                <w:szCs w:val="16"/>
                <w:lang w:val="es-ES_tradnl"/>
              </w:rPr>
            </w:pPr>
          </w:p>
        </w:tc>
        <w:tc>
          <w:tcPr>
            <w:tcW w:w="426"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6"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5" w:type="dxa"/>
          </w:tcPr>
          <w:p w:rsidR="00473D04" w:rsidRPr="00A91E95" w:rsidRDefault="00473D04" w:rsidP="00202B28">
            <w:pPr>
              <w:rPr>
                <w:sz w:val="18"/>
                <w:szCs w:val="16"/>
                <w:lang w:val="es-ES_tradnl"/>
              </w:rPr>
            </w:pPr>
          </w:p>
        </w:tc>
        <w:tc>
          <w:tcPr>
            <w:tcW w:w="426" w:type="dxa"/>
            <w:shd w:val="clear" w:color="auto" w:fill="D6E3BC" w:themeFill="accent3" w:themeFillTint="66"/>
          </w:tcPr>
          <w:p w:rsidR="00473D04" w:rsidRPr="00A91E95" w:rsidRDefault="00473D04" w:rsidP="00202B28">
            <w:pPr>
              <w:rPr>
                <w:sz w:val="18"/>
                <w:szCs w:val="16"/>
                <w:lang w:val="es-ES_tradnl"/>
              </w:rPr>
            </w:pPr>
          </w:p>
        </w:tc>
        <w:tc>
          <w:tcPr>
            <w:tcW w:w="433" w:type="dxa"/>
            <w:shd w:val="clear" w:color="auto" w:fill="D6E3BC" w:themeFill="accent3" w:themeFillTint="66"/>
          </w:tcPr>
          <w:p w:rsidR="00473D04" w:rsidRPr="00A91E95" w:rsidRDefault="00473D04" w:rsidP="00202B28">
            <w:pPr>
              <w:rPr>
                <w:sz w:val="18"/>
                <w:szCs w:val="16"/>
                <w:lang w:val="es-ES_tradnl"/>
              </w:rPr>
            </w:pPr>
          </w:p>
        </w:tc>
        <w:tc>
          <w:tcPr>
            <w:tcW w:w="417" w:type="dxa"/>
          </w:tcPr>
          <w:p w:rsidR="00473D04" w:rsidRPr="00A91E95" w:rsidRDefault="00473D04" w:rsidP="00202B28">
            <w:pPr>
              <w:rPr>
                <w:sz w:val="18"/>
                <w:szCs w:val="16"/>
                <w:lang w:val="es-ES_tradnl"/>
              </w:rPr>
            </w:pPr>
          </w:p>
        </w:tc>
      </w:tr>
    </w:tbl>
    <w:p w:rsidR="00152CEA" w:rsidRPr="00A91E95" w:rsidRDefault="00473D04" w:rsidP="00473D04">
      <w:pPr>
        <w:pStyle w:val="Endofdocument-Annex"/>
        <w:spacing w:before="720"/>
        <w:ind w:left="5530"/>
        <w:rPr>
          <w:lang w:val="es-ES_tradnl"/>
        </w:rPr>
      </w:pPr>
      <w:r w:rsidRPr="00A91E95">
        <w:rPr>
          <w:lang w:val="es-ES_tradnl"/>
        </w:rPr>
        <w:t>[</w:t>
      </w:r>
      <w:r w:rsidR="005752D9" w:rsidRPr="00A91E95">
        <w:rPr>
          <w:rFonts w:eastAsia="Arial"/>
          <w:szCs w:val="22"/>
          <w:lang w:val="es-ES_tradnl"/>
        </w:rPr>
        <w:t>Fin del Anexo y del documento</w:t>
      </w:r>
      <w:r w:rsidRPr="00A91E95">
        <w:rPr>
          <w:lang w:val="es-ES_tradnl"/>
        </w:rPr>
        <w:t>]</w:t>
      </w:r>
    </w:p>
    <w:sectPr w:rsidR="00152CEA" w:rsidRPr="00A91E95" w:rsidSect="00473D04">
      <w:headerReference w:type="default" r:id="rId25"/>
      <w:headerReference w:type="first" r:id="rId2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A7" w:rsidRDefault="00043CA7">
      <w:r>
        <w:separator/>
      </w:r>
    </w:p>
  </w:endnote>
  <w:endnote w:type="continuationSeparator" w:id="0">
    <w:p w:rsidR="00043CA7" w:rsidRPr="009D30E6" w:rsidRDefault="00043CA7" w:rsidP="007E663E">
      <w:pPr>
        <w:rPr>
          <w:sz w:val="17"/>
          <w:szCs w:val="17"/>
        </w:rPr>
      </w:pPr>
      <w:r w:rsidRPr="009D30E6">
        <w:rPr>
          <w:sz w:val="17"/>
          <w:szCs w:val="17"/>
        </w:rPr>
        <w:separator/>
      </w:r>
    </w:p>
    <w:p w:rsidR="00043CA7" w:rsidRPr="007E663E" w:rsidRDefault="00043CA7" w:rsidP="007E663E">
      <w:pPr>
        <w:spacing w:after="60"/>
        <w:rPr>
          <w:sz w:val="17"/>
          <w:szCs w:val="17"/>
        </w:rPr>
      </w:pPr>
      <w:r>
        <w:rPr>
          <w:sz w:val="17"/>
        </w:rPr>
        <w:t>[Continuación de la nota de la página anterior]</w:t>
      </w:r>
    </w:p>
  </w:endnote>
  <w:endnote w:type="continuationNotice" w:id="1">
    <w:p w:rsidR="00043CA7" w:rsidRPr="007E663E" w:rsidRDefault="00043CA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D04" w:rsidRPr="00DD6CB3" w:rsidRDefault="00473D04" w:rsidP="005479AD">
    <w:pPr>
      <w:pStyle w:val="Footer"/>
      <w:framePr w:wrap="around" w:vAnchor="text" w:hAnchor="margin" w:xAlign="center" w:y="1"/>
      <w:rPr>
        <w:rStyle w:val="PageNumber"/>
      </w:rPr>
    </w:pPr>
  </w:p>
  <w:p w:rsidR="00473D04" w:rsidRDefault="00473D04" w:rsidP="00547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95" w:rsidRPr="00A91E95" w:rsidRDefault="00A91E95" w:rsidP="00A91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95" w:rsidRPr="00A91E95" w:rsidRDefault="00A91E95" w:rsidP="00A9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A7" w:rsidRDefault="00043CA7">
      <w:r>
        <w:separator/>
      </w:r>
    </w:p>
  </w:footnote>
  <w:footnote w:type="continuationSeparator" w:id="0">
    <w:p w:rsidR="00043CA7" w:rsidRPr="009D30E6" w:rsidRDefault="00043CA7" w:rsidP="007E663E">
      <w:pPr>
        <w:rPr>
          <w:sz w:val="17"/>
          <w:szCs w:val="17"/>
        </w:rPr>
      </w:pPr>
      <w:r w:rsidRPr="009D30E6">
        <w:rPr>
          <w:sz w:val="17"/>
          <w:szCs w:val="17"/>
        </w:rPr>
        <w:separator/>
      </w:r>
    </w:p>
    <w:p w:rsidR="00043CA7" w:rsidRPr="007E663E" w:rsidRDefault="00043CA7" w:rsidP="007E663E">
      <w:pPr>
        <w:spacing w:after="60"/>
        <w:rPr>
          <w:sz w:val="17"/>
          <w:szCs w:val="17"/>
        </w:rPr>
      </w:pPr>
      <w:r>
        <w:rPr>
          <w:sz w:val="17"/>
        </w:rPr>
        <w:t>[Continuación de la nota de la página anterior]</w:t>
      </w:r>
    </w:p>
  </w:footnote>
  <w:footnote w:type="continuationNotice" w:id="1">
    <w:p w:rsidR="00043CA7" w:rsidRPr="007E663E" w:rsidRDefault="00043CA7" w:rsidP="007E663E">
      <w:pPr>
        <w:spacing w:before="60"/>
        <w:jc w:val="right"/>
        <w:rPr>
          <w:sz w:val="17"/>
          <w:szCs w:val="17"/>
        </w:rPr>
      </w:pPr>
      <w:r w:rsidRPr="007E663E">
        <w:rPr>
          <w:sz w:val="17"/>
          <w:szCs w:val="17"/>
        </w:rPr>
        <w:t>[Sigue la nota en la página siguiente]</w:t>
      </w:r>
    </w:p>
  </w:footnote>
  <w:footnote w:id="2">
    <w:p w:rsidR="00473D04" w:rsidRPr="007142E7" w:rsidRDefault="00473D04" w:rsidP="00473D04">
      <w:pPr>
        <w:pStyle w:val="FootnoteText"/>
      </w:pPr>
      <w:r>
        <w:rPr>
          <w:rStyle w:val="FootnoteReference"/>
        </w:rPr>
        <w:footnoteRef/>
      </w:r>
      <w:r w:rsidRPr="007142E7">
        <w:t xml:space="preserve"> </w:t>
      </w:r>
      <w:r w:rsidR="007142E7">
        <w:rPr>
          <w:rFonts w:eastAsia="Arial"/>
          <w:szCs w:val="18"/>
        </w:rPr>
        <w:t>Recomendación 41 de la Agenda para el Desarrollo: Emprender una revisión de las actividades de asistencia técnica en curso en la OMPI en la esfera de la cooperación y el desarrollo</w:t>
      </w:r>
      <w:r w:rsidRPr="007142E7">
        <w:t>.</w:t>
      </w:r>
    </w:p>
  </w:footnote>
  <w:footnote w:id="3">
    <w:p w:rsidR="00473D04" w:rsidRPr="005C6989" w:rsidRDefault="00473D04" w:rsidP="00473D04">
      <w:pPr>
        <w:pStyle w:val="FootnoteText"/>
      </w:pPr>
      <w:r>
        <w:rPr>
          <w:rStyle w:val="FootnoteReference"/>
        </w:rPr>
        <w:footnoteRef/>
      </w:r>
      <w:r w:rsidRPr="005C6989">
        <w:t xml:space="preserve"> </w:t>
      </w:r>
      <w:r w:rsidR="005C6989" w:rsidRPr="005C6989">
        <w:t xml:space="preserve">La propuesta española se adjunta al Apéndice I del Resumen de la </w:t>
      </w:r>
      <w:r w:rsidR="0068123A">
        <w:t>decimoséptima</w:t>
      </w:r>
      <w:r w:rsidR="005C6989" w:rsidRPr="005C6989">
        <w:t xml:space="preserve"> sesión del CDIP, disponible en</w:t>
      </w:r>
      <w:r w:rsidRPr="005C6989">
        <w:t xml:space="preserve">: </w:t>
      </w:r>
      <w:hyperlink r:id="rId1" w:history="1">
        <w:r w:rsidR="005C6989" w:rsidRPr="005C6989">
          <w:rPr>
            <w:rStyle w:val="Hyperlink"/>
          </w:rPr>
          <w:t>https://www.wipo.int/meetings/es/doc_details.jsp?doc_id=335277</w:t>
        </w:r>
      </w:hyperlink>
    </w:p>
  </w:footnote>
  <w:footnote w:id="4">
    <w:p w:rsidR="00473D04" w:rsidRPr="00B54243" w:rsidRDefault="00473D04" w:rsidP="00473D04">
      <w:pPr>
        <w:pStyle w:val="FootnoteText"/>
      </w:pPr>
      <w:r w:rsidRPr="003A3558">
        <w:rPr>
          <w:rStyle w:val="FootnoteReference"/>
        </w:rPr>
        <w:footnoteRef/>
      </w:r>
      <w:r w:rsidRPr="00B54243">
        <w:t xml:space="preserve"> </w:t>
      </w:r>
      <w:r w:rsidR="00B54243" w:rsidRPr="00B54243">
        <w:t>Recomendación 1: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D04" w:rsidRDefault="00473D04" w:rsidP="005479AD">
    <w:pPr>
      <w:pStyle w:val="Header"/>
      <w:jc w:val="right"/>
    </w:pPr>
    <w:r>
      <w:t>CDIP/30/3</w:t>
    </w:r>
  </w:p>
  <w:p w:rsidR="00473D04" w:rsidRDefault="00473D04" w:rsidP="005479AD">
    <w:pPr>
      <w:pStyle w:val="Header"/>
      <w:jc w:val="right"/>
    </w:pPr>
    <w:r>
      <w:tab/>
      <w:t>ANNEX</w:t>
    </w:r>
  </w:p>
  <w:p w:rsidR="00473D04" w:rsidRDefault="00473D04" w:rsidP="005479AD">
    <w:pPr>
      <w:pStyle w:val="Header"/>
      <w:jc w:val="right"/>
    </w:pPr>
    <w:r>
      <w:t xml:space="preserve"> </w:t>
    </w:r>
  </w:p>
  <w:p w:rsidR="00473D04" w:rsidRDefault="00473D04" w:rsidP="005479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D04" w:rsidRDefault="00473D04" w:rsidP="004F3A06">
    <w:pPr>
      <w:pStyle w:val="Header"/>
      <w:jc w:val="right"/>
    </w:pPr>
    <w:r>
      <w:t>CDIP/30/3</w:t>
    </w:r>
  </w:p>
  <w:p w:rsidR="00473D04" w:rsidRDefault="00473D04" w:rsidP="008754CA">
    <w:pPr>
      <w:pStyle w:val="Header"/>
      <w:jc w:val="right"/>
    </w:pPr>
    <w:r>
      <w:tab/>
      <w:t xml:space="preserve">page </w:t>
    </w:r>
    <w:r>
      <w:fldChar w:fldCharType="begin"/>
    </w:r>
    <w:r>
      <w:instrText xml:space="preserve"> PAGE </w:instrText>
    </w:r>
    <w:r>
      <w:fldChar w:fldCharType="separate"/>
    </w:r>
    <w:r>
      <w:rPr>
        <w:noProof/>
      </w:rPr>
      <w:t>2</w:t>
    </w:r>
    <w:r>
      <w:fldChar w:fldCharType="end"/>
    </w:r>
    <w:r>
      <w:t xml:space="preserve"> </w:t>
    </w:r>
  </w:p>
  <w:p w:rsidR="00473D04" w:rsidRDefault="00473D04" w:rsidP="008754CA">
    <w:pPr>
      <w:pStyle w:val="Header"/>
      <w:jc w:val="right"/>
    </w:pPr>
  </w:p>
  <w:p w:rsidR="00473D04" w:rsidRDefault="00473D04" w:rsidP="008754C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95" w:rsidRPr="00A91E95" w:rsidRDefault="00A91E95" w:rsidP="00A91E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473D04" w:rsidP="00477D6B">
    <w:pPr>
      <w:jc w:val="right"/>
      <w:rPr>
        <w:caps/>
      </w:rPr>
    </w:pPr>
    <w:bookmarkStart w:id="6" w:name="Code2"/>
    <w:bookmarkEnd w:id="6"/>
    <w:r>
      <w:rPr>
        <w:caps/>
      </w:rPr>
      <w:t>CDIP/30/3</w:t>
    </w:r>
  </w:p>
  <w:p w:rsidR="00AE7F20" w:rsidRDefault="00473D04"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D62A42">
      <w:rPr>
        <w:noProof/>
      </w:rPr>
      <w:t>7</w:t>
    </w:r>
    <w:r w:rsidR="00AE7F20">
      <w:fldChar w:fldCharType="end"/>
    </w:r>
  </w:p>
  <w:p w:rsidR="00AE7F20" w:rsidRDefault="00AE7F20"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D04" w:rsidRPr="00EB0D93" w:rsidRDefault="00473D04" w:rsidP="00473D04">
    <w:pPr>
      <w:jc w:val="right"/>
      <w:rPr>
        <w:caps/>
      </w:rPr>
    </w:pPr>
    <w:r>
      <w:rPr>
        <w:caps/>
      </w:rPr>
      <w:t>CDIP/30/3</w:t>
    </w:r>
  </w:p>
  <w:p w:rsidR="00473D04" w:rsidRDefault="00473D04" w:rsidP="00473D04">
    <w:pPr>
      <w:pStyle w:val="Header"/>
      <w:jc w:val="right"/>
    </w:pPr>
    <w:r>
      <w:t>ANEXO</w:t>
    </w:r>
  </w:p>
  <w:p w:rsidR="00473D04" w:rsidRDefault="00473D04" w:rsidP="00473D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ED5BA4"/>
    <w:multiLevelType w:val="hybridMultilevel"/>
    <w:tmpl w:val="FB5A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FD1460"/>
    <w:multiLevelType w:val="hybridMultilevel"/>
    <w:tmpl w:val="D5F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20B87"/>
    <w:multiLevelType w:val="hybridMultilevel"/>
    <w:tmpl w:val="BC0825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CF2A10"/>
    <w:multiLevelType w:val="hybridMultilevel"/>
    <w:tmpl w:val="9B685132"/>
    <w:lvl w:ilvl="0" w:tplc="D3BC7B52">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17092D"/>
    <w:multiLevelType w:val="hybridMultilevel"/>
    <w:tmpl w:val="73E4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F4091"/>
    <w:multiLevelType w:val="hybridMultilevel"/>
    <w:tmpl w:val="57E8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5108D"/>
    <w:multiLevelType w:val="hybridMultilevel"/>
    <w:tmpl w:val="41EC8416"/>
    <w:lvl w:ilvl="0" w:tplc="CDBE83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F1CCA"/>
    <w:multiLevelType w:val="hybridMultilevel"/>
    <w:tmpl w:val="F92A52B6"/>
    <w:lvl w:ilvl="0" w:tplc="A664E6B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3448A3"/>
    <w:multiLevelType w:val="hybridMultilevel"/>
    <w:tmpl w:val="A784F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D0695"/>
    <w:multiLevelType w:val="hybridMultilevel"/>
    <w:tmpl w:val="854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60EAD"/>
    <w:multiLevelType w:val="hybridMultilevel"/>
    <w:tmpl w:val="55C8411C"/>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1517F7E"/>
    <w:multiLevelType w:val="hybridMultilevel"/>
    <w:tmpl w:val="51464B68"/>
    <w:lvl w:ilvl="0" w:tplc="5CE4F3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3"/>
  </w:num>
  <w:num w:numId="5">
    <w:abstractNumId w:val="2"/>
  </w:num>
  <w:num w:numId="6">
    <w:abstractNumId w:val="7"/>
  </w:num>
  <w:num w:numId="7">
    <w:abstractNumId w:val="17"/>
  </w:num>
  <w:num w:numId="8">
    <w:abstractNumId w:val="6"/>
  </w:num>
  <w:num w:numId="9">
    <w:abstractNumId w:val="16"/>
  </w:num>
  <w:num w:numId="10">
    <w:abstractNumId w:val="8"/>
  </w:num>
  <w:num w:numId="11">
    <w:abstractNumId w:val="9"/>
  </w:num>
  <w:num w:numId="12">
    <w:abstractNumId w:val="1"/>
  </w:num>
  <w:num w:numId="13">
    <w:abstractNumId w:val="18"/>
  </w:num>
  <w:num w:numId="14">
    <w:abstractNumId w:val="15"/>
  </w:num>
  <w:num w:numId="15">
    <w:abstractNumId w:val="3"/>
  </w:num>
  <w:num w:numId="16">
    <w:abstractNumId w:val="4"/>
  </w:num>
  <w:num w:numId="17">
    <w:abstractNumId w:val="11"/>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04"/>
    <w:rsid w:val="00010686"/>
    <w:rsid w:val="00043CA7"/>
    <w:rsid w:val="00052915"/>
    <w:rsid w:val="000A2F29"/>
    <w:rsid w:val="000B4C59"/>
    <w:rsid w:val="000C7B0C"/>
    <w:rsid w:val="000D2ADF"/>
    <w:rsid w:val="000E3BB3"/>
    <w:rsid w:val="000F5E56"/>
    <w:rsid w:val="00122291"/>
    <w:rsid w:val="0013163D"/>
    <w:rsid w:val="001362EE"/>
    <w:rsid w:val="00152CEA"/>
    <w:rsid w:val="001832A6"/>
    <w:rsid w:val="001B4D05"/>
    <w:rsid w:val="00246DDC"/>
    <w:rsid w:val="002634C4"/>
    <w:rsid w:val="002C2E2F"/>
    <w:rsid w:val="002C4D28"/>
    <w:rsid w:val="002D23B5"/>
    <w:rsid w:val="002E0F47"/>
    <w:rsid w:val="002E4283"/>
    <w:rsid w:val="002F4E68"/>
    <w:rsid w:val="00310826"/>
    <w:rsid w:val="00331BBB"/>
    <w:rsid w:val="00354647"/>
    <w:rsid w:val="003656B1"/>
    <w:rsid w:val="00377273"/>
    <w:rsid w:val="003845C1"/>
    <w:rsid w:val="00387287"/>
    <w:rsid w:val="003E48F1"/>
    <w:rsid w:val="003F347A"/>
    <w:rsid w:val="00423E3E"/>
    <w:rsid w:val="00427AF4"/>
    <w:rsid w:val="004456D1"/>
    <w:rsid w:val="0045231F"/>
    <w:rsid w:val="004647DA"/>
    <w:rsid w:val="0046793F"/>
    <w:rsid w:val="00470522"/>
    <w:rsid w:val="00472A6E"/>
    <w:rsid w:val="00473D04"/>
    <w:rsid w:val="00477808"/>
    <w:rsid w:val="00477D6B"/>
    <w:rsid w:val="004A6C37"/>
    <w:rsid w:val="004B24CE"/>
    <w:rsid w:val="004E297D"/>
    <w:rsid w:val="00505F08"/>
    <w:rsid w:val="00527E25"/>
    <w:rsid w:val="00531B02"/>
    <w:rsid w:val="005332F0"/>
    <w:rsid w:val="0055013B"/>
    <w:rsid w:val="00571B99"/>
    <w:rsid w:val="00572F14"/>
    <w:rsid w:val="00574E6E"/>
    <w:rsid w:val="005752D9"/>
    <w:rsid w:val="00581F42"/>
    <w:rsid w:val="00584B4D"/>
    <w:rsid w:val="005A19B9"/>
    <w:rsid w:val="005B2EAE"/>
    <w:rsid w:val="005C3E2B"/>
    <w:rsid w:val="005C6989"/>
    <w:rsid w:val="005D3355"/>
    <w:rsid w:val="00605827"/>
    <w:rsid w:val="006163FD"/>
    <w:rsid w:val="00665F85"/>
    <w:rsid w:val="00675021"/>
    <w:rsid w:val="0068123A"/>
    <w:rsid w:val="006A06C6"/>
    <w:rsid w:val="006F2575"/>
    <w:rsid w:val="00711AEE"/>
    <w:rsid w:val="007142E7"/>
    <w:rsid w:val="0072051E"/>
    <w:rsid w:val="007224C8"/>
    <w:rsid w:val="00762AC6"/>
    <w:rsid w:val="00794BE2"/>
    <w:rsid w:val="007A5581"/>
    <w:rsid w:val="007B71FE"/>
    <w:rsid w:val="007D781E"/>
    <w:rsid w:val="007E663E"/>
    <w:rsid w:val="008069A6"/>
    <w:rsid w:val="00815082"/>
    <w:rsid w:val="00846652"/>
    <w:rsid w:val="00863745"/>
    <w:rsid w:val="0087594C"/>
    <w:rsid w:val="0088395E"/>
    <w:rsid w:val="00886DEE"/>
    <w:rsid w:val="008B2CC1"/>
    <w:rsid w:val="008E6BD6"/>
    <w:rsid w:val="0090493C"/>
    <w:rsid w:val="0090731E"/>
    <w:rsid w:val="00936FB3"/>
    <w:rsid w:val="00964E85"/>
    <w:rsid w:val="009669D1"/>
    <w:rsid w:val="00966A22"/>
    <w:rsid w:val="00972F03"/>
    <w:rsid w:val="009732B1"/>
    <w:rsid w:val="0098367F"/>
    <w:rsid w:val="009A0C8B"/>
    <w:rsid w:val="009A20CD"/>
    <w:rsid w:val="009B6241"/>
    <w:rsid w:val="009C0927"/>
    <w:rsid w:val="009F4B68"/>
    <w:rsid w:val="00A16FC0"/>
    <w:rsid w:val="00A23EA1"/>
    <w:rsid w:val="00A32C9E"/>
    <w:rsid w:val="00A36619"/>
    <w:rsid w:val="00A5508D"/>
    <w:rsid w:val="00A91E95"/>
    <w:rsid w:val="00A93FB1"/>
    <w:rsid w:val="00AB613D"/>
    <w:rsid w:val="00AD4369"/>
    <w:rsid w:val="00AE7F20"/>
    <w:rsid w:val="00AF1B1E"/>
    <w:rsid w:val="00B534D5"/>
    <w:rsid w:val="00B54243"/>
    <w:rsid w:val="00B65A0A"/>
    <w:rsid w:val="00B67CDC"/>
    <w:rsid w:val="00B72D36"/>
    <w:rsid w:val="00BC2634"/>
    <w:rsid w:val="00BC4164"/>
    <w:rsid w:val="00BD2DCC"/>
    <w:rsid w:val="00BF5A8E"/>
    <w:rsid w:val="00C02DB1"/>
    <w:rsid w:val="00C66FF4"/>
    <w:rsid w:val="00C87662"/>
    <w:rsid w:val="00C90559"/>
    <w:rsid w:val="00CA0500"/>
    <w:rsid w:val="00CA2251"/>
    <w:rsid w:val="00CE1A5C"/>
    <w:rsid w:val="00D56C7C"/>
    <w:rsid w:val="00D60C89"/>
    <w:rsid w:val="00D62A42"/>
    <w:rsid w:val="00D64691"/>
    <w:rsid w:val="00D71B4D"/>
    <w:rsid w:val="00D90289"/>
    <w:rsid w:val="00D93D55"/>
    <w:rsid w:val="00D94BD6"/>
    <w:rsid w:val="00DB0D6B"/>
    <w:rsid w:val="00DC4540"/>
    <w:rsid w:val="00DC4C60"/>
    <w:rsid w:val="00DD2C6F"/>
    <w:rsid w:val="00DD6CF4"/>
    <w:rsid w:val="00E0079A"/>
    <w:rsid w:val="00E10936"/>
    <w:rsid w:val="00E22B76"/>
    <w:rsid w:val="00E444DA"/>
    <w:rsid w:val="00E45C84"/>
    <w:rsid w:val="00E504E5"/>
    <w:rsid w:val="00E84D0E"/>
    <w:rsid w:val="00E9691D"/>
    <w:rsid w:val="00EB0D93"/>
    <w:rsid w:val="00EB7A3E"/>
    <w:rsid w:val="00EC1AA7"/>
    <w:rsid w:val="00EC401A"/>
    <w:rsid w:val="00EF530A"/>
    <w:rsid w:val="00EF6622"/>
    <w:rsid w:val="00EF78A9"/>
    <w:rsid w:val="00F51261"/>
    <w:rsid w:val="00F55408"/>
    <w:rsid w:val="00F66152"/>
    <w:rsid w:val="00F80845"/>
    <w:rsid w:val="00F84474"/>
    <w:rsid w:val="00FA0F0D"/>
    <w:rsid w:val="00FB31F5"/>
    <w:rsid w:val="00FC58D0"/>
    <w:rsid w:val="00FD59D1"/>
    <w:rsid w:val="00FD7DBE"/>
    <w:rsid w:val="00FE7116"/>
    <w:rsid w:val="00FF0070"/>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F80B074-19FB-44A4-AD8E-AA4DA0F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table" w:styleId="TableGrid">
    <w:name w:val="Table Grid"/>
    <w:basedOn w:val="TableNormal"/>
    <w:rsid w:val="00473D0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basedOn w:val="DefaultParagraphFont"/>
    <w:rsid w:val="00473D04"/>
    <w:rPr>
      <w:vertAlign w:val="superscript"/>
    </w:rPr>
  </w:style>
  <w:style w:type="character" w:styleId="PageNumber">
    <w:name w:val="page number"/>
    <w:basedOn w:val="DefaultParagraphFont"/>
    <w:rsid w:val="00473D04"/>
  </w:style>
  <w:style w:type="paragraph" w:styleId="ListParagraph">
    <w:name w:val="List Paragraph"/>
    <w:basedOn w:val="Normal"/>
    <w:uiPriority w:val="34"/>
    <w:qFormat/>
    <w:rsid w:val="00473D04"/>
    <w:pPr>
      <w:ind w:left="720"/>
      <w:contextualSpacing/>
    </w:pPr>
    <w:rPr>
      <w:rFonts w:eastAsia="Times New Roman"/>
      <w:lang w:val="en-US" w:eastAsia="en-US"/>
    </w:rPr>
  </w:style>
  <w:style w:type="character" w:customStyle="1" w:styleId="FootnoteTextChar">
    <w:name w:val="Footnote Text Char"/>
    <w:aliases w:val="Footnote Char"/>
    <w:basedOn w:val="DefaultParagraphFont"/>
    <w:link w:val="FootnoteText"/>
    <w:semiHidden/>
    <w:rsid w:val="00473D04"/>
    <w:rPr>
      <w:rFonts w:ascii="Arial" w:eastAsia="SimSun" w:hAnsi="Arial" w:cs="Arial"/>
      <w:sz w:val="18"/>
      <w:lang w:val="es-ES" w:eastAsia="zh-CN"/>
    </w:rPr>
  </w:style>
  <w:style w:type="character" w:styleId="Hyperlink">
    <w:name w:val="Hyperlink"/>
    <w:basedOn w:val="DefaultParagraphFont"/>
    <w:uiPriority w:val="99"/>
    <w:rsid w:val="00473D04"/>
    <w:rPr>
      <w:color w:val="0000FF" w:themeColor="hyperlink"/>
      <w:u w:val="single"/>
    </w:rPr>
  </w:style>
  <w:style w:type="character" w:customStyle="1" w:styleId="ONUMFSChar">
    <w:name w:val="ONUM FS Char"/>
    <w:basedOn w:val="DefaultParagraphFont"/>
    <w:link w:val="ONUMFS"/>
    <w:rsid w:val="00473D04"/>
    <w:rPr>
      <w:rFonts w:ascii="Arial" w:eastAsia="SimSun" w:hAnsi="Arial" w:cs="Arial"/>
      <w:sz w:val="22"/>
      <w:lang w:val="es-ES" w:eastAsia="zh-CN"/>
    </w:rPr>
  </w:style>
  <w:style w:type="character" w:customStyle="1" w:styleId="HeaderChar">
    <w:name w:val="Header Char"/>
    <w:basedOn w:val="DefaultParagraphFont"/>
    <w:link w:val="Header"/>
    <w:rsid w:val="00473D04"/>
    <w:rPr>
      <w:rFonts w:ascii="Arial" w:eastAsia="SimSun" w:hAnsi="Arial" w:cs="Arial"/>
      <w:sz w:val="22"/>
      <w:lang w:val="es-ES" w:eastAsia="zh-CN"/>
    </w:rPr>
  </w:style>
  <w:style w:type="paragraph" w:styleId="BalloonText">
    <w:name w:val="Balloon Text"/>
    <w:basedOn w:val="Normal"/>
    <w:link w:val="BalloonTextChar"/>
    <w:semiHidden/>
    <w:unhideWhenUsed/>
    <w:rsid w:val="00A36619"/>
    <w:rPr>
      <w:rFonts w:ascii="Tahoma" w:hAnsi="Tahoma" w:cs="Tahoma"/>
      <w:sz w:val="16"/>
      <w:szCs w:val="16"/>
    </w:rPr>
  </w:style>
  <w:style w:type="character" w:customStyle="1" w:styleId="BalloonTextChar">
    <w:name w:val="Balloon Text Char"/>
    <w:basedOn w:val="DefaultParagraphFont"/>
    <w:link w:val="BalloonText"/>
    <w:semiHidden/>
    <w:rsid w:val="00A36619"/>
    <w:rPr>
      <w:rFonts w:ascii="Tahoma" w:eastAsia="SimSun" w:hAnsi="Tahoma" w:cs="Tahoma"/>
      <w:sz w:val="16"/>
      <w:szCs w:val="16"/>
      <w:lang w:val="es-ES" w:eastAsia="zh-CN"/>
    </w:rPr>
  </w:style>
  <w:style w:type="character" w:styleId="FollowedHyperlink">
    <w:name w:val="FollowedHyperlink"/>
    <w:basedOn w:val="DefaultParagraphFont"/>
    <w:semiHidden/>
    <w:unhideWhenUsed/>
    <w:rsid w:val="005C6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meetings/es/doc_details.jsp?doc_id=267883"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wipo.int/meetings/es/doc_details.jsp?doc_id=45232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s/doc_details.jsp?doc_id=182842"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es/doc_details.jsp?doc_id=147456" TargetMode="External"/><Relationship Id="rId20" Type="http://schemas.openxmlformats.org/officeDocument/2006/relationships/hyperlink" Target="https://www.wipo.int/meetings/es/doc_details.jsp?doc_id=2813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meetings/es/doc_details.jsp?doc_id=401797" TargetMode="External"/><Relationship Id="rId5" Type="http://schemas.openxmlformats.org/officeDocument/2006/relationships/webSettings" Target="webSettings.xml"/><Relationship Id="rId15" Type="http://schemas.openxmlformats.org/officeDocument/2006/relationships/hyperlink" Target="https://www.wipo.int/meetings/es/doc_details.jsp?doc_id=131422" TargetMode="External"/><Relationship Id="rId23" Type="http://schemas.openxmlformats.org/officeDocument/2006/relationships/hyperlink" Target="https://www.wipo.int/meetings/es/doc_details.jsp?doc_id=268243"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wipo.int/meetings/es/doc_details.jsp?doc_id=31431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wipo.int/meetings/es/doc_details.jsp?doc_id=582427"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s/doc_details.jsp?doc_id=335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ADB0-484B-4BC8-B2E6-E0DB2CAA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3059</Words>
  <Characters>16561</Characters>
  <Application>Microsoft Office Word</Application>
  <DocSecurity>0</DocSecurity>
  <Lines>439</Lines>
  <Paragraphs>156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CDIP/30/3</vt:lpstr>
      <vt:lpstr>CDIP/30/3</vt:lpstr>
    </vt:vector>
  </TitlesOfParts>
  <Company>WIPO</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CDIP/30/3</dc:title>
  <dc:creator>BOU LLORET Amparo</dc:creator>
  <cp:keywords>FOR OFFICIAL USE ONLY</cp:keywords>
  <dc:description>RV (ext. translator) - 24/2/2023</dc:description>
  <cp:lastModifiedBy>PANAKAL Joseph Lazar</cp:lastModifiedBy>
  <cp:revision>2</cp:revision>
  <cp:lastPrinted>2023-03-02T08:56:00Z</cp:lastPrinted>
  <dcterms:created xsi:type="dcterms:W3CDTF">2023-03-02T08:56:00Z</dcterms:created>
  <dcterms:modified xsi:type="dcterms:W3CDTF">2023-03-02T08:56:00Z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