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F9083FD" w14:textId="77777777" w:rsidTr="00361450">
        <w:tc>
          <w:tcPr>
            <w:tcW w:w="4513" w:type="dxa"/>
            <w:tcBorders>
              <w:bottom w:val="single" w:sz="4" w:space="0" w:color="auto"/>
            </w:tcBorders>
            <w:tcMar>
              <w:bottom w:w="170" w:type="dxa"/>
            </w:tcMar>
          </w:tcPr>
          <w:p w14:paraId="721CF252" w14:textId="1D45443B" w:rsidR="00EC4E49" w:rsidRPr="008B2CC1" w:rsidRDefault="00EC4E49" w:rsidP="00916EE2"/>
        </w:tc>
        <w:tc>
          <w:tcPr>
            <w:tcW w:w="4337" w:type="dxa"/>
            <w:tcBorders>
              <w:bottom w:val="single" w:sz="4" w:space="0" w:color="auto"/>
            </w:tcBorders>
            <w:tcMar>
              <w:left w:w="0" w:type="dxa"/>
              <w:bottom w:w="170" w:type="dxa"/>
              <w:right w:w="0" w:type="dxa"/>
            </w:tcMar>
          </w:tcPr>
          <w:p w14:paraId="5B893A49" w14:textId="1A364009" w:rsidR="00EC4E49" w:rsidRPr="008B2CC1" w:rsidRDefault="000F12F0" w:rsidP="00916EE2">
            <w:r>
              <w:rPr>
                <w:noProof/>
                <w:sz w:val="28"/>
                <w:szCs w:val="28"/>
                <w:lang w:val="fr-CH" w:eastAsia="fr-CH"/>
              </w:rPr>
              <w:drawing>
                <wp:inline distT="0" distB="0" distL="0" distR="0" wp14:anchorId="2E4359C9" wp14:editId="68D84D8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tc>
        <w:tc>
          <w:tcPr>
            <w:tcW w:w="425" w:type="dxa"/>
            <w:tcBorders>
              <w:bottom w:val="single" w:sz="4" w:space="0" w:color="auto"/>
            </w:tcBorders>
            <w:tcMar>
              <w:bottom w:w="170" w:type="dxa"/>
            </w:tcMar>
          </w:tcPr>
          <w:p w14:paraId="3A8DDE28" w14:textId="35F29A07" w:rsidR="00EC4E49" w:rsidRPr="008B2CC1" w:rsidRDefault="00EC4E49" w:rsidP="00916EE2">
            <w:pPr>
              <w:jc w:val="right"/>
            </w:pPr>
            <w:r w:rsidRPr="00605827">
              <w:rPr>
                <w:b/>
                <w:sz w:val="40"/>
                <w:szCs w:val="40"/>
              </w:rPr>
              <w:t>E</w:t>
            </w:r>
          </w:p>
        </w:tc>
      </w:tr>
      <w:tr w:rsidR="008B2CC1" w:rsidRPr="001832A6" w14:paraId="0E15EE57" w14:textId="77777777" w:rsidTr="00481874">
        <w:tc>
          <w:tcPr>
            <w:tcW w:w="9356" w:type="dxa"/>
            <w:gridSpan w:val="3"/>
            <w:tcBorders>
              <w:top w:val="single" w:sz="4" w:space="0" w:color="auto"/>
            </w:tcBorders>
            <w:tcMar>
              <w:top w:w="170" w:type="dxa"/>
              <w:left w:w="0" w:type="dxa"/>
              <w:right w:w="0" w:type="dxa"/>
            </w:tcMar>
            <w:vAlign w:val="bottom"/>
          </w:tcPr>
          <w:p w14:paraId="16246A7D" w14:textId="40343046" w:rsidR="008B2CC1" w:rsidRPr="0090731E" w:rsidRDefault="00A42DAF" w:rsidP="00753A0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5A5D8A">
              <w:rPr>
                <w:rFonts w:ascii="Arial Black" w:hAnsi="Arial Black"/>
                <w:caps/>
                <w:sz w:val="15"/>
              </w:rPr>
              <w:t>CDIP/</w:t>
            </w:r>
            <w:r w:rsidR="00AE2425">
              <w:rPr>
                <w:rFonts w:ascii="Arial Black" w:hAnsi="Arial Black"/>
                <w:caps/>
                <w:sz w:val="15"/>
              </w:rPr>
              <w:t>32</w:t>
            </w:r>
            <w:r w:rsidR="008031D1">
              <w:rPr>
                <w:rFonts w:ascii="Arial Black" w:hAnsi="Arial Black"/>
                <w:caps/>
                <w:sz w:val="15"/>
              </w:rPr>
              <w:t>/</w:t>
            </w:r>
            <w:r w:rsidR="005E6B68">
              <w:rPr>
                <w:rFonts w:ascii="Arial Black" w:hAnsi="Arial Black"/>
                <w:caps/>
                <w:sz w:val="15"/>
              </w:rPr>
              <w:t>11</w:t>
            </w:r>
          </w:p>
        </w:tc>
      </w:tr>
      <w:tr w:rsidR="008B2CC1" w:rsidRPr="001832A6" w14:paraId="1AE935D3" w14:textId="77777777" w:rsidTr="00916EE2">
        <w:trPr>
          <w:trHeight w:hRule="exact" w:val="170"/>
        </w:trPr>
        <w:tc>
          <w:tcPr>
            <w:tcW w:w="9356" w:type="dxa"/>
            <w:gridSpan w:val="3"/>
            <w:noWrap/>
            <w:tcMar>
              <w:left w:w="0" w:type="dxa"/>
              <w:right w:w="0" w:type="dxa"/>
            </w:tcMar>
            <w:vAlign w:val="bottom"/>
          </w:tcPr>
          <w:p w14:paraId="7A654A88"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F732B">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14:paraId="68AF9258" w14:textId="77777777" w:rsidTr="00916EE2">
        <w:trPr>
          <w:trHeight w:hRule="exact" w:val="198"/>
        </w:trPr>
        <w:tc>
          <w:tcPr>
            <w:tcW w:w="9356" w:type="dxa"/>
            <w:gridSpan w:val="3"/>
            <w:tcMar>
              <w:left w:w="0" w:type="dxa"/>
              <w:right w:w="0" w:type="dxa"/>
            </w:tcMar>
            <w:vAlign w:val="bottom"/>
          </w:tcPr>
          <w:p w14:paraId="7FC2A136" w14:textId="7804C149" w:rsidR="008B2CC1" w:rsidRPr="0090731E" w:rsidRDefault="006F732B" w:rsidP="00936D12">
            <w:pPr>
              <w:spacing w:after="1200"/>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5F23C8">
              <w:rPr>
                <w:rFonts w:ascii="Arial Black" w:hAnsi="Arial Black"/>
                <w:caps/>
                <w:sz w:val="15"/>
              </w:rPr>
              <w:t xml:space="preserve"> </w:t>
            </w:r>
            <w:r w:rsidR="00AE2425">
              <w:rPr>
                <w:rFonts w:ascii="Arial Black" w:hAnsi="Arial Black"/>
                <w:caps/>
                <w:sz w:val="15"/>
              </w:rPr>
              <w:t>March</w:t>
            </w:r>
            <w:r w:rsidR="00356EA3">
              <w:rPr>
                <w:rFonts w:ascii="Arial Black" w:hAnsi="Arial Black"/>
                <w:caps/>
                <w:sz w:val="15"/>
              </w:rPr>
              <w:t xml:space="preserve"> </w:t>
            </w:r>
            <w:r w:rsidR="00610A92">
              <w:rPr>
                <w:rFonts w:ascii="Arial Black" w:hAnsi="Arial Black"/>
                <w:caps/>
                <w:sz w:val="15"/>
              </w:rPr>
              <w:t>1</w:t>
            </w:r>
            <w:r w:rsidR="00D672AA">
              <w:rPr>
                <w:rFonts w:ascii="Arial Black" w:hAnsi="Arial Black"/>
                <w:caps/>
                <w:sz w:val="15"/>
              </w:rPr>
              <w:t>8</w:t>
            </w:r>
            <w:r>
              <w:rPr>
                <w:rFonts w:ascii="Arial Black" w:hAnsi="Arial Black"/>
                <w:caps/>
                <w:sz w:val="15"/>
              </w:rPr>
              <w:t xml:space="preserve">, </w:t>
            </w:r>
            <w:proofErr w:type="gramStart"/>
            <w:r>
              <w:rPr>
                <w:rFonts w:ascii="Arial Black" w:hAnsi="Arial Black"/>
                <w:caps/>
                <w:sz w:val="15"/>
              </w:rPr>
              <w:t>20</w:t>
            </w:r>
            <w:r w:rsidR="000D3016">
              <w:rPr>
                <w:rFonts w:ascii="Arial Black" w:hAnsi="Arial Black"/>
                <w:caps/>
                <w:sz w:val="15"/>
              </w:rPr>
              <w:t>2</w:t>
            </w:r>
            <w:r w:rsidR="00AE2425">
              <w:rPr>
                <w:rFonts w:ascii="Arial Black" w:hAnsi="Arial Black"/>
                <w:caps/>
                <w:sz w:val="15"/>
              </w:rPr>
              <w:t>4</w:t>
            </w:r>
            <w:proofErr w:type="gramEnd"/>
            <w:r w:rsidR="008B2CC1" w:rsidRPr="0090731E">
              <w:rPr>
                <w:rFonts w:ascii="Arial Black" w:hAnsi="Arial Black"/>
                <w:caps/>
                <w:sz w:val="15"/>
              </w:rPr>
              <w:t xml:space="preserve"> </w:t>
            </w:r>
            <w:bookmarkStart w:id="2" w:name="Date"/>
            <w:bookmarkEnd w:id="2"/>
          </w:p>
        </w:tc>
      </w:tr>
    </w:tbl>
    <w:p w14:paraId="6A1CF178" w14:textId="77777777" w:rsidR="008B2CC1" w:rsidRPr="003845C1" w:rsidRDefault="005A5D8A" w:rsidP="00936D12">
      <w:pPr>
        <w:spacing w:before="1200" w:after="600"/>
        <w:rPr>
          <w:b/>
          <w:sz w:val="28"/>
          <w:szCs w:val="28"/>
        </w:rPr>
      </w:pPr>
      <w:r>
        <w:rPr>
          <w:b/>
          <w:sz w:val="28"/>
          <w:szCs w:val="28"/>
        </w:rPr>
        <w:t>Committee on Development and Intellectual Property (CDIP)</w:t>
      </w:r>
    </w:p>
    <w:p w14:paraId="61C68476" w14:textId="77777777" w:rsidR="00AE2425" w:rsidRPr="00AE2425" w:rsidRDefault="00AE2425" w:rsidP="00AE2425">
      <w:pPr>
        <w:rPr>
          <w:b/>
          <w:sz w:val="24"/>
          <w:szCs w:val="24"/>
        </w:rPr>
      </w:pPr>
      <w:r w:rsidRPr="00AE2425">
        <w:rPr>
          <w:b/>
          <w:sz w:val="24"/>
          <w:szCs w:val="24"/>
        </w:rPr>
        <w:t>Thirty-Second Session</w:t>
      </w:r>
    </w:p>
    <w:p w14:paraId="2B74C23F" w14:textId="17D48B18" w:rsidR="008B2CC1" w:rsidRPr="008B2CC1" w:rsidRDefault="00AE2425" w:rsidP="00936D12">
      <w:pPr>
        <w:spacing w:after="720"/>
      </w:pPr>
      <w:r w:rsidRPr="00AE2425">
        <w:rPr>
          <w:b/>
          <w:sz w:val="24"/>
          <w:szCs w:val="24"/>
        </w:rPr>
        <w:t>Geneva, April 29 to May 3, 2024</w:t>
      </w:r>
    </w:p>
    <w:p w14:paraId="5BAEFB5C" w14:textId="03C51BB4" w:rsidR="006F732B" w:rsidRDefault="006635E6" w:rsidP="00936D12">
      <w:pPr>
        <w:spacing w:after="360"/>
      </w:pPr>
      <w:bookmarkStart w:id="3" w:name="OLE_LINK2"/>
      <w:bookmarkStart w:id="4" w:name="OLE_LINK3"/>
      <w:r>
        <w:t xml:space="preserve">EVALUATION </w:t>
      </w:r>
      <w:bookmarkEnd w:id="3"/>
      <w:bookmarkEnd w:id="4"/>
      <w:r w:rsidR="00B63FC9">
        <w:t>REPORT O</w:t>
      </w:r>
      <w:r w:rsidR="00AE2425">
        <w:t>F</w:t>
      </w:r>
      <w:r w:rsidR="00B63FC9">
        <w:t xml:space="preserve"> </w:t>
      </w:r>
      <w:r w:rsidR="00AE2425">
        <w:t>T</w:t>
      </w:r>
      <w:r w:rsidR="00AE2425" w:rsidRPr="00AE2425">
        <w:t>HE PROJECT ON THE REGISTRATION OF THE COLLECTIVE MARKS OF LOCAL ENTERPRISES AS A CROSS-CUTTING ECONOMIC DEVELOPMENT ISSUE</w:t>
      </w:r>
    </w:p>
    <w:p w14:paraId="57EA6E8C" w14:textId="77777777" w:rsidR="00FB6E4B" w:rsidRDefault="001F4C95" w:rsidP="00936D12">
      <w:pPr>
        <w:spacing w:after="960"/>
      </w:pPr>
      <w:r w:rsidRPr="001F4C95">
        <w:rPr>
          <w:i/>
        </w:rPr>
        <w:t xml:space="preserve">prepared by </w:t>
      </w:r>
      <w:r w:rsidR="00876F38">
        <w:rPr>
          <w:i/>
        </w:rPr>
        <w:t>D</w:t>
      </w:r>
      <w:r w:rsidRPr="001F4C95">
        <w:rPr>
          <w:i/>
        </w:rPr>
        <w:t>r. Glenn O’Neil, Founder, Owl RE, Evaluation Consultancy, Geneva</w:t>
      </w:r>
    </w:p>
    <w:p w14:paraId="5C1D9135" w14:textId="34F0D1B7" w:rsidR="004907DF" w:rsidRPr="004907DF" w:rsidRDefault="00712C30" w:rsidP="00287CBE">
      <w:pPr>
        <w:pStyle w:val="Default"/>
        <w:rPr>
          <w:rFonts w:ascii="Arial" w:hAnsi="Arial" w:cs="Arial"/>
          <w:sz w:val="22"/>
          <w:szCs w:val="22"/>
        </w:rPr>
      </w:pPr>
      <w:r w:rsidRPr="00712C30">
        <w:rPr>
          <w:rFonts w:ascii="Arial" w:hAnsi="Arial" w:cs="Arial"/>
          <w:sz w:val="22"/>
          <w:szCs w:val="22"/>
        </w:rPr>
        <w:t>The Annex to this</w:t>
      </w:r>
      <w:r>
        <w:rPr>
          <w:rFonts w:ascii="Arial" w:hAnsi="Arial" w:cs="Arial"/>
          <w:sz w:val="22"/>
          <w:szCs w:val="22"/>
        </w:rPr>
        <w:t xml:space="preserve"> document contai</w:t>
      </w:r>
      <w:r w:rsidR="00B5673F">
        <w:rPr>
          <w:rFonts w:ascii="Arial" w:hAnsi="Arial" w:cs="Arial"/>
          <w:sz w:val="22"/>
          <w:szCs w:val="22"/>
        </w:rPr>
        <w:t>ns an e</w:t>
      </w:r>
      <w:r>
        <w:rPr>
          <w:rFonts w:ascii="Arial" w:hAnsi="Arial" w:cs="Arial"/>
          <w:sz w:val="22"/>
          <w:szCs w:val="22"/>
        </w:rPr>
        <w:t xml:space="preserve">xternal </w:t>
      </w:r>
      <w:r w:rsidR="00B63FC9">
        <w:rPr>
          <w:rFonts w:ascii="Arial" w:hAnsi="Arial" w:cs="Arial"/>
          <w:sz w:val="22"/>
          <w:szCs w:val="22"/>
        </w:rPr>
        <w:t>i</w:t>
      </w:r>
      <w:r w:rsidRPr="00712C30">
        <w:rPr>
          <w:rFonts w:ascii="Arial" w:hAnsi="Arial" w:cs="Arial"/>
          <w:sz w:val="22"/>
          <w:szCs w:val="22"/>
        </w:rPr>
        <w:t>ndepe</w:t>
      </w:r>
      <w:r>
        <w:rPr>
          <w:rFonts w:ascii="Arial" w:hAnsi="Arial" w:cs="Arial"/>
          <w:sz w:val="22"/>
          <w:szCs w:val="22"/>
        </w:rPr>
        <w:t>ndent Evaluation Report</w:t>
      </w:r>
      <w:r w:rsidR="00D10112">
        <w:rPr>
          <w:rFonts w:ascii="Arial" w:hAnsi="Arial" w:cs="Arial"/>
          <w:sz w:val="22"/>
          <w:szCs w:val="22"/>
        </w:rPr>
        <w:t xml:space="preserve"> o</w:t>
      </w:r>
      <w:r w:rsidR="00287CBE">
        <w:rPr>
          <w:rFonts w:ascii="Arial" w:hAnsi="Arial" w:cs="Arial"/>
          <w:sz w:val="22"/>
          <w:szCs w:val="22"/>
        </w:rPr>
        <w:t>n</w:t>
      </w:r>
      <w:r w:rsidR="00D10112">
        <w:rPr>
          <w:rFonts w:ascii="Arial" w:hAnsi="Arial" w:cs="Arial"/>
          <w:sz w:val="22"/>
          <w:szCs w:val="22"/>
        </w:rPr>
        <w:t xml:space="preserve"> the </w:t>
      </w:r>
      <w:r w:rsidR="00D10112" w:rsidRPr="001F4C95">
        <w:rPr>
          <w:rFonts w:ascii="Arial" w:hAnsi="Arial" w:cs="Arial"/>
          <w:iCs/>
          <w:sz w:val="22"/>
          <w:szCs w:val="22"/>
        </w:rPr>
        <w:t xml:space="preserve">Project </w:t>
      </w:r>
      <w:r w:rsidR="00356EA3">
        <w:rPr>
          <w:rFonts w:ascii="Arial" w:hAnsi="Arial" w:cs="Arial"/>
          <w:iCs/>
          <w:sz w:val="22"/>
          <w:szCs w:val="22"/>
        </w:rPr>
        <w:t>“</w:t>
      </w:r>
      <w:r w:rsidR="00AE2425" w:rsidRPr="00AE2425">
        <w:rPr>
          <w:rFonts w:ascii="Arial" w:hAnsi="Arial" w:cs="Arial"/>
          <w:iCs/>
          <w:sz w:val="22"/>
          <w:szCs w:val="22"/>
        </w:rPr>
        <w:t>Registration of the Collective Marks of Local Enterprises as a Cross-Cutting Economic Development Issue</w:t>
      </w:r>
      <w:r w:rsidR="00356EA3">
        <w:rPr>
          <w:rFonts w:ascii="Arial" w:hAnsi="Arial" w:cs="Arial"/>
          <w:iCs/>
          <w:sz w:val="22"/>
          <w:szCs w:val="22"/>
        </w:rPr>
        <w:t>”</w:t>
      </w:r>
      <w:r w:rsidR="006D2CB2">
        <w:rPr>
          <w:rFonts w:ascii="Arial" w:hAnsi="Arial" w:cs="Arial"/>
          <w:sz w:val="22"/>
          <w:szCs w:val="22"/>
        </w:rPr>
        <w:t>,</w:t>
      </w:r>
      <w:r w:rsidRPr="00712C30">
        <w:rPr>
          <w:rFonts w:ascii="Arial" w:hAnsi="Arial" w:cs="Arial"/>
          <w:sz w:val="22"/>
          <w:szCs w:val="22"/>
        </w:rPr>
        <w:t xml:space="preserve"> undertaken </w:t>
      </w:r>
      <w:r>
        <w:rPr>
          <w:rFonts w:ascii="Arial" w:hAnsi="Arial" w:cs="Arial"/>
          <w:sz w:val="22"/>
          <w:szCs w:val="22"/>
        </w:rPr>
        <w:t xml:space="preserve">by </w:t>
      </w:r>
      <w:r w:rsidR="00876F38">
        <w:rPr>
          <w:rFonts w:ascii="Arial" w:hAnsi="Arial" w:cs="Arial"/>
          <w:sz w:val="22"/>
          <w:szCs w:val="22"/>
        </w:rPr>
        <w:t>D</w:t>
      </w:r>
      <w:r w:rsidR="00287CBE">
        <w:rPr>
          <w:rFonts w:ascii="Arial" w:hAnsi="Arial" w:cs="Arial"/>
          <w:sz w:val="22"/>
          <w:szCs w:val="22"/>
        </w:rPr>
        <w:t xml:space="preserve">r. </w:t>
      </w:r>
      <w:r w:rsidRPr="00712C30">
        <w:rPr>
          <w:rFonts w:ascii="Arial" w:hAnsi="Arial" w:cs="Arial"/>
          <w:sz w:val="22"/>
          <w:szCs w:val="22"/>
        </w:rPr>
        <w:t>Gle</w:t>
      </w:r>
      <w:r w:rsidR="00A718B2">
        <w:rPr>
          <w:rFonts w:ascii="Arial" w:hAnsi="Arial" w:cs="Arial"/>
          <w:sz w:val="22"/>
          <w:szCs w:val="22"/>
        </w:rPr>
        <w:t>n</w:t>
      </w:r>
      <w:r w:rsidRPr="00712C30">
        <w:rPr>
          <w:rFonts w:ascii="Arial" w:hAnsi="Arial" w:cs="Arial"/>
          <w:sz w:val="22"/>
          <w:szCs w:val="22"/>
        </w:rPr>
        <w:t>n O’</w:t>
      </w:r>
      <w:r>
        <w:rPr>
          <w:rFonts w:ascii="Arial" w:hAnsi="Arial" w:cs="Arial"/>
          <w:sz w:val="22"/>
          <w:szCs w:val="22"/>
        </w:rPr>
        <w:t>Neil, Founder, Owl RE,</w:t>
      </w:r>
      <w:r w:rsidRPr="00712C30">
        <w:rPr>
          <w:rFonts w:ascii="Arial" w:hAnsi="Arial" w:cs="Arial"/>
          <w:sz w:val="22"/>
          <w:szCs w:val="22"/>
        </w:rPr>
        <w:t xml:space="preserve"> Geneva.</w:t>
      </w:r>
    </w:p>
    <w:p w14:paraId="75587697" w14:textId="77777777" w:rsidR="004907DF" w:rsidRDefault="004907DF" w:rsidP="004907DF"/>
    <w:p w14:paraId="5DCA84FA" w14:textId="3CE46972" w:rsidR="004907DF" w:rsidRPr="004907DF" w:rsidRDefault="004907DF" w:rsidP="00936D12">
      <w:pPr>
        <w:pStyle w:val="Endofdocument-Annex"/>
        <w:tabs>
          <w:tab w:val="left" w:pos="567"/>
        </w:tabs>
        <w:spacing w:after="720"/>
        <w:ind w:left="4954"/>
        <w:rPr>
          <w:i/>
          <w:iCs/>
          <w:szCs w:val="22"/>
        </w:rPr>
      </w:pPr>
      <w:r w:rsidRPr="004907DF">
        <w:rPr>
          <w:i/>
          <w:iCs/>
          <w:szCs w:val="22"/>
        </w:rPr>
        <w:t>The CDIP is invited to take note of the information contained in the Annex to this document.</w:t>
      </w:r>
    </w:p>
    <w:p w14:paraId="0F602981" w14:textId="77777777" w:rsidR="00FB6E4B" w:rsidRPr="004907DF" w:rsidRDefault="004907DF" w:rsidP="00D52C4D">
      <w:pPr>
        <w:tabs>
          <w:tab w:val="left" w:pos="4950"/>
        </w:tabs>
      </w:pPr>
      <w:r w:rsidRPr="004907DF">
        <w:tab/>
        <w:t>[</w:t>
      </w:r>
      <w:r w:rsidRPr="004907DF">
        <w:rPr>
          <w:rStyle w:val="Endofdocument-AnnexChar"/>
        </w:rPr>
        <w:t>Annex</w:t>
      </w:r>
      <w:r w:rsidRPr="004907DF">
        <w:t xml:space="preserve"> follows]</w:t>
      </w:r>
    </w:p>
    <w:p w14:paraId="7724EE3C" w14:textId="77777777" w:rsidR="00FB6E4B" w:rsidRPr="004907DF" w:rsidRDefault="00FB6E4B"/>
    <w:p w14:paraId="5ED472B9" w14:textId="77777777" w:rsidR="00FB6E4B" w:rsidRDefault="00FB6E4B"/>
    <w:p w14:paraId="17421806" w14:textId="77777777" w:rsidR="00FB6E4B" w:rsidRDefault="00FB6E4B"/>
    <w:p w14:paraId="5DA05879" w14:textId="77777777" w:rsidR="00FB6E4B" w:rsidRDefault="00FB6E4B"/>
    <w:p w14:paraId="6B6EFFEF" w14:textId="77777777" w:rsidR="00FB6E4B" w:rsidRDefault="00FB6E4B"/>
    <w:p w14:paraId="1C5D55D5" w14:textId="77777777" w:rsidR="00FB6E4B" w:rsidRDefault="00FB6E4B"/>
    <w:p w14:paraId="43B29655" w14:textId="77777777" w:rsidR="00FB6E4B" w:rsidRDefault="00FB6E4B"/>
    <w:p w14:paraId="353E1F6F" w14:textId="77777777" w:rsidR="00FB6E4B" w:rsidRDefault="00FB6E4B"/>
    <w:p w14:paraId="2B48B606" w14:textId="77777777" w:rsidR="00FB6E4B" w:rsidRDefault="00FB6E4B"/>
    <w:p w14:paraId="1F7BCFB6" w14:textId="77777777" w:rsidR="00FB6E4B" w:rsidRDefault="00FB6E4B">
      <w:pPr>
        <w:sectPr w:rsidR="00FB6E4B" w:rsidSect="00852F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BDC3030" w14:textId="77777777" w:rsidR="00FB6E4B" w:rsidRDefault="00FB6E4B"/>
    <w:p w14:paraId="79318EAE" w14:textId="77777777" w:rsidR="00576B83" w:rsidRDefault="00576B83" w:rsidP="00692329">
      <w:pPr>
        <w:jc w:val="center"/>
        <w:rPr>
          <w:b/>
          <w:sz w:val="24"/>
          <w:szCs w:val="24"/>
        </w:rPr>
      </w:pPr>
      <w:bookmarkStart w:id="13" w:name="_Toc336032059"/>
    </w:p>
    <w:p w14:paraId="7D3BA31E" w14:textId="77777777" w:rsidR="00576B83" w:rsidRDefault="00576B83" w:rsidP="00692329">
      <w:pPr>
        <w:jc w:val="center"/>
        <w:rPr>
          <w:b/>
          <w:sz w:val="24"/>
          <w:szCs w:val="24"/>
        </w:rPr>
      </w:pPr>
    </w:p>
    <w:p w14:paraId="73EDA41D" w14:textId="77777777" w:rsidR="00FB6E4B" w:rsidRPr="00692329" w:rsidRDefault="00FB6E4B" w:rsidP="00692329">
      <w:pPr>
        <w:jc w:val="center"/>
        <w:rPr>
          <w:b/>
          <w:sz w:val="24"/>
          <w:szCs w:val="24"/>
        </w:rPr>
      </w:pPr>
      <w:r w:rsidRPr="00692329">
        <w:rPr>
          <w:b/>
          <w:sz w:val="24"/>
          <w:szCs w:val="24"/>
        </w:rPr>
        <w:t>Table of contents</w:t>
      </w:r>
      <w:bookmarkEnd w:id="13"/>
    </w:p>
    <w:p w14:paraId="7EBDF43A" w14:textId="77777777" w:rsidR="00FB6E4B" w:rsidRDefault="00FB6E4B" w:rsidP="00FB6E4B"/>
    <w:p w14:paraId="584F5379" w14:textId="5BAC3FC8" w:rsidR="001D1E07" w:rsidRPr="004A4DCB" w:rsidRDefault="00733963">
      <w:pPr>
        <w:pStyle w:val="TOC1"/>
        <w:tabs>
          <w:tab w:val="right" w:pos="9345"/>
        </w:tabs>
        <w:rPr>
          <w:rFonts w:ascii="Calibri" w:eastAsia="Times New Roman" w:hAnsi="Calibri" w:cs="Times New Roman"/>
          <w:noProof/>
          <w:szCs w:val="22"/>
          <w:lang w:val="en-GB" w:eastAsia="en-GB"/>
        </w:rPr>
      </w:pPr>
      <w:r w:rsidRPr="0034060B">
        <w:fldChar w:fldCharType="begin"/>
      </w:r>
      <w:r w:rsidRPr="0034060B">
        <w:instrText xml:space="preserve"> TOC \o "1-3" \h \z </w:instrText>
      </w:r>
      <w:r w:rsidRPr="0034060B">
        <w:fldChar w:fldCharType="separate"/>
      </w:r>
      <w:hyperlink w:anchor="_Toc18392473" w:history="1">
        <w:r w:rsidR="001D1E07" w:rsidRPr="00226406">
          <w:rPr>
            <w:rStyle w:val="Hyperlink"/>
            <w:noProof/>
          </w:rPr>
          <w:t>Executive summary</w:t>
        </w:r>
        <w:r w:rsidR="001D1E07">
          <w:rPr>
            <w:noProof/>
            <w:webHidden/>
          </w:rPr>
          <w:tab/>
        </w:r>
        <w:r w:rsidR="001D1E07">
          <w:rPr>
            <w:noProof/>
            <w:webHidden/>
          </w:rPr>
          <w:fldChar w:fldCharType="begin"/>
        </w:r>
        <w:r w:rsidR="001D1E07">
          <w:rPr>
            <w:noProof/>
            <w:webHidden/>
          </w:rPr>
          <w:instrText xml:space="preserve"> PAGEREF _Toc18392473 \h </w:instrText>
        </w:r>
        <w:r w:rsidR="001D1E07">
          <w:rPr>
            <w:noProof/>
            <w:webHidden/>
          </w:rPr>
        </w:r>
        <w:r w:rsidR="001D1E07">
          <w:rPr>
            <w:noProof/>
            <w:webHidden/>
          </w:rPr>
          <w:fldChar w:fldCharType="separate"/>
        </w:r>
        <w:r w:rsidR="002B1357">
          <w:rPr>
            <w:noProof/>
            <w:webHidden/>
          </w:rPr>
          <w:t>2</w:t>
        </w:r>
        <w:r w:rsidR="001D1E07">
          <w:rPr>
            <w:noProof/>
            <w:webHidden/>
          </w:rPr>
          <w:fldChar w:fldCharType="end"/>
        </w:r>
      </w:hyperlink>
    </w:p>
    <w:p w14:paraId="76423347" w14:textId="77777777" w:rsidR="001D1E07" w:rsidRDefault="001D1E07">
      <w:pPr>
        <w:pStyle w:val="TOC1"/>
        <w:tabs>
          <w:tab w:val="right" w:pos="9345"/>
        </w:tabs>
        <w:rPr>
          <w:rStyle w:val="Hyperlink"/>
          <w:noProof/>
        </w:rPr>
      </w:pPr>
    </w:p>
    <w:p w14:paraId="64B62154" w14:textId="7A331F76"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74" w:history="1">
        <w:r w:rsidR="001D1E07" w:rsidRPr="00226406">
          <w:rPr>
            <w:rStyle w:val="Hyperlink"/>
            <w:noProof/>
          </w:rPr>
          <w:t>I. Introduction</w:t>
        </w:r>
        <w:r w:rsidR="001D1E07">
          <w:rPr>
            <w:noProof/>
            <w:webHidden/>
          </w:rPr>
          <w:tab/>
        </w:r>
        <w:r w:rsidR="001D1E07">
          <w:rPr>
            <w:noProof/>
            <w:webHidden/>
          </w:rPr>
          <w:fldChar w:fldCharType="begin"/>
        </w:r>
        <w:r w:rsidR="001D1E07">
          <w:rPr>
            <w:noProof/>
            <w:webHidden/>
          </w:rPr>
          <w:instrText xml:space="preserve"> PAGEREF _Toc18392474 \h </w:instrText>
        </w:r>
        <w:r w:rsidR="001D1E07">
          <w:rPr>
            <w:noProof/>
            <w:webHidden/>
          </w:rPr>
        </w:r>
        <w:r w:rsidR="001D1E07">
          <w:rPr>
            <w:noProof/>
            <w:webHidden/>
          </w:rPr>
          <w:fldChar w:fldCharType="separate"/>
        </w:r>
        <w:r w:rsidR="002B1357">
          <w:rPr>
            <w:noProof/>
            <w:webHidden/>
          </w:rPr>
          <w:t>6</w:t>
        </w:r>
        <w:r w:rsidR="001D1E07">
          <w:rPr>
            <w:noProof/>
            <w:webHidden/>
          </w:rPr>
          <w:fldChar w:fldCharType="end"/>
        </w:r>
      </w:hyperlink>
    </w:p>
    <w:p w14:paraId="3A297B24" w14:textId="53667799"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75" w:history="1">
        <w:r w:rsidR="001D1E07" w:rsidRPr="00226406">
          <w:rPr>
            <w:rStyle w:val="Hyperlink"/>
            <w:noProof/>
          </w:rPr>
          <w:t>II. Description of the project</w:t>
        </w:r>
        <w:r w:rsidR="001D1E07">
          <w:rPr>
            <w:noProof/>
            <w:webHidden/>
          </w:rPr>
          <w:tab/>
        </w:r>
        <w:r w:rsidR="001D1E07">
          <w:rPr>
            <w:noProof/>
            <w:webHidden/>
          </w:rPr>
          <w:fldChar w:fldCharType="begin"/>
        </w:r>
        <w:r w:rsidR="001D1E07">
          <w:rPr>
            <w:noProof/>
            <w:webHidden/>
          </w:rPr>
          <w:instrText xml:space="preserve"> PAGEREF _Toc18392475 \h </w:instrText>
        </w:r>
        <w:r w:rsidR="001D1E07">
          <w:rPr>
            <w:noProof/>
            <w:webHidden/>
          </w:rPr>
        </w:r>
        <w:r w:rsidR="001D1E07">
          <w:rPr>
            <w:noProof/>
            <w:webHidden/>
          </w:rPr>
          <w:fldChar w:fldCharType="separate"/>
        </w:r>
        <w:r w:rsidR="002B1357">
          <w:rPr>
            <w:noProof/>
            <w:webHidden/>
          </w:rPr>
          <w:t>6</w:t>
        </w:r>
        <w:r w:rsidR="001D1E07">
          <w:rPr>
            <w:noProof/>
            <w:webHidden/>
          </w:rPr>
          <w:fldChar w:fldCharType="end"/>
        </w:r>
      </w:hyperlink>
    </w:p>
    <w:p w14:paraId="6465F5EF" w14:textId="3067E13F"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76" w:history="1">
        <w:r w:rsidR="001D1E07" w:rsidRPr="00226406">
          <w:rPr>
            <w:rStyle w:val="Hyperlink"/>
            <w:noProof/>
          </w:rPr>
          <w:t>III. Overview of evaluation criteria and methodology</w:t>
        </w:r>
        <w:r w:rsidR="001D1E07">
          <w:rPr>
            <w:noProof/>
            <w:webHidden/>
          </w:rPr>
          <w:tab/>
        </w:r>
        <w:r w:rsidR="001D1E07">
          <w:rPr>
            <w:noProof/>
            <w:webHidden/>
          </w:rPr>
          <w:fldChar w:fldCharType="begin"/>
        </w:r>
        <w:r w:rsidR="001D1E07">
          <w:rPr>
            <w:noProof/>
            <w:webHidden/>
          </w:rPr>
          <w:instrText xml:space="preserve"> PAGEREF _Toc18392476 \h </w:instrText>
        </w:r>
        <w:r w:rsidR="001D1E07">
          <w:rPr>
            <w:noProof/>
            <w:webHidden/>
          </w:rPr>
        </w:r>
        <w:r w:rsidR="001D1E07">
          <w:rPr>
            <w:noProof/>
            <w:webHidden/>
          </w:rPr>
          <w:fldChar w:fldCharType="separate"/>
        </w:r>
        <w:r w:rsidR="002B1357">
          <w:rPr>
            <w:noProof/>
            <w:webHidden/>
          </w:rPr>
          <w:t>6</w:t>
        </w:r>
        <w:r w:rsidR="001D1E07">
          <w:rPr>
            <w:noProof/>
            <w:webHidden/>
          </w:rPr>
          <w:fldChar w:fldCharType="end"/>
        </w:r>
      </w:hyperlink>
    </w:p>
    <w:p w14:paraId="3698B435" w14:textId="4E9D4DC6"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77" w:history="1">
        <w:r w:rsidR="001D1E07" w:rsidRPr="00226406">
          <w:rPr>
            <w:rStyle w:val="Hyperlink"/>
            <w:noProof/>
          </w:rPr>
          <w:t>IV. Key findings</w:t>
        </w:r>
        <w:r w:rsidR="001D1E07">
          <w:rPr>
            <w:noProof/>
            <w:webHidden/>
          </w:rPr>
          <w:tab/>
        </w:r>
        <w:r w:rsidR="001D1E07">
          <w:rPr>
            <w:noProof/>
            <w:webHidden/>
          </w:rPr>
          <w:fldChar w:fldCharType="begin"/>
        </w:r>
        <w:r w:rsidR="001D1E07">
          <w:rPr>
            <w:noProof/>
            <w:webHidden/>
          </w:rPr>
          <w:instrText xml:space="preserve"> PAGEREF _Toc18392477 \h </w:instrText>
        </w:r>
        <w:r w:rsidR="001D1E07">
          <w:rPr>
            <w:noProof/>
            <w:webHidden/>
          </w:rPr>
        </w:r>
        <w:r w:rsidR="001D1E07">
          <w:rPr>
            <w:noProof/>
            <w:webHidden/>
          </w:rPr>
          <w:fldChar w:fldCharType="separate"/>
        </w:r>
        <w:r w:rsidR="002B1357">
          <w:rPr>
            <w:noProof/>
            <w:webHidden/>
          </w:rPr>
          <w:t>7</w:t>
        </w:r>
        <w:r w:rsidR="001D1E07">
          <w:rPr>
            <w:noProof/>
            <w:webHidden/>
          </w:rPr>
          <w:fldChar w:fldCharType="end"/>
        </w:r>
      </w:hyperlink>
    </w:p>
    <w:p w14:paraId="1B461BB0" w14:textId="1875B493" w:rsidR="001D1E07" w:rsidRPr="004A4DCB" w:rsidRDefault="00B137FE">
      <w:pPr>
        <w:pStyle w:val="TOC2"/>
        <w:tabs>
          <w:tab w:val="right" w:pos="9345"/>
        </w:tabs>
        <w:rPr>
          <w:rFonts w:ascii="Calibri" w:hAnsi="Calibri"/>
          <w:noProof/>
          <w:szCs w:val="22"/>
          <w:lang w:val="en-GB" w:eastAsia="en-GB"/>
        </w:rPr>
      </w:pPr>
      <w:hyperlink w:anchor="_Toc18392478" w:history="1">
        <w:r w:rsidR="001D1E07" w:rsidRPr="00226406">
          <w:rPr>
            <w:rStyle w:val="Hyperlink"/>
            <w:noProof/>
            <w:lang w:val="en-GB"/>
          </w:rPr>
          <w:t>A. Project Design and Management</w:t>
        </w:r>
        <w:r w:rsidR="001D1E07">
          <w:rPr>
            <w:noProof/>
            <w:webHidden/>
          </w:rPr>
          <w:tab/>
        </w:r>
        <w:r w:rsidR="001D1E07">
          <w:rPr>
            <w:noProof/>
            <w:webHidden/>
          </w:rPr>
          <w:fldChar w:fldCharType="begin"/>
        </w:r>
        <w:r w:rsidR="001D1E07">
          <w:rPr>
            <w:noProof/>
            <w:webHidden/>
          </w:rPr>
          <w:instrText xml:space="preserve"> PAGEREF _Toc18392478 \h </w:instrText>
        </w:r>
        <w:r w:rsidR="001D1E07">
          <w:rPr>
            <w:noProof/>
            <w:webHidden/>
          </w:rPr>
        </w:r>
        <w:r w:rsidR="001D1E07">
          <w:rPr>
            <w:noProof/>
            <w:webHidden/>
          </w:rPr>
          <w:fldChar w:fldCharType="separate"/>
        </w:r>
        <w:r w:rsidR="002B1357">
          <w:rPr>
            <w:noProof/>
            <w:webHidden/>
          </w:rPr>
          <w:t>7</w:t>
        </w:r>
        <w:r w:rsidR="001D1E07">
          <w:rPr>
            <w:noProof/>
            <w:webHidden/>
          </w:rPr>
          <w:fldChar w:fldCharType="end"/>
        </w:r>
      </w:hyperlink>
    </w:p>
    <w:p w14:paraId="6BA0FEE2" w14:textId="09429B09" w:rsidR="001D1E07" w:rsidRPr="004A4DCB" w:rsidRDefault="00B137FE">
      <w:pPr>
        <w:pStyle w:val="TOC2"/>
        <w:tabs>
          <w:tab w:val="right" w:pos="9345"/>
        </w:tabs>
        <w:rPr>
          <w:rFonts w:ascii="Calibri" w:hAnsi="Calibri"/>
          <w:noProof/>
          <w:szCs w:val="22"/>
          <w:lang w:val="en-GB" w:eastAsia="en-GB"/>
        </w:rPr>
      </w:pPr>
      <w:hyperlink w:anchor="_Toc18392479" w:history="1">
        <w:r w:rsidR="001D1E07" w:rsidRPr="00226406">
          <w:rPr>
            <w:rStyle w:val="Hyperlink"/>
            <w:noProof/>
          </w:rPr>
          <w:t>B. Effectiveness of the project</w:t>
        </w:r>
        <w:r w:rsidR="001D1E07">
          <w:rPr>
            <w:noProof/>
            <w:webHidden/>
          </w:rPr>
          <w:tab/>
        </w:r>
        <w:r w:rsidR="001D1E07">
          <w:rPr>
            <w:noProof/>
            <w:webHidden/>
          </w:rPr>
          <w:fldChar w:fldCharType="begin"/>
        </w:r>
        <w:r w:rsidR="001D1E07">
          <w:rPr>
            <w:noProof/>
            <w:webHidden/>
          </w:rPr>
          <w:instrText xml:space="preserve"> PAGEREF _Toc18392479 \h </w:instrText>
        </w:r>
        <w:r w:rsidR="001D1E07">
          <w:rPr>
            <w:noProof/>
            <w:webHidden/>
          </w:rPr>
        </w:r>
        <w:r w:rsidR="001D1E07">
          <w:rPr>
            <w:noProof/>
            <w:webHidden/>
          </w:rPr>
          <w:fldChar w:fldCharType="separate"/>
        </w:r>
        <w:r w:rsidR="002B1357">
          <w:rPr>
            <w:noProof/>
            <w:webHidden/>
          </w:rPr>
          <w:t>9</w:t>
        </w:r>
        <w:r w:rsidR="001D1E07">
          <w:rPr>
            <w:noProof/>
            <w:webHidden/>
          </w:rPr>
          <w:fldChar w:fldCharType="end"/>
        </w:r>
      </w:hyperlink>
    </w:p>
    <w:p w14:paraId="1A5F1D0A" w14:textId="1E8F5FFD" w:rsidR="001D1E07" w:rsidRPr="004A4DCB" w:rsidRDefault="00B137FE">
      <w:pPr>
        <w:pStyle w:val="TOC2"/>
        <w:tabs>
          <w:tab w:val="right" w:pos="9345"/>
        </w:tabs>
        <w:rPr>
          <w:rFonts w:ascii="Calibri" w:hAnsi="Calibri"/>
          <w:noProof/>
          <w:szCs w:val="22"/>
          <w:lang w:val="en-GB" w:eastAsia="en-GB"/>
        </w:rPr>
      </w:pPr>
      <w:hyperlink w:anchor="_Toc18392480" w:history="1">
        <w:r w:rsidR="001D1E07" w:rsidRPr="00226406">
          <w:rPr>
            <w:rStyle w:val="Hyperlink"/>
            <w:noProof/>
          </w:rPr>
          <w:t>C. Sustainability</w:t>
        </w:r>
        <w:r w:rsidR="001D1E07">
          <w:rPr>
            <w:noProof/>
            <w:webHidden/>
          </w:rPr>
          <w:tab/>
        </w:r>
        <w:r w:rsidR="001D1E07">
          <w:rPr>
            <w:noProof/>
            <w:webHidden/>
          </w:rPr>
          <w:fldChar w:fldCharType="begin"/>
        </w:r>
        <w:r w:rsidR="001D1E07">
          <w:rPr>
            <w:noProof/>
            <w:webHidden/>
          </w:rPr>
          <w:instrText xml:space="preserve"> PAGEREF _Toc18392480 \h </w:instrText>
        </w:r>
        <w:r w:rsidR="001D1E07">
          <w:rPr>
            <w:noProof/>
            <w:webHidden/>
          </w:rPr>
        </w:r>
        <w:r w:rsidR="001D1E07">
          <w:rPr>
            <w:noProof/>
            <w:webHidden/>
          </w:rPr>
          <w:fldChar w:fldCharType="separate"/>
        </w:r>
        <w:r w:rsidR="002B1357">
          <w:rPr>
            <w:noProof/>
            <w:webHidden/>
          </w:rPr>
          <w:t>12</w:t>
        </w:r>
        <w:r w:rsidR="001D1E07">
          <w:rPr>
            <w:noProof/>
            <w:webHidden/>
          </w:rPr>
          <w:fldChar w:fldCharType="end"/>
        </w:r>
      </w:hyperlink>
    </w:p>
    <w:p w14:paraId="4DE9C2B4" w14:textId="3A80F09E" w:rsidR="001D1E07" w:rsidRPr="004A4DCB" w:rsidRDefault="00B137FE">
      <w:pPr>
        <w:pStyle w:val="TOC2"/>
        <w:tabs>
          <w:tab w:val="right" w:pos="9345"/>
        </w:tabs>
        <w:rPr>
          <w:rFonts w:ascii="Calibri" w:hAnsi="Calibri"/>
          <w:noProof/>
          <w:szCs w:val="22"/>
          <w:lang w:val="en-GB" w:eastAsia="en-GB"/>
        </w:rPr>
      </w:pPr>
      <w:hyperlink w:anchor="_Toc18392481" w:history="1">
        <w:r w:rsidR="001D1E07" w:rsidRPr="00226406">
          <w:rPr>
            <w:rStyle w:val="Hyperlink"/>
            <w:noProof/>
          </w:rPr>
          <w:t>D. Implementation of Development Agenda (DA) Recommendations</w:t>
        </w:r>
        <w:r w:rsidR="001D1E07">
          <w:rPr>
            <w:noProof/>
            <w:webHidden/>
          </w:rPr>
          <w:tab/>
        </w:r>
        <w:r w:rsidR="001D1E07">
          <w:rPr>
            <w:noProof/>
            <w:webHidden/>
          </w:rPr>
          <w:fldChar w:fldCharType="begin"/>
        </w:r>
        <w:r w:rsidR="001D1E07">
          <w:rPr>
            <w:noProof/>
            <w:webHidden/>
          </w:rPr>
          <w:instrText xml:space="preserve"> PAGEREF _Toc18392481 \h </w:instrText>
        </w:r>
        <w:r w:rsidR="001D1E07">
          <w:rPr>
            <w:noProof/>
            <w:webHidden/>
          </w:rPr>
        </w:r>
        <w:r w:rsidR="001D1E07">
          <w:rPr>
            <w:noProof/>
            <w:webHidden/>
          </w:rPr>
          <w:fldChar w:fldCharType="separate"/>
        </w:r>
        <w:r w:rsidR="002B1357">
          <w:rPr>
            <w:noProof/>
            <w:webHidden/>
          </w:rPr>
          <w:t>13</w:t>
        </w:r>
        <w:r w:rsidR="001D1E07">
          <w:rPr>
            <w:noProof/>
            <w:webHidden/>
          </w:rPr>
          <w:fldChar w:fldCharType="end"/>
        </w:r>
      </w:hyperlink>
    </w:p>
    <w:p w14:paraId="1BDF4477" w14:textId="130DF9A1"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82" w:history="1">
        <w:r w:rsidR="001D1E07" w:rsidRPr="00226406">
          <w:rPr>
            <w:rStyle w:val="Hyperlink"/>
            <w:noProof/>
          </w:rPr>
          <w:t>V. Conclusions and recommendations</w:t>
        </w:r>
        <w:r w:rsidR="001D1E07">
          <w:rPr>
            <w:noProof/>
            <w:webHidden/>
          </w:rPr>
          <w:tab/>
        </w:r>
        <w:r w:rsidR="001D1E07">
          <w:rPr>
            <w:noProof/>
            <w:webHidden/>
          </w:rPr>
          <w:fldChar w:fldCharType="begin"/>
        </w:r>
        <w:r w:rsidR="001D1E07">
          <w:rPr>
            <w:noProof/>
            <w:webHidden/>
          </w:rPr>
          <w:instrText xml:space="preserve"> PAGEREF _Toc18392482 \h </w:instrText>
        </w:r>
        <w:r w:rsidR="001D1E07">
          <w:rPr>
            <w:noProof/>
            <w:webHidden/>
          </w:rPr>
        </w:r>
        <w:r w:rsidR="001D1E07">
          <w:rPr>
            <w:noProof/>
            <w:webHidden/>
          </w:rPr>
          <w:fldChar w:fldCharType="separate"/>
        </w:r>
        <w:r w:rsidR="002B1357">
          <w:rPr>
            <w:noProof/>
            <w:webHidden/>
          </w:rPr>
          <w:t>13</w:t>
        </w:r>
        <w:r w:rsidR="001D1E07">
          <w:rPr>
            <w:noProof/>
            <w:webHidden/>
          </w:rPr>
          <w:fldChar w:fldCharType="end"/>
        </w:r>
      </w:hyperlink>
    </w:p>
    <w:p w14:paraId="5F52513C" w14:textId="77777777" w:rsidR="001D1E07" w:rsidRDefault="001D1E07">
      <w:pPr>
        <w:pStyle w:val="TOC1"/>
        <w:tabs>
          <w:tab w:val="right" w:pos="9345"/>
        </w:tabs>
        <w:rPr>
          <w:rStyle w:val="Hyperlink"/>
          <w:noProof/>
        </w:rPr>
      </w:pPr>
    </w:p>
    <w:p w14:paraId="45A1DFB1" w14:textId="3AF141F5" w:rsidR="000607D5" w:rsidRPr="000607D5" w:rsidRDefault="000607D5" w:rsidP="000607D5">
      <w:pPr>
        <w:rPr>
          <w:b/>
          <w:bCs/>
          <w:noProof/>
        </w:rPr>
      </w:pPr>
      <w:r w:rsidRPr="000607D5">
        <w:rPr>
          <w:b/>
          <w:bCs/>
          <w:noProof/>
        </w:rPr>
        <w:t>A</w:t>
      </w:r>
      <w:r w:rsidR="007E6ED1">
        <w:rPr>
          <w:b/>
          <w:bCs/>
          <w:noProof/>
        </w:rPr>
        <w:t>ppendixes</w:t>
      </w:r>
    </w:p>
    <w:p w14:paraId="740359FD" w14:textId="1A046FE5"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83" w:history="1">
        <w:r w:rsidR="001D1E07" w:rsidRPr="00226406">
          <w:rPr>
            <w:rStyle w:val="Hyperlink"/>
            <w:noProof/>
          </w:rPr>
          <w:t>Appendix I:  Persons interviewed/consulted</w:t>
        </w:r>
        <w:r w:rsidR="001D1E07">
          <w:rPr>
            <w:noProof/>
            <w:webHidden/>
          </w:rPr>
          <w:tab/>
        </w:r>
      </w:hyperlink>
    </w:p>
    <w:p w14:paraId="3FA02E07" w14:textId="7CCAAF90"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84" w:history="1">
        <w:r w:rsidR="001D1E07" w:rsidRPr="00226406">
          <w:rPr>
            <w:rStyle w:val="Hyperlink"/>
            <w:noProof/>
            <w:lang w:val="en-GB"/>
          </w:rPr>
          <w:t>Appendix II:  Documents consulted</w:t>
        </w:r>
        <w:r w:rsidR="001D1E07">
          <w:rPr>
            <w:noProof/>
            <w:webHidden/>
          </w:rPr>
          <w:tab/>
        </w:r>
      </w:hyperlink>
    </w:p>
    <w:p w14:paraId="7F12AAC4" w14:textId="465557D7" w:rsidR="001D1E07" w:rsidRPr="004A4DCB" w:rsidRDefault="00B137FE">
      <w:pPr>
        <w:pStyle w:val="TOC1"/>
        <w:tabs>
          <w:tab w:val="right" w:pos="9345"/>
        </w:tabs>
        <w:rPr>
          <w:rFonts w:ascii="Calibri" w:eastAsia="Times New Roman" w:hAnsi="Calibri" w:cs="Times New Roman"/>
          <w:noProof/>
          <w:szCs w:val="22"/>
          <w:lang w:val="en-GB" w:eastAsia="en-GB"/>
        </w:rPr>
      </w:pPr>
      <w:hyperlink w:anchor="_Toc18392485" w:history="1">
        <w:r w:rsidR="001D1E07" w:rsidRPr="00226406">
          <w:rPr>
            <w:rStyle w:val="Hyperlink"/>
            <w:noProof/>
          </w:rPr>
          <w:t>Appendix III:  Inception report</w:t>
        </w:r>
        <w:r w:rsidR="001D1E07">
          <w:rPr>
            <w:noProof/>
            <w:webHidden/>
          </w:rPr>
          <w:tab/>
        </w:r>
      </w:hyperlink>
    </w:p>
    <w:p w14:paraId="0A2E1472" w14:textId="77777777" w:rsidR="00733963" w:rsidRDefault="00733963" w:rsidP="00733963">
      <w:pPr>
        <w:pStyle w:val="BodyText"/>
        <w:jc w:val="center"/>
        <w:rPr>
          <w:rFonts w:ascii="Calibri" w:hAnsi="Calibri"/>
        </w:rPr>
      </w:pPr>
      <w:r w:rsidRPr="0034060B">
        <w:rPr>
          <w:rFonts w:ascii="Calibri" w:hAnsi="Calibri"/>
        </w:rPr>
        <w:fldChar w:fldCharType="end"/>
      </w:r>
    </w:p>
    <w:p w14:paraId="24D31AFA" w14:textId="77777777" w:rsidR="00576B83" w:rsidRDefault="00576B83" w:rsidP="00733963">
      <w:pPr>
        <w:pStyle w:val="BodyText"/>
        <w:jc w:val="center"/>
        <w:rPr>
          <w:rFonts w:ascii="Calibri" w:hAnsi="Calibri"/>
        </w:rPr>
      </w:pPr>
    </w:p>
    <w:p w14:paraId="2C55822D" w14:textId="77777777" w:rsidR="00FB6E4B" w:rsidRDefault="00FB6E4B" w:rsidP="00FB6E4B">
      <w:pPr>
        <w:rPr>
          <w:b/>
          <w:caps/>
        </w:rPr>
      </w:pPr>
    </w:p>
    <w:p w14:paraId="676FBA35" w14:textId="77777777" w:rsidR="00FB6E4B" w:rsidRPr="00692329" w:rsidRDefault="00FB6E4B" w:rsidP="00692329">
      <w:pPr>
        <w:rPr>
          <w:b/>
          <w:sz w:val="24"/>
          <w:szCs w:val="24"/>
        </w:rPr>
      </w:pPr>
      <w:bookmarkStart w:id="14" w:name="_Toc336032060"/>
      <w:r w:rsidRPr="00692329">
        <w:rPr>
          <w:b/>
          <w:sz w:val="24"/>
          <w:szCs w:val="24"/>
        </w:rPr>
        <w:t xml:space="preserve">List of </w:t>
      </w:r>
      <w:r w:rsidR="00692329" w:rsidRPr="00692329">
        <w:rPr>
          <w:b/>
          <w:sz w:val="24"/>
          <w:szCs w:val="24"/>
        </w:rPr>
        <w:t>acronyms</w:t>
      </w:r>
      <w:r w:rsidRPr="00692329">
        <w:rPr>
          <w:b/>
          <w:sz w:val="24"/>
          <w:szCs w:val="24"/>
        </w:rPr>
        <w:t xml:space="preserve"> </w:t>
      </w:r>
      <w:proofErr w:type="gramStart"/>
      <w:r w:rsidRPr="00692329">
        <w:rPr>
          <w:b/>
          <w:sz w:val="24"/>
          <w:szCs w:val="24"/>
        </w:rPr>
        <w:t>used</w:t>
      </w:r>
      <w:bookmarkEnd w:id="14"/>
      <w:proofErr w:type="gramEnd"/>
    </w:p>
    <w:p w14:paraId="4447767E" w14:textId="77777777" w:rsidR="00FB6E4B" w:rsidRDefault="00FB6E4B" w:rsidP="00FB6E4B"/>
    <w:p w14:paraId="0499A78E" w14:textId="77777777" w:rsidR="00880D78" w:rsidRDefault="00880D78" w:rsidP="00FB6E4B">
      <w:pPr>
        <w:spacing w:line="276" w:lineRule="auto"/>
      </w:pPr>
    </w:p>
    <w:p w14:paraId="15BD95A8" w14:textId="77777777" w:rsidR="00FB6E4B" w:rsidRDefault="00FB6E4B" w:rsidP="00FB6E4B">
      <w:pPr>
        <w:spacing w:line="276" w:lineRule="auto"/>
        <w:rPr>
          <w:szCs w:val="22"/>
        </w:rPr>
      </w:pPr>
      <w:r>
        <w:t>CDIP</w:t>
      </w:r>
      <w:r>
        <w:tab/>
      </w:r>
      <w:r>
        <w:tab/>
      </w:r>
      <w:r>
        <w:tab/>
      </w:r>
      <w:r>
        <w:rPr>
          <w:szCs w:val="22"/>
        </w:rPr>
        <w:t>Committee on Development and Intellectual Property</w:t>
      </w:r>
    </w:p>
    <w:p w14:paraId="252301CF" w14:textId="77777777" w:rsidR="00C01E7C" w:rsidRDefault="00C01E7C" w:rsidP="00C01E7C">
      <w:r>
        <w:t>DA</w:t>
      </w:r>
      <w:r>
        <w:tab/>
      </w:r>
      <w:r>
        <w:tab/>
      </w:r>
      <w:r>
        <w:tab/>
        <w:t>Development Agenda</w:t>
      </w:r>
    </w:p>
    <w:p w14:paraId="266B566F" w14:textId="494E329D" w:rsidR="002535B5" w:rsidRDefault="002535B5" w:rsidP="002535B5">
      <w:pPr>
        <w:spacing w:line="276" w:lineRule="auto"/>
      </w:pPr>
      <w:r>
        <w:t>DACD</w:t>
      </w:r>
      <w:r>
        <w:tab/>
      </w:r>
      <w:r>
        <w:tab/>
      </w:r>
      <w:r w:rsidRPr="002535B5">
        <w:t>Development Agenda Coordination Division</w:t>
      </w:r>
    </w:p>
    <w:p w14:paraId="34E25B4C" w14:textId="77777777" w:rsidR="000154F7" w:rsidRDefault="00FB6E4B" w:rsidP="002535B5">
      <w:pPr>
        <w:spacing w:line="276" w:lineRule="auto"/>
        <w:rPr>
          <w:szCs w:val="22"/>
        </w:rPr>
      </w:pPr>
      <w:r>
        <w:t>IP</w:t>
      </w:r>
      <w:r>
        <w:tab/>
      </w:r>
      <w:r>
        <w:tab/>
      </w:r>
      <w:r>
        <w:tab/>
      </w:r>
      <w:r>
        <w:rPr>
          <w:szCs w:val="22"/>
        </w:rPr>
        <w:t>Intellectual Property</w:t>
      </w:r>
    </w:p>
    <w:p w14:paraId="4088DFB9" w14:textId="77777777" w:rsidR="00A220CB" w:rsidRDefault="000154F7" w:rsidP="002535B5">
      <w:pPr>
        <w:spacing w:line="276" w:lineRule="auto"/>
        <w:rPr>
          <w:szCs w:val="22"/>
        </w:rPr>
      </w:pPr>
      <w:r>
        <w:rPr>
          <w:szCs w:val="22"/>
        </w:rPr>
        <w:t>RNDS</w:t>
      </w:r>
      <w:r>
        <w:rPr>
          <w:szCs w:val="22"/>
        </w:rPr>
        <w:tab/>
      </w:r>
      <w:r>
        <w:rPr>
          <w:szCs w:val="22"/>
        </w:rPr>
        <w:tab/>
      </w:r>
      <w:r w:rsidRPr="000154F7">
        <w:rPr>
          <w:szCs w:val="22"/>
        </w:rPr>
        <w:t>Regional and National Development Sector</w:t>
      </w:r>
    </w:p>
    <w:p w14:paraId="4C6113F3" w14:textId="7F5CDA37" w:rsidR="00C01E7C" w:rsidRDefault="00A220CB" w:rsidP="002535B5">
      <w:pPr>
        <w:spacing w:line="276" w:lineRule="auto"/>
      </w:pPr>
      <w:r>
        <w:rPr>
          <w:szCs w:val="22"/>
        </w:rPr>
        <w:t>SMEs</w:t>
      </w:r>
      <w:r>
        <w:rPr>
          <w:szCs w:val="22"/>
        </w:rPr>
        <w:tab/>
      </w:r>
      <w:r>
        <w:rPr>
          <w:szCs w:val="22"/>
        </w:rPr>
        <w:tab/>
        <w:t xml:space="preserve">Small and medium enterprises </w:t>
      </w:r>
      <w:r w:rsidR="00FB6E4B">
        <w:rPr>
          <w:szCs w:val="22"/>
        </w:rPr>
        <w:br/>
      </w:r>
      <w:r w:rsidR="00C01E7C">
        <w:t>WIPO</w:t>
      </w:r>
      <w:r w:rsidR="00C01E7C">
        <w:tab/>
      </w:r>
      <w:r w:rsidR="00C01E7C">
        <w:tab/>
        <w:t>World Intellectual Property Organization</w:t>
      </w:r>
    </w:p>
    <w:p w14:paraId="4347354F" w14:textId="77777777" w:rsidR="00576B83" w:rsidRPr="000A3770" w:rsidRDefault="00FB6E4B" w:rsidP="00576B83">
      <w:pPr>
        <w:pStyle w:val="Heading1"/>
      </w:pPr>
      <w:r>
        <w:br w:type="page"/>
      </w:r>
      <w:bookmarkStart w:id="15" w:name="_Toc18392473"/>
      <w:bookmarkStart w:id="16" w:name="_Toc320700949"/>
      <w:bookmarkStart w:id="17" w:name="_Toc336031966"/>
      <w:bookmarkStart w:id="18" w:name="_Toc336032066"/>
      <w:r w:rsidR="00576B83">
        <w:lastRenderedPageBreak/>
        <w:t>Executive summary</w:t>
      </w:r>
      <w:bookmarkEnd w:id="15"/>
    </w:p>
    <w:bookmarkEnd w:id="16"/>
    <w:bookmarkEnd w:id="17"/>
    <w:bookmarkEnd w:id="18"/>
    <w:p w14:paraId="1DD4DDFC" w14:textId="77777777" w:rsidR="00DE1E2A" w:rsidRPr="009D6C1E" w:rsidRDefault="00DE1E2A" w:rsidP="00DE1E2A">
      <w:pPr>
        <w:autoSpaceDE w:val="0"/>
        <w:autoSpaceDN w:val="0"/>
        <w:adjustRightInd w:val="0"/>
        <w:rPr>
          <w:rFonts w:eastAsia="Times New Roman"/>
          <w:szCs w:val="22"/>
          <w:lang w:eastAsia="en-US"/>
        </w:rPr>
      </w:pPr>
    </w:p>
    <w:p w14:paraId="7425D933" w14:textId="4EB72D0F" w:rsidR="00B30770" w:rsidRDefault="00B30770" w:rsidP="00B30770">
      <w:pPr>
        <w:numPr>
          <w:ilvl w:val="0"/>
          <w:numId w:val="8"/>
        </w:numPr>
        <w:autoSpaceDE w:val="0"/>
        <w:autoSpaceDN w:val="0"/>
        <w:adjustRightInd w:val="0"/>
        <w:spacing w:after="240"/>
        <w:rPr>
          <w:iCs/>
        </w:rPr>
      </w:pPr>
      <w:r>
        <w:t xml:space="preserve">This report is an independent evaluation of the Development Agenda (DA) Project on the </w:t>
      </w:r>
      <w:r w:rsidRPr="00AE2425">
        <w:t>Registration of the Collective Marks of Local Enterprises as a Cross-Cutting Economic Development Issue</w:t>
      </w:r>
      <w:r>
        <w:t> (</w:t>
      </w:r>
      <w:hyperlink r:id="rId15" w:history="1">
        <w:r w:rsidRPr="006F0F57">
          <w:rPr>
            <w:rStyle w:val="Hyperlink"/>
            <w:rFonts w:cs="Arial"/>
            <w:iCs/>
          </w:rPr>
          <w:t>DA_1_4_10_01</w:t>
        </w:r>
      </w:hyperlink>
      <w:r>
        <w:t>).</w:t>
      </w:r>
      <w:r w:rsidR="006343E3">
        <w:t xml:space="preserve">  </w:t>
      </w:r>
      <w:r>
        <w:t xml:space="preserve">The project duration was from </w:t>
      </w:r>
      <w:r w:rsidRPr="00FC3B6B">
        <w:t>January 2021 – February</w:t>
      </w:r>
      <w:r w:rsidR="00610A92">
        <w:t> </w:t>
      </w:r>
      <w:r w:rsidRPr="00FC3B6B">
        <w:t>2024.</w:t>
      </w:r>
    </w:p>
    <w:p w14:paraId="6B0A7010" w14:textId="3A1865F5" w:rsidR="00B30770" w:rsidRDefault="00B30770" w:rsidP="00B30770">
      <w:pPr>
        <w:numPr>
          <w:ilvl w:val="0"/>
          <w:numId w:val="8"/>
        </w:numPr>
        <w:autoSpaceDE w:val="0"/>
        <w:autoSpaceDN w:val="0"/>
        <w:adjustRightInd w:val="0"/>
      </w:pPr>
      <w:r>
        <w:t>The project aimed to develop a supporting and bolstering system to facilitate the registration of the collective marks of local enterprises as a cross-cutting economic development issues.</w:t>
      </w:r>
      <w:r w:rsidR="00434059">
        <w:t xml:space="preserve"> </w:t>
      </w:r>
      <w:r w:rsidR="006343E3">
        <w:t xml:space="preserve"> </w:t>
      </w:r>
      <w:r>
        <w:t xml:space="preserve">The project was implemented in four countries: </w:t>
      </w:r>
      <w:r w:rsidR="006343E3">
        <w:t xml:space="preserve"> </w:t>
      </w:r>
      <w:r>
        <w:t xml:space="preserve">The </w:t>
      </w:r>
      <w:proofErr w:type="spellStart"/>
      <w:r w:rsidRPr="00C15076">
        <w:t>Plurinational</w:t>
      </w:r>
      <w:proofErr w:type="spellEnd"/>
      <w:r w:rsidRPr="00C15076">
        <w:t xml:space="preserve"> State of Bolivia</w:t>
      </w:r>
      <w:r>
        <w:t xml:space="preserve"> (the Member State who put forward the project proposal</w:t>
      </w:r>
      <w:r w:rsidRPr="00C15076">
        <w:t>)</w:t>
      </w:r>
      <w:r>
        <w:t xml:space="preserve">, Brazil, the Philippines and Tunisia. </w:t>
      </w:r>
      <w:r w:rsidR="006343E3">
        <w:t xml:space="preserve"> </w:t>
      </w:r>
      <w:r>
        <w:t>Key project outputs included identifying associations appropriate to use a collective mark, providing awareness raising, training and capacity building for both associations and national IP offices, and registering and launching the collective marks.</w:t>
      </w:r>
    </w:p>
    <w:p w14:paraId="3635AD7A" w14:textId="77777777" w:rsidR="00E637C5" w:rsidRDefault="00E637C5" w:rsidP="00E637C5">
      <w:pPr>
        <w:autoSpaceDE w:val="0"/>
        <w:autoSpaceDN w:val="0"/>
        <w:adjustRightInd w:val="0"/>
      </w:pPr>
    </w:p>
    <w:p w14:paraId="04FC939F" w14:textId="735C37FF" w:rsidR="00B30770" w:rsidRDefault="00B30770" w:rsidP="00E637C5">
      <w:pPr>
        <w:numPr>
          <w:ilvl w:val="0"/>
          <w:numId w:val="8"/>
        </w:numPr>
        <w:autoSpaceDE w:val="0"/>
        <w:autoSpaceDN w:val="0"/>
        <w:adjustRightInd w:val="0"/>
        <w:rPr>
          <w:iCs/>
        </w:rPr>
      </w:pPr>
      <w:r w:rsidRPr="004C7DAE">
        <w:rPr>
          <w:iCs/>
        </w:rPr>
        <w:t>The aim of this evaluation was to learn from experiences during project implementation.</w:t>
      </w:r>
      <w:r w:rsidR="00434059">
        <w:rPr>
          <w:iCs/>
        </w:rPr>
        <w:t xml:space="preserve"> </w:t>
      </w:r>
      <w:r w:rsidRPr="004C7DAE">
        <w:rPr>
          <w:iCs/>
        </w:rPr>
        <w:t>This included assessing the project management and design including monitoring and reporting tools, as well as measuring and reporting on the results achieved to date and assessing the likelihood of sustainability</w:t>
      </w:r>
      <w:r>
        <w:rPr>
          <w:iCs/>
        </w:rPr>
        <w:t xml:space="preserve">. </w:t>
      </w:r>
      <w:r w:rsidR="006343E3">
        <w:rPr>
          <w:iCs/>
        </w:rPr>
        <w:t xml:space="preserve"> </w:t>
      </w:r>
      <w:r w:rsidRPr="004C7DAE">
        <w:rPr>
          <w:iCs/>
        </w:rPr>
        <w:t xml:space="preserve">The evaluation utilized a combination of methods including a document review and interviews with </w:t>
      </w:r>
      <w:r>
        <w:rPr>
          <w:iCs/>
        </w:rPr>
        <w:t xml:space="preserve">six </w:t>
      </w:r>
      <w:r w:rsidRPr="004C7DAE">
        <w:rPr>
          <w:iCs/>
        </w:rPr>
        <w:t xml:space="preserve">staff </w:t>
      </w:r>
      <w:r w:rsidR="001060BF">
        <w:rPr>
          <w:iCs/>
        </w:rPr>
        <w:t>of</w:t>
      </w:r>
      <w:r w:rsidRPr="004C7DAE">
        <w:rPr>
          <w:iCs/>
        </w:rPr>
        <w:t xml:space="preserve"> the WIPO Secretariat (in-person and telephone) and telephone interviews with 1</w:t>
      </w:r>
      <w:r>
        <w:rPr>
          <w:iCs/>
        </w:rPr>
        <w:t>4</w:t>
      </w:r>
      <w:r w:rsidRPr="004C7DAE">
        <w:rPr>
          <w:iCs/>
        </w:rPr>
        <w:t xml:space="preserve"> stakeholders</w:t>
      </w:r>
      <w:r>
        <w:rPr>
          <w:iCs/>
        </w:rPr>
        <w:t xml:space="preserve"> in all four beneficiary countries. </w:t>
      </w:r>
    </w:p>
    <w:p w14:paraId="68B7FDBF" w14:textId="77777777" w:rsidR="00B30770" w:rsidRPr="00052FFE" w:rsidRDefault="00B30770" w:rsidP="00E637C5">
      <w:pPr>
        <w:autoSpaceDE w:val="0"/>
        <w:autoSpaceDN w:val="0"/>
        <w:adjustRightInd w:val="0"/>
        <w:spacing w:before="240" w:after="240"/>
        <w:rPr>
          <w:b/>
          <w:bCs/>
          <w:iCs/>
        </w:rPr>
      </w:pPr>
      <w:r w:rsidRPr="00052FFE">
        <w:rPr>
          <w:b/>
          <w:bCs/>
          <w:iCs/>
        </w:rPr>
        <w:t xml:space="preserve">Project design and management </w:t>
      </w:r>
    </w:p>
    <w:p w14:paraId="758E710F" w14:textId="33DD1E35" w:rsidR="00B30770" w:rsidRDefault="00B30770" w:rsidP="00B30770">
      <w:pPr>
        <w:pStyle w:val="BodyText"/>
        <w:numPr>
          <w:ilvl w:val="0"/>
          <w:numId w:val="8"/>
        </w:numPr>
        <w:tabs>
          <w:tab w:val="left" w:pos="450"/>
        </w:tabs>
        <w:spacing w:after="240"/>
      </w:pPr>
      <w:r w:rsidRPr="001D50BA">
        <w:rPr>
          <w:b/>
        </w:rPr>
        <w:t>Finding 1</w:t>
      </w:r>
      <w:r>
        <w:t>:</w:t>
      </w:r>
      <w:r w:rsidR="00434059">
        <w:t xml:space="preserve"> </w:t>
      </w:r>
      <w:r w:rsidR="006343E3">
        <w:t xml:space="preserve"> </w:t>
      </w:r>
      <w:r w:rsidRPr="00FC3B6B">
        <w:t xml:space="preserve">The project proposal document provided a description of the delivery strategy, activities, output and schedule, </w:t>
      </w:r>
      <w:proofErr w:type="gramStart"/>
      <w:r w:rsidRPr="00FC3B6B">
        <w:t>budget</w:t>
      </w:r>
      <w:proofErr w:type="gramEnd"/>
      <w:r w:rsidRPr="00FC3B6B">
        <w:t xml:space="preserve"> and monitoring indicators. </w:t>
      </w:r>
      <w:r w:rsidR="006343E3">
        <w:t xml:space="preserve"> </w:t>
      </w:r>
      <w:r w:rsidRPr="00FC3B6B">
        <w:t xml:space="preserve">It also contained a clear rationale for the project. </w:t>
      </w:r>
      <w:r w:rsidR="006343E3">
        <w:t xml:space="preserve"> </w:t>
      </w:r>
      <w:r>
        <w:t>Th</w:t>
      </w:r>
      <w:r w:rsidRPr="00FC3B6B">
        <w:t xml:space="preserve">e main deliverables of the project were those that were foreseen in the proposal document. </w:t>
      </w:r>
      <w:r w:rsidR="006343E3">
        <w:t xml:space="preserve"> </w:t>
      </w:r>
      <w:r w:rsidRPr="00FC3B6B">
        <w:t>An aspect that needed consequent adjustment was the timeline and the consequent project extension (due mainly to the COVID-19 pandemic and changes within governments of the beneficiary countries), which were not possible to foresee when the project proposal was approved in November 2019</w:t>
      </w:r>
      <w:r w:rsidR="00434059">
        <w:t xml:space="preserve">. </w:t>
      </w:r>
      <w:r w:rsidRPr="00FC3B6B">
        <w:t xml:space="preserve">    </w:t>
      </w:r>
    </w:p>
    <w:p w14:paraId="74944322" w14:textId="42AC7350" w:rsidR="00B30770" w:rsidRDefault="00B30770" w:rsidP="00E637C5">
      <w:pPr>
        <w:pStyle w:val="BodyText"/>
        <w:numPr>
          <w:ilvl w:val="0"/>
          <w:numId w:val="8"/>
        </w:numPr>
        <w:tabs>
          <w:tab w:val="clear" w:pos="567"/>
          <w:tab w:val="num" w:pos="0"/>
        </w:tabs>
        <w:spacing w:after="240"/>
      </w:pPr>
      <w:r w:rsidRPr="00281876">
        <w:rPr>
          <w:b/>
          <w:szCs w:val="22"/>
        </w:rPr>
        <w:t>Finding 2:</w:t>
      </w:r>
      <w:r w:rsidRPr="00281876">
        <w:rPr>
          <w:szCs w:val="22"/>
        </w:rPr>
        <w:t xml:space="preserve"> </w:t>
      </w:r>
      <w:r w:rsidR="006343E3">
        <w:rPr>
          <w:szCs w:val="22"/>
        </w:rPr>
        <w:t xml:space="preserve"> </w:t>
      </w:r>
      <w:r w:rsidRPr="00FC3B6B">
        <w:rPr>
          <w:szCs w:val="22"/>
        </w:rPr>
        <w:t>The project monitoring tools were appropriate for reporting to Member States at the CDIP on the overall progress of the project</w:t>
      </w:r>
      <w:r w:rsidRPr="00281876">
        <w:rPr>
          <w:szCs w:val="22"/>
        </w:rPr>
        <w:t xml:space="preserve">. </w:t>
      </w:r>
      <w:r w:rsidR="006343E3">
        <w:rPr>
          <w:szCs w:val="22"/>
        </w:rPr>
        <w:t xml:space="preserve"> </w:t>
      </w:r>
      <w:r>
        <w:t xml:space="preserve">The Secretariat presented four Progress Reports to the CDIP. </w:t>
      </w:r>
      <w:r w:rsidR="006343E3">
        <w:t xml:space="preserve"> </w:t>
      </w:r>
      <w:r w:rsidRPr="00FC3B6B">
        <w:t>For each country, it proved useful and necessary to create a country-level plan</w:t>
      </w:r>
      <w:r>
        <w:t>.</w:t>
      </w:r>
      <w:r w:rsidR="006343E3">
        <w:t xml:space="preserve"> </w:t>
      </w:r>
      <w:r>
        <w:t xml:space="preserve"> The project’s objectives had three indicators set at the outcome level,</w:t>
      </w:r>
      <w:r w:rsidR="00434059">
        <w:t xml:space="preserve"> </w:t>
      </w:r>
      <w:r>
        <w:t xml:space="preserve">for one of which it was too early to report </w:t>
      </w:r>
      <w:proofErr w:type="gramStart"/>
      <w:r>
        <w:t>on</w:t>
      </w:r>
      <w:proofErr w:type="gramEnd"/>
      <w:r>
        <w:t xml:space="preserve"> and it would be important to evaluate in the future. </w:t>
      </w:r>
    </w:p>
    <w:p w14:paraId="76E064C3" w14:textId="3648AF50" w:rsidR="00B30770" w:rsidRPr="00491E38" w:rsidRDefault="00B30770" w:rsidP="00E637C5">
      <w:pPr>
        <w:numPr>
          <w:ilvl w:val="0"/>
          <w:numId w:val="8"/>
        </w:numPr>
        <w:tabs>
          <w:tab w:val="clear" w:pos="567"/>
        </w:tabs>
        <w:autoSpaceDE w:val="0"/>
        <w:autoSpaceDN w:val="0"/>
        <w:adjustRightInd w:val="0"/>
        <w:spacing w:after="240"/>
        <w:rPr>
          <w:rFonts w:eastAsia="Times New Roman"/>
          <w:szCs w:val="22"/>
          <w:lang w:eastAsia="en-US"/>
        </w:rPr>
      </w:pPr>
      <w:r w:rsidRPr="0070125D">
        <w:rPr>
          <w:b/>
        </w:rPr>
        <w:t xml:space="preserve">Finding </w:t>
      </w:r>
      <w:r>
        <w:rPr>
          <w:b/>
        </w:rPr>
        <w:t>3</w:t>
      </w:r>
      <w:r>
        <w:t xml:space="preserve">: </w:t>
      </w:r>
      <w:r w:rsidR="006343E3">
        <w:t xml:space="preserve"> </w:t>
      </w:r>
      <w:r>
        <w:t xml:space="preserve">The activities of this project were managed by the </w:t>
      </w:r>
      <w:r w:rsidRPr="00BD01F5">
        <w:t>Development Agenda Coordination Division</w:t>
      </w:r>
      <w:r>
        <w:t xml:space="preserve"> (DACD) </w:t>
      </w:r>
      <w:r w:rsidRPr="0070125D">
        <w:rPr>
          <w:rFonts w:eastAsia="Times New Roman"/>
          <w:szCs w:val="22"/>
          <w:lang w:eastAsia="en-US"/>
        </w:rPr>
        <w:t>with the support of other entities within the Secretariat</w:t>
      </w:r>
      <w:r>
        <w:rPr>
          <w:rFonts w:eastAsia="Times New Roman"/>
          <w:szCs w:val="22"/>
          <w:lang w:eastAsia="en-US"/>
        </w:rPr>
        <w:t xml:space="preserve">, notably </w:t>
      </w:r>
      <w:r w:rsidRPr="00FC3B6B">
        <w:rPr>
          <w:rFonts w:eastAsia="Times New Roman"/>
          <w:szCs w:val="22"/>
          <w:lang w:eastAsia="en-US"/>
        </w:rPr>
        <w:t>the Division for Arab Countries, the Division for Asia</w:t>
      </w:r>
      <w:r>
        <w:rPr>
          <w:rFonts w:eastAsia="Times New Roman"/>
          <w:szCs w:val="22"/>
          <w:lang w:eastAsia="en-US"/>
        </w:rPr>
        <w:t xml:space="preserve"> an</w:t>
      </w:r>
      <w:r w:rsidRPr="00FC3B6B">
        <w:rPr>
          <w:rFonts w:eastAsia="Times New Roman"/>
          <w:szCs w:val="22"/>
          <w:lang w:eastAsia="en-US"/>
        </w:rPr>
        <w:t>d Pacific</w:t>
      </w:r>
      <w:r>
        <w:rPr>
          <w:rFonts w:eastAsia="Times New Roman"/>
          <w:szCs w:val="22"/>
          <w:lang w:eastAsia="en-US"/>
        </w:rPr>
        <w:t xml:space="preserve">, </w:t>
      </w:r>
      <w:r w:rsidRPr="00FC3B6B">
        <w:rPr>
          <w:rFonts w:eastAsia="Times New Roman"/>
          <w:szCs w:val="22"/>
          <w:lang w:eastAsia="en-US"/>
        </w:rPr>
        <w:t>the Division for Latin America and the Caribbean</w:t>
      </w:r>
      <w:r>
        <w:rPr>
          <w:rFonts w:eastAsia="Times New Roman"/>
          <w:szCs w:val="22"/>
          <w:lang w:eastAsia="en-US"/>
        </w:rPr>
        <w:t>, the</w:t>
      </w:r>
      <w:r w:rsidRPr="00FC3B6B">
        <w:rPr>
          <w:rFonts w:eastAsia="Times New Roman"/>
          <w:szCs w:val="22"/>
          <w:lang w:eastAsia="en-US"/>
        </w:rPr>
        <w:t xml:space="preserve"> Department for Trademarks, Industrial Designs and Geographical Indications of the Brands and Designs Sector</w:t>
      </w:r>
      <w:r>
        <w:rPr>
          <w:rFonts w:eastAsia="Times New Roman"/>
          <w:szCs w:val="22"/>
          <w:lang w:eastAsia="en-US"/>
        </w:rPr>
        <w:t xml:space="preserve"> and t</w:t>
      </w:r>
      <w:r w:rsidRPr="00FC3B6B">
        <w:rPr>
          <w:rFonts w:eastAsia="Times New Roman"/>
          <w:szCs w:val="22"/>
          <w:lang w:eastAsia="en-US"/>
        </w:rPr>
        <w:t>he News and Media Division</w:t>
      </w:r>
      <w:r>
        <w:rPr>
          <w:rFonts w:eastAsia="Times New Roman"/>
          <w:szCs w:val="22"/>
          <w:lang w:eastAsia="en-US"/>
        </w:rPr>
        <w:t>.</w:t>
      </w:r>
    </w:p>
    <w:p w14:paraId="19867EF5" w14:textId="0CD97D76" w:rsidR="00B30770" w:rsidRPr="00FC3B6B" w:rsidRDefault="00B30770" w:rsidP="00E637C5">
      <w:pPr>
        <w:pStyle w:val="BodyText"/>
        <w:numPr>
          <w:ilvl w:val="0"/>
          <w:numId w:val="8"/>
        </w:numPr>
        <w:tabs>
          <w:tab w:val="clear" w:pos="567"/>
          <w:tab w:val="num" w:pos="0"/>
        </w:tabs>
        <w:spacing w:after="240"/>
        <w:rPr>
          <w:bCs/>
        </w:rPr>
      </w:pPr>
      <w:r w:rsidRPr="00FC3B6B">
        <w:rPr>
          <w:b/>
        </w:rPr>
        <w:t>Finding 4:</w:t>
      </w:r>
      <w:r w:rsidR="006343E3">
        <w:rPr>
          <w:b/>
        </w:rPr>
        <w:t xml:space="preserve"> </w:t>
      </w:r>
      <w:r w:rsidRPr="00FC3B6B">
        <w:rPr>
          <w:b/>
        </w:rPr>
        <w:t xml:space="preserve"> </w:t>
      </w:r>
      <w:r w:rsidRPr="00FC3B6B">
        <w:rPr>
          <w:bCs/>
        </w:rPr>
        <w:t>Within the project, coordination between the DACD staff and the different project stakeholders was reported as efficient and effective.</w:t>
      </w:r>
      <w:r w:rsidR="006343E3">
        <w:rPr>
          <w:bCs/>
        </w:rPr>
        <w:t xml:space="preserve"> </w:t>
      </w:r>
      <w:r w:rsidRPr="00FC3B6B">
        <w:rPr>
          <w:bCs/>
        </w:rPr>
        <w:t xml:space="preserve"> Although DACD staff could benefit from the cross-learning of working across the countries, there were no opportunities for country-level stakeholders to benefit from the experiences and learnings of the other countries.</w:t>
      </w:r>
      <w:r w:rsidR="00434059">
        <w:rPr>
          <w:bCs/>
        </w:rPr>
        <w:t xml:space="preserve"> </w:t>
      </w:r>
      <w:r w:rsidR="006343E3">
        <w:rPr>
          <w:bCs/>
        </w:rPr>
        <w:t xml:space="preserve"> </w:t>
      </w:r>
      <w:r w:rsidR="00434059">
        <w:rPr>
          <w:bCs/>
        </w:rPr>
        <w:t>Th</w:t>
      </w:r>
      <w:r w:rsidRPr="00FC3B6B">
        <w:rPr>
          <w:bCs/>
        </w:rPr>
        <w:t xml:space="preserve">e WIPO purchasing and procurement rules did not seem to be adaptable for country and local level activities, which created some obstacles and were time-consuming for the DACD staff to resolve. </w:t>
      </w:r>
    </w:p>
    <w:p w14:paraId="57C1490E" w14:textId="63DF16E2" w:rsidR="00B30770" w:rsidRDefault="00B30770" w:rsidP="00E637C5">
      <w:pPr>
        <w:pStyle w:val="BodyText"/>
        <w:numPr>
          <w:ilvl w:val="0"/>
          <w:numId w:val="8"/>
        </w:numPr>
        <w:tabs>
          <w:tab w:val="clear" w:pos="567"/>
        </w:tabs>
        <w:spacing w:after="240"/>
      </w:pPr>
      <w:r>
        <w:rPr>
          <w:b/>
        </w:rPr>
        <w:t>Findings 5-6</w:t>
      </w:r>
      <w:r>
        <w:t xml:space="preserve">:  The initial project document identified three risks for the project. </w:t>
      </w:r>
      <w:r w:rsidR="006343E3">
        <w:t xml:space="preserve"> </w:t>
      </w:r>
      <w:r>
        <w:t xml:space="preserve">The project documentation described a mitigation response and only one of these </w:t>
      </w:r>
      <w:r w:rsidRPr="00F93223">
        <w:rPr>
          <w:color w:val="222222"/>
          <w:shd w:val="clear" w:color="auto" w:fill="FFFFFF"/>
        </w:rPr>
        <w:t xml:space="preserve">risks </w:t>
      </w:r>
      <w:r>
        <w:rPr>
          <w:color w:val="222222"/>
          <w:shd w:val="clear" w:color="auto" w:fill="FFFFFF"/>
        </w:rPr>
        <w:t>materialized to some extent; there were some challenges for the beneficiary associations to fully utilize the collected marks given their varying levels of capacity.</w:t>
      </w:r>
      <w:r w:rsidR="00434059">
        <w:rPr>
          <w:color w:val="222222"/>
          <w:shd w:val="clear" w:color="auto" w:fill="FFFFFF"/>
        </w:rPr>
        <w:t xml:space="preserve"> </w:t>
      </w:r>
      <w:r w:rsidR="006343E3">
        <w:rPr>
          <w:color w:val="222222"/>
          <w:shd w:val="clear" w:color="auto" w:fill="FFFFFF"/>
        </w:rPr>
        <w:t xml:space="preserve"> </w:t>
      </w:r>
      <w:r w:rsidR="00434059">
        <w:rPr>
          <w:color w:val="222222"/>
          <w:shd w:val="clear" w:color="auto" w:fill="FFFFFF"/>
        </w:rPr>
        <w:t>Ex</w:t>
      </w:r>
      <w:r>
        <w:t>ternal force</w:t>
      </w:r>
      <w:r w:rsidR="00434059">
        <w:t>s</w:t>
      </w:r>
      <w:r>
        <w:t xml:space="preserve"> that the project had to respond and adapt to </w:t>
      </w:r>
      <w:proofErr w:type="gramStart"/>
      <w:r>
        <w:t>w</w:t>
      </w:r>
      <w:r w:rsidR="00434059">
        <w:t>ere</w:t>
      </w:r>
      <w:proofErr w:type="gramEnd"/>
      <w:r>
        <w:t xml:space="preserve"> the COVID-19 pandemic</w:t>
      </w:r>
      <w:r w:rsidR="00434059">
        <w:t xml:space="preserve"> and </w:t>
      </w:r>
      <w:r>
        <w:t xml:space="preserve">some changes to governments in the beneficiary countries, </w:t>
      </w:r>
      <w:r w:rsidR="00434059">
        <w:t>as described above.</w:t>
      </w:r>
      <w:r w:rsidR="006343E3">
        <w:t xml:space="preserve"> </w:t>
      </w:r>
      <w:r w:rsidR="00434059">
        <w:t xml:space="preserve"> T</w:t>
      </w:r>
      <w:r>
        <w:t>hese external forces did not have a major impact on the project, aside from delaying its completion and extending the project by 14 month</w:t>
      </w:r>
      <w:r w:rsidR="00434059">
        <w:t>s</w:t>
      </w:r>
      <w:r>
        <w:t>.</w:t>
      </w:r>
    </w:p>
    <w:p w14:paraId="2D1C85F0" w14:textId="77777777" w:rsidR="00B30770" w:rsidRDefault="00B30770" w:rsidP="00E637C5">
      <w:pPr>
        <w:pStyle w:val="ListParagraph"/>
        <w:spacing w:after="240"/>
        <w:ind w:left="0"/>
        <w:contextualSpacing w:val="0"/>
        <w:rPr>
          <w:b/>
          <w:i/>
        </w:rPr>
      </w:pPr>
      <w:bookmarkStart w:id="19" w:name="_Toc320700947"/>
      <w:bookmarkStart w:id="20" w:name="_Toc336031964"/>
      <w:bookmarkStart w:id="21" w:name="_Toc336032064"/>
      <w:r w:rsidRPr="008750E4">
        <w:rPr>
          <w:b/>
          <w:i/>
        </w:rPr>
        <w:t>Effectiveness</w:t>
      </w:r>
      <w:bookmarkEnd w:id="19"/>
      <w:bookmarkEnd w:id="20"/>
      <w:bookmarkEnd w:id="21"/>
      <w:r w:rsidRPr="008750E4">
        <w:rPr>
          <w:b/>
          <w:i/>
        </w:rPr>
        <w:t xml:space="preserve"> </w:t>
      </w:r>
    </w:p>
    <w:p w14:paraId="6DFB0882" w14:textId="4F17EEF6" w:rsidR="00B30770" w:rsidRDefault="00B30770" w:rsidP="00E637C5">
      <w:pPr>
        <w:pStyle w:val="BodyText"/>
        <w:numPr>
          <w:ilvl w:val="0"/>
          <w:numId w:val="8"/>
        </w:numPr>
        <w:tabs>
          <w:tab w:val="clear" w:pos="567"/>
        </w:tabs>
      </w:pPr>
      <w:r w:rsidRPr="00914CAC">
        <w:rPr>
          <w:b/>
        </w:rPr>
        <w:t>Finding</w:t>
      </w:r>
      <w:r>
        <w:rPr>
          <w:b/>
        </w:rPr>
        <w:t>s 7-8</w:t>
      </w:r>
      <w:r>
        <w:t xml:space="preserve">: </w:t>
      </w:r>
      <w:r w:rsidR="006343E3">
        <w:t xml:space="preserve"> </w:t>
      </w:r>
      <w:r w:rsidRPr="00FC3B6B">
        <w:t>The outputs as foreseen by the Project Proposal were all developed and launched successfully during the project’s implementation</w:t>
      </w:r>
      <w:r>
        <w:t xml:space="preserve">. </w:t>
      </w:r>
      <w:r w:rsidR="006343E3">
        <w:t xml:space="preserve"> </w:t>
      </w:r>
      <w:r>
        <w:t xml:space="preserve">In all four beneficiary countries, </w:t>
      </w:r>
      <w:r w:rsidRPr="00FC3B6B">
        <w:t>associations were selected whose members produced products that could potentially benefit from a collective mark</w:t>
      </w:r>
      <w:r>
        <w:t xml:space="preserve">. </w:t>
      </w:r>
      <w:r w:rsidR="006343E3">
        <w:t xml:space="preserve"> </w:t>
      </w:r>
      <w:r>
        <w:t xml:space="preserve">These products included: </w:t>
      </w:r>
      <w:r w:rsidR="006343E3">
        <w:t xml:space="preserve"> </w:t>
      </w:r>
      <w:r>
        <w:t xml:space="preserve">Honey in Bolivia; </w:t>
      </w:r>
      <w:r w:rsidRPr="00BB0B65">
        <w:t xml:space="preserve">cassava flour and derived products, honey, </w:t>
      </w:r>
      <w:proofErr w:type="gramStart"/>
      <w:r w:rsidRPr="00BB0B65">
        <w:t>nuts</w:t>
      </w:r>
      <w:proofErr w:type="gramEnd"/>
      <w:r w:rsidRPr="00BB0B65">
        <w:t xml:space="preserve"> and oils</w:t>
      </w:r>
      <w:r>
        <w:t xml:space="preserve"> in Brazil; </w:t>
      </w:r>
      <w:r w:rsidRPr="00BB0B65">
        <w:t>nuts, pastries, handicrafts, fashion accessories and cosmetic products from the Pili tree</w:t>
      </w:r>
      <w:r>
        <w:t xml:space="preserve"> in the Philippines; and </w:t>
      </w:r>
      <w:r w:rsidRPr="00FC3B6B">
        <w:t>honey, honey-derived products, essential oils, soap and other products</w:t>
      </w:r>
      <w:r>
        <w:t xml:space="preserve"> in Tunisia. </w:t>
      </w:r>
    </w:p>
    <w:p w14:paraId="52825125" w14:textId="68FB2B11" w:rsidR="00B30770" w:rsidRDefault="00B30770" w:rsidP="00424ED2">
      <w:pPr>
        <w:pStyle w:val="BodyText"/>
        <w:numPr>
          <w:ilvl w:val="0"/>
          <w:numId w:val="8"/>
        </w:numPr>
        <w:tabs>
          <w:tab w:val="clear" w:pos="567"/>
        </w:tabs>
        <w:spacing w:after="240"/>
      </w:pPr>
      <w:r w:rsidRPr="00BD01F5">
        <w:rPr>
          <w:b/>
          <w:bCs/>
        </w:rPr>
        <w:t>Finding</w:t>
      </w:r>
      <w:r>
        <w:rPr>
          <w:b/>
          <w:bCs/>
        </w:rPr>
        <w:t>s</w:t>
      </w:r>
      <w:r w:rsidRPr="00BD01F5">
        <w:rPr>
          <w:b/>
          <w:bCs/>
        </w:rPr>
        <w:t xml:space="preserve"> </w:t>
      </w:r>
      <w:r>
        <w:rPr>
          <w:b/>
          <w:bCs/>
        </w:rPr>
        <w:t>9-11</w:t>
      </w:r>
      <w:r>
        <w:t xml:space="preserve">: </w:t>
      </w:r>
      <w:r w:rsidR="006343E3">
        <w:t xml:space="preserve"> </w:t>
      </w:r>
      <w:r w:rsidRPr="00FC3B6B">
        <w:t xml:space="preserve">In all four beneficiary countries, the collective mark was developed, </w:t>
      </w:r>
      <w:proofErr w:type="gramStart"/>
      <w:r w:rsidRPr="00FC3B6B">
        <w:t>registered</w:t>
      </w:r>
      <w:proofErr w:type="gramEnd"/>
      <w:r w:rsidRPr="00FC3B6B">
        <w:t xml:space="preserve"> and launched</w:t>
      </w:r>
      <w:r>
        <w:t xml:space="preserve"> with </w:t>
      </w:r>
      <w:r w:rsidRPr="00FC3B6B">
        <w:t xml:space="preserve">logos </w:t>
      </w:r>
      <w:r>
        <w:t>d</w:t>
      </w:r>
      <w:r w:rsidRPr="00FC3B6B">
        <w:t>esigned by local designers</w:t>
      </w:r>
      <w:r>
        <w:t xml:space="preserve">. </w:t>
      </w:r>
      <w:r w:rsidR="006343E3">
        <w:t xml:space="preserve"> </w:t>
      </w:r>
      <w:r w:rsidRPr="00FC3B6B">
        <w:t>The collective marks were all registered with their respective national IP offices and public launches held between April</w:t>
      </w:r>
      <w:r w:rsidR="00CF0007">
        <w:t> </w:t>
      </w:r>
      <w:r w:rsidRPr="00FC3B6B">
        <w:t>2022 to February</w:t>
      </w:r>
      <w:r w:rsidR="00CF0007">
        <w:t> </w:t>
      </w:r>
      <w:r w:rsidRPr="00FC3B6B">
        <w:t>2024</w:t>
      </w:r>
      <w:r>
        <w:t xml:space="preserve">. </w:t>
      </w:r>
      <w:r w:rsidR="006343E3">
        <w:t xml:space="preserve"> </w:t>
      </w:r>
      <w:r>
        <w:t xml:space="preserve">All countries benefited from </w:t>
      </w:r>
      <w:r>
        <w:rPr>
          <w:bCs/>
        </w:rPr>
        <w:t xml:space="preserve">capacity building and awareness-raising activities. </w:t>
      </w:r>
      <w:r w:rsidR="006343E3">
        <w:rPr>
          <w:bCs/>
        </w:rPr>
        <w:t xml:space="preserve"> </w:t>
      </w:r>
      <w:r>
        <w:t>However, the success of the beneficiary associations in bringing their products to market under the collective mark has varied to date</w:t>
      </w:r>
      <w:r w:rsidR="00434059">
        <w:t xml:space="preserve">. </w:t>
      </w:r>
    </w:p>
    <w:p w14:paraId="6C6FE443" w14:textId="6829D565" w:rsidR="00B30770" w:rsidRDefault="00B30770" w:rsidP="00B30770">
      <w:pPr>
        <w:pStyle w:val="BodyText"/>
      </w:pPr>
      <w:r w:rsidRPr="00692329">
        <w:rPr>
          <w:b/>
          <w:i/>
        </w:rPr>
        <w:t>Sustainability</w:t>
      </w:r>
    </w:p>
    <w:p w14:paraId="1B94C6CB" w14:textId="297D5713" w:rsidR="00B30770" w:rsidRPr="00FC3B6B" w:rsidRDefault="00B30770" w:rsidP="00B30770">
      <w:pPr>
        <w:pStyle w:val="BodyText"/>
        <w:numPr>
          <w:ilvl w:val="0"/>
          <w:numId w:val="8"/>
        </w:numPr>
      </w:pPr>
      <w:r w:rsidRPr="00FC3B6B">
        <w:rPr>
          <w:b/>
          <w:szCs w:val="22"/>
        </w:rPr>
        <w:t xml:space="preserve">Findings 12-14:  </w:t>
      </w:r>
      <w:r w:rsidRPr="00FC3B6B">
        <w:rPr>
          <w:szCs w:val="22"/>
        </w:rPr>
        <w:t xml:space="preserve">As the project’s outputs were all achieved successfully, this increased the likelihood of the continuation of the benefits of the project for the beneficiary countries, with examples seen where products have already been brought to market under the collective marks and were </w:t>
      </w:r>
      <w:r w:rsidR="00434059">
        <w:rPr>
          <w:szCs w:val="22"/>
        </w:rPr>
        <w:t xml:space="preserve">consequently </w:t>
      </w:r>
      <w:r w:rsidRPr="00FC3B6B">
        <w:rPr>
          <w:szCs w:val="22"/>
        </w:rPr>
        <w:t>contributing to economic development of local enterprises. Sustainability was supported by the involvement of economic development actors within the project.</w:t>
      </w:r>
    </w:p>
    <w:p w14:paraId="359B1551" w14:textId="16B788AD" w:rsidR="00B30770" w:rsidRPr="00FC3B6B" w:rsidRDefault="00B30770" w:rsidP="00B30770">
      <w:pPr>
        <w:numPr>
          <w:ilvl w:val="0"/>
          <w:numId w:val="8"/>
        </w:numPr>
        <w:spacing w:after="240"/>
        <w:rPr>
          <w:szCs w:val="22"/>
        </w:rPr>
      </w:pPr>
      <w:r w:rsidRPr="00FC3B6B">
        <w:rPr>
          <w:b/>
          <w:bCs/>
          <w:szCs w:val="22"/>
        </w:rPr>
        <w:t>Findings 15-16:</w:t>
      </w:r>
      <w:r w:rsidRPr="00FC3B6B">
        <w:rPr>
          <w:szCs w:val="22"/>
        </w:rPr>
        <w:t xml:space="preserve"> </w:t>
      </w:r>
      <w:r w:rsidR="006343E3">
        <w:rPr>
          <w:szCs w:val="22"/>
        </w:rPr>
        <w:t xml:space="preserve"> </w:t>
      </w:r>
      <w:r w:rsidRPr="00FC3B6B">
        <w:rPr>
          <w:szCs w:val="22"/>
        </w:rPr>
        <w:t>Sustainability was also impacted by the nature of the collective mar</w:t>
      </w:r>
      <w:r>
        <w:rPr>
          <w:szCs w:val="22"/>
        </w:rPr>
        <w:t xml:space="preserve">ks that are </w:t>
      </w:r>
      <w:r w:rsidRPr="00FC3B6B">
        <w:rPr>
          <w:szCs w:val="22"/>
        </w:rPr>
        <w:t>required to be managed by an association</w:t>
      </w:r>
      <w:r w:rsidR="00434059">
        <w:rPr>
          <w:szCs w:val="22"/>
        </w:rPr>
        <w:t>; i</w:t>
      </w:r>
      <w:r>
        <w:rPr>
          <w:szCs w:val="22"/>
        </w:rPr>
        <w:t xml:space="preserve">t was </w:t>
      </w:r>
      <w:r w:rsidRPr="00FC3B6B">
        <w:rPr>
          <w:szCs w:val="22"/>
        </w:rPr>
        <w:t>not always easy for small enterprises to work in a collective manner</w:t>
      </w:r>
      <w:r>
        <w:rPr>
          <w:szCs w:val="22"/>
        </w:rPr>
        <w:t>.</w:t>
      </w:r>
      <w:r w:rsidR="00434059">
        <w:rPr>
          <w:szCs w:val="22"/>
        </w:rPr>
        <w:t xml:space="preserve"> </w:t>
      </w:r>
      <w:r w:rsidR="006343E3">
        <w:rPr>
          <w:szCs w:val="22"/>
        </w:rPr>
        <w:t xml:space="preserve"> </w:t>
      </w:r>
      <w:r w:rsidRPr="00FC3B6B">
        <w:rPr>
          <w:szCs w:val="22"/>
        </w:rPr>
        <w:t>The maturity of the beneficiary association</w:t>
      </w:r>
      <w:r w:rsidR="00434059">
        <w:rPr>
          <w:szCs w:val="22"/>
        </w:rPr>
        <w:t>s</w:t>
      </w:r>
      <w:r w:rsidRPr="00FC3B6B">
        <w:rPr>
          <w:szCs w:val="22"/>
        </w:rPr>
        <w:t xml:space="preserve"> influenced their abilit</w:t>
      </w:r>
      <w:r w:rsidR="00434059">
        <w:rPr>
          <w:szCs w:val="22"/>
        </w:rPr>
        <w:t>ies</w:t>
      </w:r>
      <w:r w:rsidRPr="00FC3B6B">
        <w:rPr>
          <w:szCs w:val="22"/>
        </w:rPr>
        <w:t xml:space="preserve"> to manage the collective mar</w:t>
      </w:r>
      <w:r>
        <w:rPr>
          <w:szCs w:val="22"/>
        </w:rPr>
        <w:t>k</w:t>
      </w:r>
      <w:r w:rsidR="00434059">
        <w:rPr>
          <w:szCs w:val="22"/>
        </w:rPr>
        <w:t xml:space="preserve">s. </w:t>
      </w:r>
      <w:r w:rsidR="006343E3">
        <w:rPr>
          <w:szCs w:val="22"/>
        </w:rPr>
        <w:t xml:space="preserve"> </w:t>
      </w:r>
      <w:r w:rsidR="00434059">
        <w:rPr>
          <w:szCs w:val="22"/>
        </w:rPr>
        <w:t>A</w:t>
      </w:r>
      <w:r>
        <w:rPr>
          <w:szCs w:val="22"/>
        </w:rPr>
        <w:t xml:space="preserve">ll </w:t>
      </w:r>
      <w:r w:rsidR="00434059">
        <w:rPr>
          <w:szCs w:val="22"/>
        </w:rPr>
        <w:t xml:space="preserve">associations </w:t>
      </w:r>
      <w:r>
        <w:rPr>
          <w:szCs w:val="22"/>
        </w:rPr>
        <w:t xml:space="preserve">needed to </w:t>
      </w:r>
      <w:r w:rsidRPr="00FC3B6B">
        <w:rPr>
          <w:szCs w:val="22"/>
        </w:rPr>
        <w:t>take additional steps</w:t>
      </w:r>
      <w:r w:rsidR="00434059">
        <w:rPr>
          <w:szCs w:val="22"/>
        </w:rPr>
        <w:t xml:space="preserve"> to fully benefit from the collective marks</w:t>
      </w:r>
      <w:r>
        <w:rPr>
          <w:szCs w:val="22"/>
        </w:rPr>
        <w:t xml:space="preserve">, such as internal </w:t>
      </w:r>
      <w:r w:rsidR="00E9009A">
        <w:rPr>
          <w:szCs w:val="22"/>
        </w:rPr>
        <w:t>organization</w:t>
      </w:r>
      <w:r>
        <w:rPr>
          <w:szCs w:val="22"/>
        </w:rPr>
        <w:t>, de</w:t>
      </w:r>
      <w:r w:rsidRPr="00FC3B6B">
        <w:rPr>
          <w:szCs w:val="22"/>
        </w:rPr>
        <w:t>veloping product specifications</w:t>
      </w:r>
      <w:r>
        <w:rPr>
          <w:szCs w:val="22"/>
        </w:rPr>
        <w:t xml:space="preserve"> or </w:t>
      </w:r>
      <w:r w:rsidRPr="00FC3B6B">
        <w:rPr>
          <w:szCs w:val="22"/>
        </w:rPr>
        <w:t>compliance measures</w:t>
      </w:r>
      <w:r>
        <w:rPr>
          <w:szCs w:val="22"/>
        </w:rPr>
        <w:t>, in addition to promotion and marketing efforts</w:t>
      </w:r>
      <w:r w:rsidR="00434059">
        <w:rPr>
          <w:szCs w:val="22"/>
        </w:rPr>
        <w:t xml:space="preserve">. </w:t>
      </w:r>
    </w:p>
    <w:p w14:paraId="198D876A" w14:textId="51315FE5" w:rsidR="00B30770" w:rsidRPr="00347C9E" w:rsidRDefault="00B30770" w:rsidP="00424ED2">
      <w:pPr>
        <w:numPr>
          <w:ilvl w:val="0"/>
          <w:numId w:val="8"/>
        </w:numPr>
        <w:spacing w:after="240"/>
        <w:rPr>
          <w:szCs w:val="22"/>
        </w:rPr>
      </w:pPr>
      <w:r w:rsidRPr="00347C9E">
        <w:rPr>
          <w:b/>
          <w:bCs/>
          <w:szCs w:val="22"/>
        </w:rPr>
        <w:t>Findings 17-18:</w:t>
      </w:r>
      <w:r w:rsidRPr="00347C9E">
        <w:rPr>
          <w:szCs w:val="22"/>
        </w:rPr>
        <w:t xml:space="preserve">  The project lacked an exit and/or handover strategy to increase the likelihood of its ongoing benefits. </w:t>
      </w:r>
      <w:r w:rsidR="006343E3">
        <w:rPr>
          <w:szCs w:val="22"/>
        </w:rPr>
        <w:t xml:space="preserve"> </w:t>
      </w:r>
      <w:r>
        <w:rPr>
          <w:szCs w:val="22"/>
        </w:rPr>
        <w:t xml:space="preserve">Further, </w:t>
      </w:r>
      <w:r w:rsidRPr="00347C9E">
        <w:rPr>
          <w:szCs w:val="22"/>
        </w:rPr>
        <w:t>there were no action plans or road maps available from the national IP offices that set out concretely how they planned to use the capacity and resources provided by the project to increase their promotion and usage of collective marks.</w:t>
      </w:r>
    </w:p>
    <w:p w14:paraId="6590AFD1" w14:textId="77777777" w:rsidR="00B30770" w:rsidRPr="00BD01F5" w:rsidRDefault="00B30770" w:rsidP="00B30770">
      <w:pPr>
        <w:spacing w:after="240"/>
        <w:rPr>
          <w:szCs w:val="22"/>
        </w:rPr>
      </w:pPr>
      <w:r w:rsidRPr="00BD01F5">
        <w:rPr>
          <w:b/>
          <w:i/>
        </w:rPr>
        <w:t xml:space="preserve">Implementation of Development Agenda (DA) Recommendations </w:t>
      </w:r>
    </w:p>
    <w:p w14:paraId="7AB5DB9C" w14:textId="3BC00286" w:rsidR="00B30770" w:rsidRDefault="00B30770" w:rsidP="00B30770">
      <w:pPr>
        <w:numPr>
          <w:ilvl w:val="0"/>
          <w:numId w:val="8"/>
        </w:numPr>
        <w:spacing w:after="240"/>
        <w:rPr>
          <w:szCs w:val="22"/>
        </w:rPr>
      </w:pPr>
      <w:r w:rsidRPr="00951612">
        <w:rPr>
          <w:b/>
          <w:szCs w:val="22"/>
        </w:rPr>
        <w:t>Finding</w:t>
      </w:r>
      <w:r>
        <w:rPr>
          <w:b/>
          <w:szCs w:val="22"/>
        </w:rPr>
        <w:t>s</w:t>
      </w:r>
      <w:r w:rsidRPr="00951612">
        <w:rPr>
          <w:b/>
          <w:szCs w:val="22"/>
        </w:rPr>
        <w:t xml:space="preserve"> </w:t>
      </w:r>
      <w:r>
        <w:rPr>
          <w:b/>
          <w:szCs w:val="22"/>
        </w:rPr>
        <w:t>19-2</w:t>
      </w:r>
      <w:r w:rsidR="00D60E95">
        <w:rPr>
          <w:b/>
          <w:szCs w:val="22"/>
        </w:rPr>
        <w:t>1</w:t>
      </w:r>
      <w:r w:rsidRPr="00951612">
        <w:rPr>
          <w:b/>
          <w:szCs w:val="22"/>
        </w:rPr>
        <w:t>:</w:t>
      </w:r>
      <w:r>
        <w:rPr>
          <w:szCs w:val="22"/>
        </w:rPr>
        <w:t xml:space="preserve">  This project has </w:t>
      </w:r>
      <w:proofErr w:type="gramStart"/>
      <w:r>
        <w:rPr>
          <w:szCs w:val="22"/>
        </w:rPr>
        <w:t>made a contribution</w:t>
      </w:r>
      <w:proofErr w:type="gramEnd"/>
      <w:r>
        <w:rPr>
          <w:szCs w:val="22"/>
        </w:rPr>
        <w:t xml:space="preserve"> to achieving DA recommendation 1, focused </w:t>
      </w:r>
      <w:r w:rsidRPr="00F93223">
        <w:rPr>
          <w:szCs w:val="22"/>
        </w:rPr>
        <w:t>on WIPO’s technical assistance being demand driven and transparent</w:t>
      </w:r>
      <w:r>
        <w:rPr>
          <w:szCs w:val="22"/>
        </w:rPr>
        <w:t xml:space="preserve"> and DA recommendation</w:t>
      </w:r>
      <w:r w:rsidR="00CF0007">
        <w:rPr>
          <w:szCs w:val="22"/>
        </w:rPr>
        <w:t> </w:t>
      </w:r>
      <w:r w:rsidR="00307561">
        <w:rPr>
          <w:szCs w:val="22"/>
        </w:rPr>
        <w:t>4</w:t>
      </w:r>
      <w:r>
        <w:rPr>
          <w:szCs w:val="22"/>
        </w:rPr>
        <w:t xml:space="preserve">, focused on the needs of small-medium enterprises (SMEs), considering </w:t>
      </w:r>
      <w:r w:rsidRPr="00347C9E">
        <w:rPr>
          <w:szCs w:val="22"/>
        </w:rPr>
        <w:t>that project’s activities were focused on the economic development of community-based enterprises through their collective associations</w:t>
      </w:r>
      <w:r>
        <w:rPr>
          <w:szCs w:val="22"/>
        </w:rPr>
        <w:t xml:space="preserve">. </w:t>
      </w:r>
      <w:r w:rsidR="006343E3">
        <w:rPr>
          <w:szCs w:val="22"/>
        </w:rPr>
        <w:t xml:space="preserve"> </w:t>
      </w:r>
      <w:r>
        <w:rPr>
          <w:szCs w:val="22"/>
        </w:rPr>
        <w:t>The project also directly responds to recommendation</w:t>
      </w:r>
      <w:r w:rsidR="00CF0007">
        <w:rPr>
          <w:szCs w:val="22"/>
        </w:rPr>
        <w:t> </w:t>
      </w:r>
      <w:r>
        <w:rPr>
          <w:szCs w:val="22"/>
        </w:rPr>
        <w:t xml:space="preserve">10, as it contained a component to build the capacity of the national IP offices in the four beneficiary countries. </w:t>
      </w:r>
    </w:p>
    <w:p w14:paraId="7F00166E" w14:textId="77777777" w:rsidR="00307561" w:rsidRDefault="00307561" w:rsidP="00307561">
      <w:pPr>
        <w:spacing w:after="240"/>
        <w:rPr>
          <w:szCs w:val="22"/>
        </w:rPr>
      </w:pPr>
    </w:p>
    <w:p w14:paraId="2DB6E516" w14:textId="77777777" w:rsidR="00B30770" w:rsidRDefault="00B30770" w:rsidP="00B30770">
      <w:pPr>
        <w:spacing w:after="240"/>
        <w:rPr>
          <w:szCs w:val="22"/>
        </w:rPr>
      </w:pPr>
      <w:r>
        <w:rPr>
          <w:b/>
          <w:szCs w:val="22"/>
        </w:rPr>
        <w:t>Conclusions and recommendations</w:t>
      </w:r>
    </w:p>
    <w:p w14:paraId="5C7F48BE" w14:textId="6D7A8E9F" w:rsidR="00B30770" w:rsidRPr="00347C9E" w:rsidRDefault="00B30770" w:rsidP="00B30770">
      <w:pPr>
        <w:numPr>
          <w:ilvl w:val="0"/>
          <w:numId w:val="8"/>
        </w:numPr>
        <w:spacing w:after="240"/>
        <w:rPr>
          <w:szCs w:val="22"/>
        </w:rPr>
      </w:pPr>
      <w:r w:rsidRPr="00347C9E">
        <w:rPr>
          <w:b/>
        </w:rPr>
        <w:t>Conclusion 1 (</w:t>
      </w:r>
      <w:r w:rsidRPr="00347C9E">
        <w:rPr>
          <w:b/>
          <w:i/>
        </w:rPr>
        <w:t>Ref:  Findings 1-11; 19-21</w:t>
      </w:r>
      <w:r w:rsidRPr="00347C9E">
        <w:rPr>
          <w:b/>
        </w:rPr>
        <w:t>)</w:t>
      </w:r>
      <w:r w:rsidR="00434059">
        <w:t xml:space="preserve">. </w:t>
      </w:r>
      <w:r w:rsidR="006343E3">
        <w:t xml:space="preserve"> </w:t>
      </w:r>
      <w:r>
        <w:t>The project has successfully delivered all the project’s outputs in the four beneficiary countries</w:t>
      </w:r>
      <w:r w:rsidR="00434059">
        <w:t xml:space="preserve">. </w:t>
      </w:r>
      <w:r w:rsidR="006343E3">
        <w:t xml:space="preserve"> </w:t>
      </w:r>
      <w:r>
        <w:t>This has supported the project in contributing to the DA recommendations and to progressing towards achieving its objective of developing</w:t>
      </w:r>
      <w:r w:rsidRPr="00912257">
        <w:t xml:space="preserve"> a supporting and bolstering</w:t>
      </w:r>
      <w:r>
        <w:t xml:space="preserve"> a</w:t>
      </w:r>
      <w:r w:rsidRPr="00912257">
        <w:t xml:space="preserve"> system to facilitate the registration of the collective marks of local enterprises </w:t>
      </w:r>
      <w:r>
        <w:t>for</w:t>
      </w:r>
      <w:r w:rsidRPr="00912257">
        <w:t xml:space="preserve"> cross-cutting economic development</w:t>
      </w:r>
      <w:r w:rsidR="00434059">
        <w:t xml:space="preserve">. </w:t>
      </w:r>
      <w:r w:rsidR="006343E3">
        <w:t xml:space="preserve"> </w:t>
      </w:r>
      <w:r>
        <w:t>Positive examples have already been seen of this through beneficiary associations bringing to market products under the collective mark as described above.</w:t>
      </w:r>
    </w:p>
    <w:p w14:paraId="1A16935E" w14:textId="4D7EA24F" w:rsidR="00B30770" w:rsidRPr="00347C9E" w:rsidRDefault="00B30770" w:rsidP="00B30770">
      <w:pPr>
        <w:numPr>
          <w:ilvl w:val="0"/>
          <w:numId w:val="8"/>
        </w:numPr>
        <w:spacing w:after="240"/>
        <w:rPr>
          <w:szCs w:val="22"/>
        </w:rPr>
      </w:pPr>
      <w:r w:rsidRPr="00347C9E">
        <w:rPr>
          <w:b/>
        </w:rPr>
        <w:t>Conclusion 2 (</w:t>
      </w:r>
      <w:r w:rsidRPr="00347C9E">
        <w:rPr>
          <w:b/>
          <w:i/>
        </w:rPr>
        <w:t>Ref:  Findings 1-6</w:t>
      </w:r>
      <w:r w:rsidRPr="00347C9E">
        <w:rPr>
          <w:b/>
        </w:rPr>
        <w:t>)</w:t>
      </w:r>
      <w:r w:rsidR="00434059">
        <w:t xml:space="preserve">. </w:t>
      </w:r>
      <w:r w:rsidR="006343E3">
        <w:t xml:space="preserve"> </w:t>
      </w:r>
      <w:r>
        <w:t>The project was efficiently and effectively managed by the DACD, considering some of the challenges of managing the project across four countries as described above</w:t>
      </w:r>
      <w:r w:rsidR="00434059">
        <w:t xml:space="preserve">. </w:t>
      </w:r>
      <w:r w:rsidR="006343E3">
        <w:t xml:space="preserve"> </w:t>
      </w:r>
      <w:r w:rsidRPr="002B70CC">
        <w:t>The project could have benefited from simpler and adapted purchasing and procurement rules for country-level activities</w:t>
      </w:r>
      <w:r>
        <w:t>, in addition to providing opportunities for exchange between country-level project stakeholders.</w:t>
      </w:r>
    </w:p>
    <w:p w14:paraId="6F2037AA" w14:textId="47FACB82" w:rsidR="00B30770" w:rsidRPr="00347C9E" w:rsidRDefault="00B30770" w:rsidP="00B30770">
      <w:pPr>
        <w:numPr>
          <w:ilvl w:val="0"/>
          <w:numId w:val="8"/>
        </w:numPr>
        <w:spacing w:after="240"/>
        <w:rPr>
          <w:szCs w:val="22"/>
        </w:rPr>
      </w:pPr>
      <w:r w:rsidRPr="00347C9E">
        <w:rPr>
          <w:b/>
        </w:rPr>
        <w:t>Conclusion 3 (</w:t>
      </w:r>
      <w:r w:rsidRPr="00347C9E">
        <w:rPr>
          <w:b/>
          <w:i/>
        </w:rPr>
        <w:t>Ref:  Findings 12-18</w:t>
      </w:r>
      <w:r w:rsidRPr="00347C9E">
        <w:rPr>
          <w:b/>
        </w:rPr>
        <w:t>)</w:t>
      </w:r>
      <w:r w:rsidR="00434059">
        <w:t xml:space="preserve">. </w:t>
      </w:r>
      <w:r w:rsidR="006343E3">
        <w:t xml:space="preserve"> </w:t>
      </w:r>
      <w:r>
        <w:t xml:space="preserve">The likelihood of success for the project’s objectives will depend upon </w:t>
      </w:r>
      <w:proofErr w:type="gramStart"/>
      <w:r>
        <w:t>a number of</w:t>
      </w:r>
      <w:proofErr w:type="gramEnd"/>
      <w:r>
        <w:t xml:space="preserve"> aspects</w:t>
      </w:r>
      <w:r w:rsidR="00434059">
        <w:t xml:space="preserve">. </w:t>
      </w:r>
      <w:r w:rsidR="006343E3">
        <w:t xml:space="preserve"> </w:t>
      </w:r>
      <w:r>
        <w:t xml:space="preserve">Firstly, the beneficiary associations must have the capacity to use and manage the collective mark. </w:t>
      </w:r>
      <w:r w:rsidR="006343E3">
        <w:t xml:space="preserve"> </w:t>
      </w:r>
      <w:r>
        <w:t xml:space="preserve">Secondly, the beneficiary association must have the capacity and support to promote and market their products under the collective mark. </w:t>
      </w:r>
      <w:r w:rsidR="006343E3">
        <w:t xml:space="preserve"> </w:t>
      </w:r>
      <w:r>
        <w:t>Economic development actors were well placed to provide this support</w:t>
      </w:r>
      <w:r w:rsidR="00434059">
        <w:t xml:space="preserve">. </w:t>
      </w:r>
      <w:r w:rsidR="006343E3">
        <w:t xml:space="preserve"> </w:t>
      </w:r>
      <w:r>
        <w:t>Finally, the national IP offices needed to have plans in place to build on the project’s benefits to promote further the use of collective marks in their countries</w:t>
      </w:r>
      <w:r w:rsidR="00434059">
        <w:t xml:space="preserve">. </w:t>
      </w:r>
      <w:r w:rsidR="006343E3">
        <w:t xml:space="preserve"> </w:t>
      </w:r>
      <w:r>
        <w:t xml:space="preserve">In all these areas, the beneficiary countries still have progress to be made and would need further support from Member States, </w:t>
      </w:r>
      <w:proofErr w:type="gramStart"/>
      <w:r>
        <w:t>WIPO</w:t>
      </w:r>
      <w:proofErr w:type="gramEnd"/>
      <w:r>
        <w:t xml:space="preserve"> and in-country stakeholders, as reflected in the following recommendations</w:t>
      </w:r>
      <w:r w:rsidR="00434059">
        <w:t xml:space="preserve">. </w:t>
      </w:r>
    </w:p>
    <w:p w14:paraId="42046FA4" w14:textId="5EFE3E11" w:rsidR="00B30770" w:rsidRDefault="00B30770" w:rsidP="00B30770">
      <w:pPr>
        <w:numPr>
          <w:ilvl w:val="0"/>
          <w:numId w:val="8"/>
        </w:numPr>
      </w:pPr>
      <w:r w:rsidRPr="00347C9E">
        <w:rPr>
          <w:b/>
        </w:rPr>
        <w:t xml:space="preserve">Recommendation 1 </w:t>
      </w:r>
      <w:r w:rsidRPr="00347C9E">
        <w:rPr>
          <w:b/>
          <w:i/>
        </w:rPr>
        <w:t>(Ref:  Conclusion 2, Findings 1-6)</w:t>
      </w:r>
      <w:r w:rsidR="00434059">
        <w:rPr>
          <w:i/>
        </w:rPr>
        <w:t xml:space="preserve">. </w:t>
      </w:r>
      <w:r w:rsidR="006343E3">
        <w:rPr>
          <w:i/>
        </w:rPr>
        <w:t xml:space="preserve"> </w:t>
      </w:r>
      <w:r>
        <w:t xml:space="preserve">To facilitate the implementation of future DA projects, </w:t>
      </w:r>
      <w:r w:rsidR="0030500C">
        <w:t xml:space="preserve">the </w:t>
      </w:r>
      <w:r>
        <w:t>DACD are encouraged to discuss with the Central Services Division an adaption of purchasing and procurement rules for country-level activities, while respecting WIPO’s existing oversight and regulatory framework.</w:t>
      </w:r>
    </w:p>
    <w:p w14:paraId="3F3BBC39" w14:textId="77777777" w:rsidR="00B30770" w:rsidRPr="00347C9E" w:rsidRDefault="00B30770" w:rsidP="00B30770"/>
    <w:p w14:paraId="71B0A1C8" w14:textId="3858A9B8" w:rsidR="00B30770" w:rsidRDefault="00B30770" w:rsidP="00B30770">
      <w:pPr>
        <w:numPr>
          <w:ilvl w:val="0"/>
          <w:numId w:val="8"/>
        </w:numPr>
      </w:pPr>
      <w:r w:rsidRPr="00347C9E">
        <w:rPr>
          <w:b/>
        </w:rPr>
        <w:t xml:space="preserve">Recommendation 2 </w:t>
      </w:r>
      <w:r w:rsidRPr="00347C9E">
        <w:rPr>
          <w:b/>
          <w:i/>
        </w:rPr>
        <w:t>(Ref:  Conclusion 2, Findings 1-6)</w:t>
      </w:r>
      <w:r w:rsidR="00434059">
        <w:rPr>
          <w:i/>
        </w:rPr>
        <w:t xml:space="preserve">. </w:t>
      </w:r>
      <w:r w:rsidR="006343E3">
        <w:rPr>
          <w:i/>
        </w:rPr>
        <w:t xml:space="preserve"> </w:t>
      </w:r>
      <w:r>
        <w:t xml:space="preserve">For future similar DA projects with multiple country implementation, Member States and </w:t>
      </w:r>
      <w:r w:rsidR="00CF0007">
        <w:t xml:space="preserve">the </w:t>
      </w:r>
      <w:r>
        <w:t xml:space="preserve">DACD are encouraged within their project design to include (and budget) activities </w:t>
      </w:r>
      <w:r w:rsidRPr="007163B8">
        <w:t>for learning-exchanges between country-level stakeholders, such as facilitated online webinars between countries.</w:t>
      </w:r>
    </w:p>
    <w:p w14:paraId="203B7603" w14:textId="77777777" w:rsidR="00B30770" w:rsidRDefault="00B30770" w:rsidP="00B30770">
      <w:pPr>
        <w:pStyle w:val="ListParagraph"/>
        <w:rPr>
          <w:b/>
        </w:rPr>
      </w:pPr>
    </w:p>
    <w:p w14:paraId="242B0A69" w14:textId="4B99D848" w:rsidR="00B30770" w:rsidRDefault="00B30770" w:rsidP="00B30770">
      <w:pPr>
        <w:numPr>
          <w:ilvl w:val="0"/>
          <w:numId w:val="8"/>
        </w:numPr>
      </w:pPr>
      <w:r>
        <w:rPr>
          <w:b/>
        </w:rPr>
        <w:t>R</w:t>
      </w:r>
      <w:r w:rsidRPr="00347C9E">
        <w:rPr>
          <w:b/>
        </w:rPr>
        <w:t xml:space="preserve">ecommendation 3 </w:t>
      </w:r>
      <w:r w:rsidRPr="00347C9E">
        <w:rPr>
          <w:b/>
          <w:i/>
        </w:rPr>
        <w:t>(Ref:  Conclusion 1 and 3, Findings 1-18</w:t>
      </w:r>
      <w:r w:rsidRPr="00347C9E">
        <w:rPr>
          <w:b/>
        </w:rPr>
        <w:t>)</w:t>
      </w:r>
      <w:r w:rsidR="00434059">
        <w:t xml:space="preserve">. </w:t>
      </w:r>
      <w:r w:rsidR="006343E3">
        <w:t xml:space="preserve"> </w:t>
      </w:r>
      <w:r>
        <w:t>For future DA projects that aim to contribute to economic development at the country-level,</w:t>
      </w:r>
      <w:r w:rsidR="00307561">
        <w:t xml:space="preserve"> Member States and</w:t>
      </w:r>
      <w:r>
        <w:t xml:space="preserve"> </w:t>
      </w:r>
      <w:r w:rsidR="00CF0007">
        <w:t xml:space="preserve">the </w:t>
      </w:r>
      <w:r>
        <w:t>DACD are encouraged to include economic development actors at the country (or provincial) level within the project team (and stakeholders) and/or within the project design.</w:t>
      </w:r>
    </w:p>
    <w:p w14:paraId="223B3643" w14:textId="77777777" w:rsidR="00B30770" w:rsidRDefault="00B30770" w:rsidP="00B30770">
      <w:pPr>
        <w:pStyle w:val="ListParagraph"/>
        <w:rPr>
          <w:b/>
        </w:rPr>
      </w:pPr>
    </w:p>
    <w:p w14:paraId="549D7331" w14:textId="4F9F6C35" w:rsidR="00B30770" w:rsidRDefault="00B30770" w:rsidP="00B30770">
      <w:pPr>
        <w:numPr>
          <w:ilvl w:val="0"/>
          <w:numId w:val="8"/>
        </w:numPr>
      </w:pPr>
      <w:r w:rsidRPr="00347C9E">
        <w:rPr>
          <w:b/>
        </w:rPr>
        <w:t xml:space="preserve">Recommendation 4 </w:t>
      </w:r>
      <w:r w:rsidRPr="00347C9E">
        <w:rPr>
          <w:b/>
          <w:i/>
        </w:rPr>
        <w:t>(Ref:  Conclusion 3, Findings 12-18</w:t>
      </w:r>
      <w:r w:rsidRPr="00347C9E">
        <w:rPr>
          <w:b/>
        </w:rPr>
        <w:t>)</w:t>
      </w:r>
      <w:r w:rsidR="00434059">
        <w:t xml:space="preserve">. </w:t>
      </w:r>
      <w:r w:rsidR="006343E3">
        <w:t xml:space="preserve"> </w:t>
      </w:r>
      <w:r>
        <w:t xml:space="preserve">For future DA projects that aim to build the capacity of local enterprises, associations and/or national IP offices, Member States and the DACD are encouraged </w:t>
      </w:r>
      <w:r w:rsidRPr="007163B8">
        <w:t xml:space="preserve">to include in project proposals activities (and budgets) for hand-over and follow-up plans. </w:t>
      </w:r>
    </w:p>
    <w:p w14:paraId="37590A40" w14:textId="77777777" w:rsidR="00B30770" w:rsidRDefault="00B30770" w:rsidP="00B30770">
      <w:pPr>
        <w:pStyle w:val="ListParagraph"/>
        <w:rPr>
          <w:b/>
        </w:rPr>
      </w:pPr>
    </w:p>
    <w:p w14:paraId="6DEAFEDB" w14:textId="32071122" w:rsidR="00B30770" w:rsidRDefault="00B30770" w:rsidP="00B30770">
      <w:pPr>
        <w:numPr>
          <w:ilvl w:val="0"/>
          <w:numId w:val="8"/>
        </w:numPr>
      </w:pPr>
      <w:r w:rsidRPr="00347C9E">
        <w:rPr>
          <w:b/>
        </w:rPr>
        <w:t xml:space="preserve">Recommendation 5 </w:t>
      </w:r>
      <w:r w:rsidRPr="00347C9E">
        <w:rPr>
          <w:b/>
          <w:i/>
        </w:rPr>
        <w:t>(Ref:  Conclusion 3, Findings 12-18</w:t>
      </w:r>
      <w:r w:rsidRPr="00347C9E">
        <w:rPr>
          <w:b/>
        </w:rPr>
        <w:t>)</w:t>
      </w:r>
      <w:r w:rsidR="00434059">
        <w:t xml:space="preserve">. </w:t>
      </w:r>
      <w:r w:rsidR="006343E3">
        <w:t xml:space="preserve"> </w:t>
      </w:r>
      <w:r>
        <w:t xml:space="preserve">To ensure that the benefits of the project are sustained, it is suggested that the beneficiary countries consider and undertake a targeted set of activities, including the following proposed activities: </w:t>
      </w:r>
    </w:p>
    <w:p w14:paraId="6B400DF1" w14:textId="77777777" w:rsidR="00B30770" w:rsidRDefault="00B30770" w:rsidP="00B30770">
      <w:pPr>
        <w:pStyle w:val="BodyText"/>
        <w:spacing w:after="0"/>
      </w:pPr>
    </w:p>
    <w:p w14:paraId="1363D675" w14:textId="48C67697" w:rsidR="00B30770" w:rsidRPr="007E0D25" w:rsidRDefault="00B30770" w:rsidP="003806EE">
      <w:pPr>
        <w:pStyle w:val="BodyText"/>
        <w:numPr>
          <w:ilvl w:val="0"/>
          <w:numId w:val="13"/>
        </w:numPr>
        <w:spacing w:after="0"/>
        <w:ind w:left="1440" w:hanging="720"/>
      </w:pPr>
      <w:r w:rsidRPr="00677097">
        <w:rPr>
          <w:bCs/>
        </w:rPr>
        <w:t xml:space="preserve">Support to the beneficiary associations in building their internal </w:t>
      </w:r>
      <w:r w:rsidR="00E9009A" w:rsidRPr="00677097">
        <w:rPr>
          <w:bCs/>
        </w:rPr>
        <w:t>organization</w:t>
      </w:r>
      <w:r w:rsidRPr="00677097">
        <w:rPr>
          <w:bCs/>
        </w:rPr>
        <w:t xml:space="preserve"> capacity to manage the collective mark</w:t>
      </w:r>
      <w:r>
        <w:rPr>
          <w:bCs/>
        </w:rPr>
        <w:t>s</w:t>
      </w:r>
      <w:r w:rsidRPr="00677097">
        <w:rPr>
          <w:bCs/>
        </w:rPr>
        <w:t xml:space="preserve">. </w:t>
      </w:r>
    </w:p>
    <w:p w14:paraId="7826FC60" w14:textId="77777777" w:rsidR="00B30770" w:rsidRPr="00B9572B" w:rsidRDefault="00B30770" w:rsidP="003806EE">
      <w:pPr>
        <w:pStyle w:val="BodyText"/>
        <w:spacing w:after="0"/>
        <w:ind w:left="1440" w:hanging="720"/>
      </w:pPr>
    </w:p>
    <w:p w14:paraId="0AACDFB8" w14:textId="77777777" w:rsidR="00B30770" w:rsidRPr="007E0D25" w:rsidRDefault="00B30770" w:rsidP="003806EE">
      <w:pPr>
        <w:pStyle w:val="BodyText"/>
        <w:numPr>
          <w:ilvl w:val="0"/>
          <w:numId w:val="13"/>
        </w:numPr>
        <w:spacing w:after="0"/>
        <w:ind w:left="1440" w:hanging="720"/>
      </w:pPr>
      <w:r>
        <w:rPr>
          <w:bCs/>
        </w:rPr>
        <w:t xml:space="preserve">Support to the beneficiary associations to strengthen their regulatory guidelines and specifications </w:t>
      </w:r>
      <w:proofErr w:type="gramStart"/>
      <w:r>
        <w:rPr>
          <w:bCs/>
        </w:rPr>
        <w:t>in order to</w:t>
      </w:r>
      <w:proofErr w:type="gramEnd"/>
      <w:r>
        <w:rPr>
          <w:bCs/>
        </w:rPr>
        <w:t xml:space="preserve"> be able to market a full range of products under the collective marks.</w:t>
      </w:r>
    </w:p>
    <w:p w14:paraId="250F5E9A" w14:textId="77777777" w:rsidR="00B30770" w:rsidRPr="00677097" w:rsidRDefault="00B30770" w:rsidP="003806EE">
      <w:pPr>
        <w:pStyle w:val="BodyText"/>
        <w:spacing w:after="0"/>
        <w:ind w:left="1440" w:hanging="720"/>
      </w:pPr>
    </w:p>
    <w:p w14:paraId="59ACFBBB" w14:textId="77777777" w:rsidR="00B30770" w:rsidRDefault="00B30770" w:rsidP="003806EE">
      <w:pPr>
        <w:pStyle w:val="BodyText"/>
        <w:numPr>
          <w:ilvl w:val="0"/>
          <w:numId w:val="13"/>
        </w:numPr>
        <w:spacing w:after="0"/>
        <w:ind w:left="1440" w:hanging="720"/>
      </w:pPr>
      <w:r>
        <w:t xml:space="preserve">Support to the beneficiary associations to market and promote products under the collective marks in collaboration with national (or provincial) economic development actors. </w:t>
      </w:r>
    </w:p>
    <w:p w14:paraId="5C422134" w14:textId="77777777" w:rsidR="00B30770" w:rsidRDefault="00B30770" w:rsidP="003806EE">
      <w:pPr>
        <w:pStyle w:val="BodyText"/>
        <w:spacing w:after="0"/>
        <w:ind w:left="1440" w:hanging="720"/>
      </w:pPr>
    </w:p>
    <w:p w14:paraId="7000B3C9" w14:textId="77777777" w:rsidR="00B30770" w:rsidRDefault="00B30770" w:rsidP="003806EE">
      <w:pPr>
        <w:pStyle w:val="BodyText"/>
        <w:numPr>
          <w:ilvl w:val="0"/>
          <w:numId w:val="13"/>
        </w:numPr>
        <w:spacing w:after="0"/>
        <w:ind w:left="1440" w:hanging="720"/>
      </w:pPr>
      <w:r>
        <w:t xml:space="preserve">Support to the national IP offices to put in place action plans / road maps to actively promote the use of collective marks in their </w:t>
      </w:r>
      <w:proofErr w:type="gramStart"/>
      <w:r>
        <w:t>countries</w:t>
      </w:r>
      <w:proofErr w:type="gramEnd"/>
      <w:r>
        <w:t xml:space="preserve"> </w:t>
      </w:r>
    </w:p>
    <w:p w14:paraId="65FE1570" w14:textId="77777777" w:rsidR="00B30770" w:rsidRDefault="00B30770" w:rsidP="003806EE">
      <w:pPr>
        <w:pStyle w:val="BodyText"/>
        <w:spacing w:after="0"/>
        <w:ind w:left="1440" w:hanging="720"/>
      </w:pPr>
    </w:p>
    <w:p w14:paraId="5F89476C" w14:textId="77777777" w:rsidR="00B30770" w:rsidRDefault="00B30770" w:rsidP="003806EE">
      <w:pPr>
        <w:pStyle w:val="BodyText"/>
        <w:numPr>
          <w:ilvl w:val="0"/>
          <w:numId w:val="13"/>
        </w:numPr>
        <w:spacing w:after="0"/>
        <w:ind w:left="1440" w:hanging="720"/>
      </w:pPr>
      <w:r>
        <w:t>Include the monitoring of the outcome indicator of the original project proposal (</w:t>
      </w:r>
      <w:proofErr w:type="gramStart"/>
      <w:r>
        <w:t>i.e.</w:t>
      </w:r>
      <w:proofErr w:type="gramEnd"/>
      <w:r>
        <w:t xml:space="preserve"> </w:t>
      </w:r>
      <w:r w:rsidRPr="00E74AE5">
        <w:rPr>
          <w:i/>
          <w:iCs/>
        </w:rPr>
        <w:t>Additional collective marks have been registered within five years from the completion of the project in each beneficiary country</w:t>
      </w:r>
      <w:r>
        <w:t>).</w:t>
      </w:r>
    </w:p>
    <w:p w14:paraId="3085DCFE" w14:textId="77777777" w:rsidR="00B30770" w:rsidRDefault="00B30770" w:rsidP="00B30770"/>
    <w:p w14:paraId="226EFC16" w14:textId="4AEB5480" w:rsidR="00FA140A" w:rsidRDefault="00FA140A" w:rsidP="00356EA3">
      <w:pPr>
        <w:pStyle w:val="BodyText"/>
      </w:pPr>
    </w:p>
    <w:p w14:paraId="16C99164" w14:textId="77777777" w:rsidR="00FB6E4B" w:rsidRPr="0026522C" w:rsidRDefault="00E3766D" w:rsidP="00424ED2">
      <w:pPr>
        <w:pStyle w:val="Heading1"/>
        <w:spacing w:before="0" w:after="240"/>
      </w:pPr>
      <w:r w:rsidRPr="000F43BE">
        <w:br w:type="page"/>
      </w:r>
      <w:bookmarkStart w:id="22" w:name="_Toc336032067"/>
      <w:bookmarkStart w:id="23" w:name="_Toc18392474"/>
      <w:r w:rsidR="0026522C">
        <w:t>I</w:t>
      </w:r>
      <w:r w:rsidR="0026522C" w:rsidRPr="0026522C">
        <w:t xml:space="preserve">. </w:t>
      </w:r>
      <w:r w:rsidR="00FB6E4B" w:rsidRPr="0026522C">
        <w:t>Introduction</w:t>
      </w:r>
      <w:bookmarkEnd w:id="22"/>
      <w:bookmarkEnd w:id="23"/>
      <w:r w:rsidR="00FB6E4B" w:rsidRPr="0026522C">
        <w:t xml:space="preserve"> </w:t>
      </w:r>
    </w:p>
    <w:p w14:paraId="744D5374" w14:textId="7764AF90" w:rsidR="00664488" w:rsidRPr="00424ED2" w:rsidRDefault="00664488" w:rsidP="00424ED2">
      <w:pPr>
        <w:pStyle w:val="ListParagraph"/>
        <w:numPr>
          <w:ilvl w:val="1"/>
          <w:numId w:val="13"/>
        </w:numPr>
        <w:ind w:left="0" w:firstLine="0"/>
        <w:rPr>
          <w:iCs/>
        </w:rPr>
      </w:pPr>
      <w:r>
        <w:t>This report is an independent evaluation of the Development Agenda</w:t>
      </w:r>
      <w:r w:rsidR="000850D0">
        <w:t xml:space="preserve"> (DA)</w:t>
      </w:r>
      <w:r>
        <w:t xml:space="preserve"> </w:t>
      </w:r>
      <w:bookmarkStart w:id="24" w:name="_Hlk161387436"/>
      <w:r>
        <w:t>Project on</w:t>
      </w:r>
      <w:r w:rsidR="00AE2425">
        <w:t xml:space="preserve"> the</w:t>
      </w:r>
      <w:r>
        <w:t xml:space="preserve"> </w:t>
      </w:r>
      <w:r w:rsidR="00AE2425" w:rsidRPr="00AE2425">
        <w:t>Registration of the Collective Marks of Local Enterprises as a Cross-Cutting Economic Development Issue</w:t>
      </w:r>
      <w:r w:rsidR="005E6B68">
        <w:t> </w:t>
      </w:r>
      <w:r w:rsidR="006F0F57">
        <w:t>(</w:t>
      </w:r>
      <w:hyperlink r:id="rId16" w:history="1">
        <w:r w:rsidR="006F0F57" w:rsidRPr="00424ED2">
          <w:rPr>
            <w:rStyle w:val="Hyperlink"/>
            <w:rFonts w:cs="Arial"/>
            <w:iCs/>
          </w:rPr>
          <w:t>DA_1_4_10_01</w:t>
        </w:r>
      </w:hyperlink>
      <w:r w:rsidR="006F0F57">
        <w:t>)</w:t>
      </w:r>
      <w:r w:rsidR="00AD15F0">
        <w:t>.</w:t>
      </w:r>
      <w:r w:rsidR="006F0F57">
        <w:t xml:space="preserve"> </w:t>
      </w:r>
      <w:bookmarkEnd w:id="24"/>
      <w:r w:rsidR="00E9009A">
        <w:t xml:space="preserve"> </w:t>
      </w:r>
      <w:r>
        <w:t xml:space="preserve">The project was approved during the </w:t>
      </w:r>
      <w:r w:rsidR="00AD15F0">
        <w:t>24</w:t>
      </w:r>
      <w:r w:rsidR="00AD15F0" w:rsidRPr="00424ED2">
        <w:rPr>
          <w:vertAlign w:val="superscript"/>
        </w:rPr>
        <w:t>th</w:t>
      </w:r>
      <w:r w:rsidR="00AD15F0">
        <w:t xml:space="preserve"> s</w:t>
      </w:r>
      <w:r>
        <w:t xml:space="preserve">ession of the Committee on Development and Intellectual Property (CDIP) (document </w:t>
      </w:r>
      <w:hyperlink r:id="rId17" w:history="1">
        <w:r w:rsidRPr="00424ED2">
          <w:rPr>
            <w:rStyle w:val="Hyperlink"/>
            <w:rFonts w:cs="Arial"/>
          </w:rPr>
          <w:t>CDIP/</w:t>
        </w:r>
        <w:r w:rsidR="00AD15F0" w:rsidRPr="00424ED2">
          <w:rPr>
            <w:rStyle w:val="Hyperlink"/>
            <w:rFonts w:cs="Arial"/>
          </w:rPr>
          <w:t>24</w:t>
        </w:r>
        <w:r w:rsidRPr="00424ED2">
          <w:rPr>
            <w:rStyle w:val="Hyperlink"/>
            <w:rFonts w:cs="Arial"/>
          </w:rPr>
          <w:t>/</w:t>
        </w:r>
        <w:r w:rsidR="00AE2425" w:rsidRPr="00424ED2">
          <w:rPr>
            <w:rStyle w:val="Hyperlink"/>
            <w:rFonts w:cs="Arial"/>
          </w:rPr>
          <w:t>9</w:t>
        </w:r>
      </w:hyperlink>
      <w:r>
        <w:t>)</w:t>
      </w:r>
      <w:r w:rsidR="000850D0">
        <w:t xml:space="preserve"> of the </w:t>
      </w:r>
      <w:r w:rsidR="000850D0" w:rsidRPr="000850D0">
        <w:t>World Intellectual Property Organization</w:t>
      </w:r>
      <w:r w:rsidR="000850D0">
        <w:t xml:space="preserve"> (WIPO)</w:t>
      </w:r>
      <w:r>
        <w:t xml:space="preserve">, held in Geneva, </w:t>
      </w:r>
      <w:r w:rsidR="006F0F57">
        <w:t xml:space="preserve">from </w:t>
      </w:r>
      <w:r w:rsidR="00AD15F0">
        <w:t>November</w:t>
      </w:r>
      <w:r w:rsidR="006F0F57">
        <w:t> 18 to 22,</w:t>
      </w:r>
      <w:r w:rsidR="00752A3A">
        <w:t xml:space="preserve"> 201</w:t>
      </w:r>
      <w:r w:rsidR="00AD15F0">
        <w:t>9</w:t>
      </w:r>
      <w:r>
        <w:t xml:space="preserve">. </w:t>
      </w:r>
      <w:r w:rsidR="00A220CB">
        <w:t>I</w:t>
      </w:r>
      <w:r w:rsidR="00995A89" w:rsidRPr="00995A89">
        <w:t>nitially, the project was approved for a period of 24 months.</w:t>
      </w:r>
      <w:r w:rsidR="00E23CEA">
        <w:t xml:space="preserve"> </w:t>
      </w:r>
      <w:r w:rsidR="00E9009A">
        <w:t xml:space="preserve"> </w:t>
      </w:r>
      <w:r w:rsidR="00E23CEA">
        <w:t>However, t</w:t>
      </w:r>
      <w:r w:rsidR="00995A89" w:rsidRPr="00995A89">
        <w:t>he CDIP, at its 26</w:t>
      </w:r>
      <w:r w:rsidR="00995A89" w:rsidRPr="00424ED2">
        <w:rPr>
          <w:vertAlign w:val="superscript"/>
        </w:rPr>
        <w:t>th</w:t>
      </w:r>
      <w:r w:rsidR="00995A89" w:rsidRPr="00995A89">
        <w:t>, 29</w:t>
      </w:r>
      <w:r w:rsidR="00995A89" w:rsidRPr="00424ED2">
        <w:rPr>
          <w:vertAlign w:val="superscript"/>
        </w:rPr>
        <w:t>th</w:t>
      </w:r>
      <w:r w:rsidR="00995A89" w:rsidRPr="00995A89">
        <w:t xml:space="preserve"> and 31</w:t>
      </w:r>
      <w:r w:rsidR="00995A89" w:rsidRPr="00424ED2">
        <w:rPr>
          <w:vertAlign w:val="superscript"/>
        </w:rPr>
        <w:t>st</w:t>
      </w:r>
      <w:r w:rsidR="000850D0">
        <w:t xml:space="preserve"> </w:t>
      </w:r>
      <w:r w:rsidR="00995A89" w:rsidRPr="00995A89">
        <w:t>sessions, approved extension</w:t>
      </w:r>
      <w:r w:rsidR="00E23CEA">
        <w:t>s</w:t>
      </w:r>
      <w:r w:rsidR="00995A89" w:rsidRPr="00995A89">
        <w:t xml:space="preserve"> for a maximum combined period of 18 months</w:t>
      </w:r>
      <w:r w:rsidR="00995A89" w:rsidRPr="00424ED2">
        <w:rPr>
          <w:lang w:val="en-GB"/>
        </w:rPr>
        <w:t xml:space="preserve">; </w:t>
      </w:r>
      <w:r w:rsidR="000850D0" w:rsidRPr="00424ED2">
        <w:rPr>
          <w:lang w:val="en-GB"/>
        </w:rPr>
        <w:t>resulting in a</w:t>
      </w:r>
      <w:r w:rsidR="00995A89" w:rsidRPr="00424ED2">
        <w:rPr>
          <w:lang w:val="en-GB"/>
        </w:rPr>
        <w:t xml:space="preserve"> project duration of 3</w:t>
      </w:r>
      <w:r w:rsidR="00E13CB0" w:rsidRPr="00424ED2">
        <w:rPr>
          <w:lang w:val="en-GB"/>
        </w:rPr>
        <w:t>8</w:t>
      </w:r>
      <w:r w:rsidR="00995A89" w:rsidRPr="00424ED2">
        <w:rPr>
          <w:lang w:val="en-GB"/>
        </w:rPr>
        <w:t xml:space="preserve"> months:</w:t>
      </w:r>
      <w:r w:rsidR="006F0F57" w:rsidRPr="00424ED2">
        <w:rPr>
          <w:lang w:val="en-GB"/>
        </w:rPr>
        <w:t xml:space="preserve"> </w:t>
      </w:r>
      <w:r w:rsidR="00995A89" w:rsidRPr="00424ED2">
        <w:rPr>
          <w:lang w:val="en-GB"/>
        </w:rPr>
        <w:t xml:space="preserve"> </w:t>
      </w:r>
      <w:bookmarkStart w:id="25" w:name="_Hlk161387460"/>
      <w:r w:rsidR="00C5602C" w:rsidRPr="00424ED2">
        <w:rPr>
          <w:lang w:val="en-GB"/>
        </w:rPr>
        <w:t xml:space="preserve">January 2021 – </w:t>
      </w:r>
      <w:r w:rsidR="00E13CB0" w:rsidRPr="00424ED2">
        <w:rPr>
          <w:lang w:val="en-GB"/>
        </w:rPr>
        <w:t>February</w:t>
      </w:r>
      <w:r w:rsidR="0030500C">
        <w:rPr>
          <w:lang w:val="en-GB"/>
        </w:rPr>
        <w:t> </w:t>
      </w:r>
      <w:r w:rsidR="00C5602C" w:rsidRPr="00424ED2">
        <w:rPr>
          <w:lang w:val="en-GB"/>
        </w:rPr>
        <w:t>202</w:t>
      </w:r>
      <w:r w:rsidR="00E13CB0" w:rsidRPr="00424ED2">
        <w:rPr>
          <w:lang w:val="en-GB"/>
        </w:rPr>
        <w:t>4</w:t>
      </w:r>
      <w:r w:rsidR="00C5602C" w:rsidRPr="00424ED2">
        <w:rPr>
          <w:lang w:val="en-GB"/>
        </w:rPr>
        <w:t>.</w:t>
      </w:r>
      <w:r w:rsidR="00995A89" w:rsidRPr="00424ED2">
        <w:rPr>
          <w:lang w:val="en-GB"/>
        </w:rPr>
        <w:t xml:space="preserve"> </w:t>
      </w:r>
      <w:bookmarkEnd w:id="25"/>
    </w:p>
    <w:p w14:paraId="558774F6" w14:textId="77777777" w:rsidR="00664488" w:rsidRPr="001D50BA" w:rsidRDefault="00664488" w:rsidP="00424ED2">
      <w:pPr>
        <w:pStyle w:val="Heading1"/>
        <w:spacing w:after="240"/>
      </w:pPr>
      <w:bookmarkStart w:id="26" w:name="_Toc18392475"/>
      <w:bookmarkStart w:id="27" w:name="_Toc336032068"/>
      <w:r>
        <w:t xml:space="preserve">II. </w:t>
      </w:r>
      <w:r w:rsidRPr="001D50BA">
        <w:t>Description of the project</w:t>
      </w:r>
      <w:bookmarkEnd w:id="26"/>
      <w:r w:rsidRPr="001D50BA">
        <w:t xml:space="preserve"> </w:t>
      </w:r>
      <w:bookmarkEnd w:id="27"/>
    </w:p>
    <w:p w14:paraId="0FC376EB" w14:textId="37EE7D67" w:rsidR="00D30F77" w:rsidRDefault="001D50BA" w:rsidP="00424ED2">
      <w:pPr>
        <w:pStyle w:val="BodyText"/>
        <w:numPr>
          <w:ilvl w:val="0"/>
          <w:numId w:val="21"/>
        </w:numPr>
        <w:spacing w:after="0"/>
        <w:ind w:left="0" w:firstLine="0"/>
      </w:pPr>
      <w:r w:rsidRPr="001D50BA">
        <w:rPr>
          <w:b/>
        </w:rPr>
        <w:t>Objective</w:t>
      </w:r>
      <w:r w:rsidR="00991AA8">
        <w:rPr>
          <w:b/>
        </w:rPr>
        <w:t>s</w:t>
      </w:r>
      <w:r>
        <w:t xml:space="preserve">: </w:t>
      </w:r>
      <w:r w:rsidR="00CF5833">
        <w:t xml:space="preserve"> </w:t>
      </w:r>
      <w:bookmarkStart w:id="28" w:name="_Hlk161387487"/>
      <w:r w:rsidR="00D30F77">
        <w:t xml:space="preserve">The </w:t>
      </w:r>
      <w:r w:rsidR="00805D47">
        <w:t>project aimed</w:t>
      </w:r>
      <w:r w:rsidR="00E23CEA">
        <w:t xml:space="preserve"> to d</w:t>
      </w:r>
      <w:r w:rsidR="00E23CEA" w:rsidRPr="00E23CEA">
        <w:t>evelop a supporting and bolstering system to facilitate the registration of the collective marks of local enterprises as a cross-cutting economic development issue</w:t>
      </w:r>
      <w:r w:rsidR="00E23CEA">
        <w:t xml:space="preserve">, </w:t>
      </w:r>
      <w:r w:rsidR="00F9459E">
        <w:t>by</w:t>
      </w:r>
      <w:r w:rsidR="00D30F77">
        <w:t xml:space="preserve">: </w:t>
      </w:r>
    </w:p>
    <w:p w14:paraId="1846CE14" w14:textId="77777777" w:rsidR="00C52F90" w:rsidRDefault="00C52F90" w:rsidP="00C52F90">
      <w:pPr>
        <w:pStyle w:val="BodyText"/>
        <w:spacing w:after="0"/>
      </w:pPr>
    </w:p>
    <w:p w14:paraId="54601D1B" w14:textId="6A482347" w:rsidR="00620FCF" w:rsidRDefault="00E23CEA" w:rsidP="0068577B">
      <w:pPr>
        <w:pStyle w:val="BodyText"/>
        <w:numPr>
          <w:ilvl w:val="0"/>
          <w:numId w:val="15"/>
        </w:numPr>
        <w:spacing w:after="0"/>
        <w:ind w:left="1440" w:hanging="720"/>
      </w:pPr>
      <w:r w:rsidRPr="00E23CEA">
        <w:t>Formulat</w:t>
      </w:r>
      <w:r w:rsidR="00F9459E">
        <w:t>ing</w:t>
      </w:r>
      <w:r w:rsidRPr="00E23CEA">
        <w:t xml:space="preserve"> an awareness-raising, information and dissemination strategy on the advantages, </w:t>
      </w:r>
      <w:proofErr w:type="gramStart"/>
      <w:r w:rsidRPr="00E23CEA">
        <w:t>opportunities</w:t>
      </w:r>
      <w:proofErr w:type="gramEnd"/>
      <w:r w:rsidRPr="00E23CEA">
        <w:t xml:space="preserve"> and benefits of the registration of collective marks as the intellectual property of small community enterprises.</w:t>
      </w:r>
    </w:p>
    <w:p w14:paraId="1DD2476A" w14:textId="77777777" w:rsidR="00620FCF" w:rsidRDefault="00620FCF" w:rsidP="0068577B">
      <w:pPr>
        <w:pStyle w:val="BodyText"/>
        <w:spacing w:after="0"/>
        <w:ind w:left="1440" w:hanging="720"/>
      </w:pPr>
    </w:p>
    <w:p w14:paraId="1D799967" w14:textId="7BA2EADE" w:rsidR="00E23CEA" w:rsidRDefault="00E23CEA" w:rsidP="0068577B">
      <w:pPr>
        <w:pStyle w:val="BodyText"/>
        <w:numPr>
          <w:ilvl w:val="0"/>
          <w:numId w:val="15"/>
        </w:numPr>
        <w:spacing w:after="0"/>
        <w:ind w:left="1440" w:hanging="720"/>
      </w:pPr>
      <w:r w:rsidRPr="00E23CEA">
        <w:t>Contribut</w:t>
      </w:r>
      <w:r w:rsidR="00F9459E">
        <w:t>ing</w:t>
      </w:r>
      <w:r w:rsidRPr="00E23CEA">
        <w:t xml:space="preserve"> to the strengthening of an institutional structure to support the identification, </w:t>
      </w:r>
      <w:proofErr w:type="gramStart"/>
      <w:r w:rsidRPr="00E23CEA">
        <w:t>development</w:t>
      </w:r>
      <w:proofErr w:type="gramEnd"/>
      <w:r w:rsidRPr="00E23CEA">
        <w:t xml:space="preserve"> and registration of collective marks.</w:t>
      </w:r>
    </w:p>
    <w:bookmarkEnd w:id="28"/>
    <w:p w14:paraId="2BE21B72" w14:textId="77777777" w:rsidR="00424ED2" w:rsidRDefault="00424ED2" w:rsidP="00620FCF">
      <w:pPr>
        <w:pStyle w:val="BodyText"/>
        <w:spacing w:after="0"/>
        <w:rPr>
          <w:b/>
          <w:bCs/>
        </w:rPr>
      </w:pPr>
    </w:p>
    <w:p w14:paraId="70ED10B7" w14:textId="1C43B557" w:rsidR="00C15076" w:rsidRDefault="00C15076" w:rsidP="00424ED2">
      <w:pPr>
        <w:pStyle w:val="BodyText"/>
        <w:numPr>
          <w:ilvl w:val="0"/>
          <w:numId w:val="21"/>
        </w:numPr>
        <w:spacing w:after="0"/>
        <w:ind w:left="0" w:firstLine="0"/>
      </w:pPr>
      <w:r w:rsidRPr="00C15076">
        <w:rPr>
          <w:b/>
          <w:bCs/>
        </w:rPr>
        <w:t>Beneficiary countries:</w:t>
      </w:r>
      <w:r w:rsidR="00C52F90">
        <w:rPr>
          <w:b/>
          <w:bCs/>
        </w:rPr>
        <w:t xml:space="preserve"> </w:t>
      </w:r>
      <w:r>
        <w:t xml:space="preserve"> </w:t>
      </w:r>
      <w:bookmarkStart w:id="29" w:name="_Hlk161387514"/>
      <w:r>
        <w:t>The project was implemented in four countries:</w:t>
      </w:r>
      <w:r w:rsidR="005E6B68">
        <w:t xml:space="preserve"> </w:t>
      </w:r>
      <w:r>
        <w:t xml:space="preserve"> The </w:t>
      </w:r>
      <w:proofErr w:type="spellStart"/>
      <w:r w:rsidRPr="00C15076">
        <w:t>Plurinational</w:t>
      </w:r>
      <w:proofErr w:type="spellEnd"/>
      <w:r w:rsidRPr="00C15076">
        <w:t xml:space="preserve"> State of Bolivia</w:t>
      </w:r>
      <w:r>
        <w:t xml:space="preserve"> (the Member State who put forward the project proposal</w:t>
      </w:r>
      <w:r w:rsidRPr="00C15076">
        <w:t>)</w:t>
      </w:r>
      <w:r>
        <w:t>, Brazil, the Philippines and Tunisia.</w:t>
      </w:r>
    </w:p>
    <w:bookmarkEnd w:id="29"/>
    <w:p w14:paraId="5CEDCB81" w14:textId="77777777" w:rsidR="005E6B68" w:rsidRPr="00C15076" w:rsidRDefault="005E6B68" w:rsidP="005E6B68">
      <w:pPr>
        <w:pStyle w:val="BodyText"/>
        <w:spacing w:after="0"/>
      </w:pPr>
    </w:p>
    <w:p w14:paraId="2FDD9EB2" w14:textId="67B23F59" w:rsidR="00493421" w:rsidRDefault="00493421" w:rsidP="00424ED2">
      <w:pPr>
        <w:pStyle w:val="BodyText"/>
        <w:numPr>
          <w:ilvl w:val="0"/>
          <w:numId w:val="21"/>
        </w:numPr>
        <w:spacing w:after="0"/>
        <w:ind w:left="0" w:firstLine="0"/>
      </w:pPr>
      <w:r>
        <w:rPr>
          <w:b/>
        </w:rPr>
        <w:t>Outputs</w:t>
      </w:r>
      <w:r w:rsidRPr="00394845">
        <w:rPr>
          <w:b/>
        </w:rPr>
        <w:t>:</w:t>
      </w:r>
      <w:r>
        <w:t xml:space="preserve"> </w:t>
      </w:r>
      <w:r w:rsidR="00C52F90">
        <w:t xml:space="preserve"> </w:t>
      </w:r>
      <w:r>
        <w:t xml:space="preserve">The project document set out the </w:t>
      </w:r>
      <w:r w:rsidR="00C15076">
        <w:t xml:space="preserve">following </w:t>
      </w:r>
      <w:r w:rsidR="00685395">
        <w:t>1</w:t>
      </w:r>
      <w:r w:rsidR="00472210">
        <w:t>3</w:t>
      </w:r>
      <w:r w:rsidR="00C15076">
        <w:t xml:space="preserve"> outputs (summarized)</w:t>
      </w:r>
      <w:r>
        <w:t>:</w:t>
      </w:r>
    </w:p>
    <w:p w14:paraId="3BDC4C5E" w14:textId="77777777" w:rsidR="00620FCF"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bookmarkStart w:id="30" w:name="_Toc336032069"/>
      <w:r w:rsidRPr="00685395">
        <w:rPr>
          <w:szCs w:val="22"/>
        </w:rPr>
        <w:t xml:space="preserve">Three beneficiary countries selected (and </w:t>
      </w:r>
      <w:r w:rsidR="007E2FB0">
        <w:rPr>
          <w:szCs w:val="22"/>
        </w:rPr>
        <w:t xml:space="preserve">the </w:t>
      </w:r>
      <w:proofErr w:type="spellStart"/>
      <w:r w:rsidR="007E2FB0">
        <w:rPr>
          <w:szCs w:val="22"/>
        </w:rPr>
        <w:t>Plurinational</w:t>
      </w:r>
      <w:proofErr w:type="spellEnd"/>
      <w:r w:rsidR="007E2FB0">
        <w:rPr>
          <w:szCs w:val="22"/>
        </w:rPr>
        <w:t xml:space="preserve"> State of </w:t>
      </w:r>
      <w:r w:rsidRPr="00685395">
        <w:rPr>
          <w:szCs w:val="22"/>
        </w:rPr>
        <w:t xml:space="preserve">Bolivia) </w:t>
      </w:r>
    </w:p>
    <w:p w14:paraId="5B983F11" w14:textId="2FF3B302" w:rsidR="00685395" w:rsidRPr="00620FCF" w:rsidRDefault="00685395" w:rsidP="00620FCF">
      <w:pPr>
        <w:autoSpaceDE w:val="0"/>
        <w:autoSpaceDN w:val="0"/>
        <w:adjustRightInd w:val="0"/>
        <w:ind w:left="1260" w:hanging="630"/>
        <w:rPr>
          <w:szCs w:val="22"/>
        </w:rPr>
      </w:pPr>
      <w:r w:rsidRPr="00620FCF">
        <w:rPr>
          <w:i/>
          <w:iCs/>
          <w:szCs w:val="22"/>
        </w:rPr>
        <w:t xml:space="preserve">In all four beneficiary countries: </w:t>
      </w:r>
    </w:p>
    <w:p w14:paraId="43A39113" w14:textId="06B1FB49"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sidRPr="00685395">
        <w:rPr>
          <w:szCs w:val="22"/>
        </w:rPr>
        <w:t xml:space="preserve">Country-level project plans </w:t>
      </w:r>
      <w:proofErr w:type="gramStart"/>
      <w:r w:rsidRPr="00685395">
        <w:rPr>
          <w:szCs w:val="22"/>
        </w:rPr>
        <w:t>approved</w:t>
      </w:r>
      <w:proofErr w:type="gramEnd"/>
      <w:r>
        <w:rPr>
          <w:szCs w:val="22"/>
        </w:rPr>
        <w:t xml:space="preserve"> </w:t>
      </w:r>
    </w:p>
    <w:p w14:paraId="75015A32" w14:textId="25A8753A"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sidRPr="00685395">
        <w:rPr>
          <w:szCs w:val="22"/>
        </w:rPr>
        <w:t xml:space="preserve">Scoping studies carried </w:t>
      </w:r>
      <w:proofErr w:type="gramStart"/>
      <w:r w:rsidRPr="00685395">
        <w:rPr>
          <w:szCs w:val="22"/>
        </w:rPr>
        <w:t>out</w:t>
      </w:r>
      <w:proofErr w:type="gramEnd"/>
      <w:r>
        <w:rPr>
          <w:szCs w:val="22"/>
        </w:rPr>
        <w:t xml:space="preserve"> </w:t>
      </w:r>
    </w:p>
    <w:p w14:paraId="4FEE1744" w14:textId="2B9E7F55"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sidRPr="00685395">
        <w:rPr>
          <w:szCs w:val="22"/>
        </w:rPr>
        <w:t xml:space="preserve">Information events </w:t>
      </w:r>
      <w:proofErr w:type="gramStart"/>
      <w:r w:rsidRPr="00685395">
        <w:rPr>
          <w:szCs w:val="22"/>
        </w:rPr>
        <w:t>held</w:t>
      </w:r>
      <w:proofErr w:type="gramEnd"/>
      <w:r>
        <w:rPr>
          <w:szCs w:val="22"/>
        </w:rPr>
        <w:t xml:space="preserve"> </w:t>
      </w:r>
    </w:p>
    <w:p w14:paraId="7BFF6324" w14:textId="72A998AF"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sidRPr="00685395">
        <w:rPr>
          <w:szCs w:val="22"/>
        </w:rPr>
        <w:t>Product</w:t>
      </w:r>
      <w:r>
        <w:rPr>
          <w:szCs w:val="22"/>
        </w:rPr>
        <w:t>s</w:t>
      </w:r>
      <w:r w:rsidRPr="00685395">
        <w:rPr>
          <w:szCs w:val="22"/>
        </w:rPr>
        <w:t>/association</w:t>
      </w:r>
      <w:r>
        <w:rPr>
          <w:szCs w:val="22"/>
        </w:rPr>
        <w:t>s</w:t>
      </w:r>
      <w:r w:rsidRPr="00685395">
        <w:rPr>
          <w:szCs w:val="22"/>
        </w:rPr>
        <w:t xml:space="preserve"> </w:t>
      </w:r>
      <w:proofErr w:type="gramStart"/>
      <w:r w:rsidRPr="00685395">
        <w:rPr>
          <w:szCs w:val="22"/>
        </w:rPr>
        <w:t>selected</w:t>
      </w:r>
      <w:proofErr w:type="gramEnd"/>
      <w:r>
        <w:rPr>
          <w:szCs w:val="22"/>
        </w:rPr>
        <w:t xml:space="preserve"> </w:t>
      </w:r>
    </w:p>
    <w:p w14:paraId="0F8B5B4F" w14:textId="5AA0E7BC"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sidRPr="00685395">
        <w:rPr>
          <w:szCs w:val="22"/>
        </w:rPr>
        <w:t>Workshops with associations</w:t>
      </w:r>
      <w:r>
        <w:rPr>
          <w:szCs w:val="22"/>
        </w:rPr>
        <w:t>’ members</w:t>
      </w:r>
      <w:r w:rsidRPr="00685395">
        <w:rPr>
          <w:szCs w:val="22"/>
        </w:rPr>
        <w:t xml:space="preserve"> </w:t>
      </w:r>
      <w:proofErr w:type="gramStart"/>
      <w:r w:rsidRPr="00685395">
        <w:rPr>
          <w:szCs w:val="22"/>
        </w:rPr>
        <w:t>held</w:t>
      </w:r>
      <w:proofErr w:type="gramEnd"/>
    </w:p>
    <w:p w14:paraId="703AA9A8" w14:textId="1FE42F49"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Pr>
          <w:szCs w:val="22"/>
        </w:rPr>
        <w:t>R</w:t>
      </w:r>
      <w:r w:rsidRPr="00685395">
        <w:rPr>
          <w:szCs w:val="22"/>
        </w:rPr>
        <w:t>egulations of use of the collective mark</w:t>
      </w:r>
      <w:r>
        <w:rPr>
          <w:szCs w:val="22"/>
        </w:rPr>
        <w:t xml:space="preserve"> drafted and </w:t>
      </w:r>
      <w:proofErr w:type="gramStart"/>
      <w:r>
        <w:rPr>
          <w:szCs w:val="22"/>
        </w:rPr>
        <w:t>adopted</w:t>
      </w:r>
      <w:proofErr w:type="gramEnd"/>
      <w:r>
        <w:rPr>
          <w:szCs w:val="22"/>
        </w:rPr>
        <w:t xml:space="preserve"> </w:t>
      </w:r>
    </w:p>
    <w:p w14:paraId="158B8892" w14:textId="7FE12C48"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Pr>
          <w:szCs w:val="22"/>
        </w:rPr>
        <w:t>L</w:t>
      </w:r>
      <w:r w:rsidRPr="00685395">
        <w:rPr>
          <w:szCs w:val="22"/>
        </w:rPr>
        <w:t>ogo</w:t>
      </w:r>
      <w:r>
        <w:rPr>
          <w:szCs w:val="22"/>
        </w:rPr>
        <w:t>s</w:t>
      </w:r>
      <w:r w:rsidRPr="00685395">
        <w:rPr>
          <w:szCs w:val="22"/>
        </w:rPr>
        <w:t xml:space="preserve"> for the collective mark</w:t>
      </w:r>
      <w:r>
        <w:rPr>
          <w:szCs w:val="22"/>
        </w:rPr>
        <w:t xml:space="preserve"> </w:t>
      </w:r>
      <w:proofErr w:type="gramStart"/>
      <w:r>
        <w:rPr>
          <w:szCs w:val="22"/>
        </w:rPr>
        <w:t>designed</w:t>
      </w:r>
      <w:proofErr w:type="gramEnd"/>
    </w:p>
    <w:p w14:paraId="25030A4E" w14:textId="3786B82C"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Pr>
          <w:szCs w:val="22"/>
        </w:rPr>
        <w:t>C</w:t>
      </w:r>
      <w:r w:rsidRPr="00685395">
        <w:rPr>
          <w:szCs w:val="22"/>
        </w:rPr>
        <w:t>ollective mark</w:t>
      </w:r>
      <w:r>
        <w:rPr>
          <w:szCs w:val="22"/>
        </w:rPr>
        <w:t xml:space="preserve">s </w:t>
      </w:r>
      <w:proofErr w:type="gramStart"/>
      <w:r>
        <w:rPr>
          <w:szCs w:val="22"/>
        </w:rPr>
        <w:t>registered</w:t>
      </w:r>
      <w:proofErr w:type="gramEnd"/>
    </w:p>
    <w:p w14:paraId="00AF0DD5" w14:textId="614E5308"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sidRPr="00685395">
        <w:rPr>
          <w:szCs w:val="22"/>
        </w:rPr>
        <w:t>Events to launch the collective mark</w:t>
      </w:r>
      <w:r>
        <w:rPr>
          <w:szCs w:val="22"/>
        </w:rPr>
        <w:t xml:space="preserve">s </w:t>
      </w:r>
      <w:proofErr w:type="gramStart"/>
      <w:r>
        <w:rPr>
          <w:szCs w:val="22"/>
        </w:rPr>
        <w:t>held</w:t>
      </w:r>
      <w:proofErr w:type="gramEnd"/>
    </w:p>
    <w:p w14:paraId="56B26065" w14:textId="76A5424E" w:rsidR="00685395" w:rsidRPr="00685395" w:rsidRDefault="00472210" w:rsidP="0068577B">
      <w:pPr>
        <w:pStyle w:val="ListParagraph"/>
        <w:numPr>
          <w:ilvl w:val="0"/>
          <w:numId w:val="12"/>
        </w:numPr>
        <w:autoSpaceDE w:val="0"/>
        <w:autoSpaceDN w:val="0"/>
        <w:adjustRightInd w:val="0"/>
        <w:spacing w:line="240" w:lineRule="auto"/>
        <w:ind w:left="1440" w:hanging="720"/>
        <w:contextualSpacing w:val="0"/>
        <w:rPr>
          <w:szCs w:val="22"/>
        </w:rPr>
      </w:pPr>
      <w:r>
        <w:rPr>
          <w:szCs w:val="22"/>
        </w:rPr>
        <w:t>P</w:t>
      </w:r>
      <w:r w:rsidR="00685395" w:rsidRPr="00685395">
        <w:rPr>
          <w:szCs w:val="22"/>
        </w:rPr>
        <w:t>ractical guide on collective marks</w:t>
      </w:r>
      <w:r w:rsidR="00685395">
        <w:rPr>
          <w:szCs w:val="22"/>
        </w:rPr>
        <w:t xml:space="preserve"> </w:t>
      </w:r>
      <w:proofErr w:type="gramStart"/>
      <w:r w:rsidR="00685395">
        <w:rPr>
          <w:szCs w:val="22"/>
        </w:rPr>
        <w:t>developed</w:t>
      </w:r>
      <w:proofErr w:type="gramEnd"/>
    </w:p>
    <w:p w14:paraId="385875D4" w14:textId="77777777" w:rsidR="00472210"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rPr>
          <w:szCs w:val="22"/>
        </w:rPr>
        <w:t>T</w:t>
      </w:r>
      <w:r w:rsidRPr="00685395">
        <w:rPr>
          <w:szCs w:val="22"/>
        </w:rPr>
        <w:t>raining activities for IP offices</w:t>
      </w:r>
      <w:r>
        <w:rPr>
          <w:szCs w:val="22"/>
        </w:rPr>
        <w:t xml:space="preserve"> carried </w:t>
      </w:r>
      <w:proofErr w:type="gramStart"/>
      <w:r>
        <w:rPr>
          <w:szCs w:val="22"/>
        </w:rPr>
        <w:t>out</w:t>
      </w:r>
      <w:proofErr w:type="gramEnd"/>
    </w:p>
    <w:p w14:paraId="1428EF7E" w14:textId="0FFADA3F" w:rsidR="00685395" w:rsidRPr="00685395" w:rsidRDefault="00472210" w:rsidP="0068577B">
      <w:pPr>
        <w:pStyle w:val="ListParagraph"/>
        <w:numPr>
          <w:ilvl w:val="0"/>
          <w:numId w:val="12"/>
        </w:numPr>
        <w:autoSpaceDE w:val="0"/>
        <w:autoSpaceDN w:val="0"/>
        <w:adjustRightInd w:val="0"/>
        <w:spacing w:line="240" w:lineRule="auto"/>
        <w:ind w:left="1440" w:hanging="720"/>
        <w:contextualSpacing w:val="0"/>
        <w:rPr>
          <w:szCs w:val="22"/>
        </w:rPr>
      </w:pPr>
      <w:r>
        <w:rPr>
          <w:szCs w:val="22"/>
        </w:rPr>
        <w:t xml:space="preserve">Awareness raising material </w:t>
      </w:r>
      <w:proofErr w:type="gramStart"/>
      <w:r>
        <w:rPr>
          <w:szCs w:val="22"/>
        </w:rPr>
        <w:t>produced</w:t>
      </w:r>
      <w:proofErr w:type="gramEnd"/>
    </w:p>
    <w:p w14:paraId="431974A2" w14:textId="77777777" w:rsidR="00FA4D39" w:rsidRPr="005E6B68" w:rsidRDefault="00FA4D39" w:rsidP="005E6B68">
      <w:pPr>
        <w:autoSpaceDE w:val="0"/>
        <w:autoSpaceDN w:val="0"/>
        <w:adjustRightInd w:val="0"/>
        <w:rPr>
          <w:szCs w:val="22"/>
        </w:rPr>
      </w:pPr>
    </w:p>
    <w:p w14:paraId="1006FBC2" w14:textId="39B6470A" w:rsidR="00A23E3D" w:rsidRPr="00424ED2" w:rsidRDefault="004A5839" w:rsidP="00424ED2">
      <w:pPr>
        <w:pStyle w:val="ListParagraph"/>
        <w:numPr>
          <w:ilvl w:val="0"/>
          <w:numId w:val="21"/>
        </w:numPr>
        <w:ind w:left="0" w:firstLine="0"/>
        <w:rPr>
          <w:szCs w:val="22"/>
        </w:rPr>
      </w:pPr>
      <w:r w:rsidRPr="00424ED2">
        <w:rPr>
          <w:szCs w:val="22"/>
        </w:rPr>
        <w:t>Within WIPO, this</w:t>
      </w:r>
      <w:r w:rsidR="00C660DD" w:rsidRPr="00424ED2">
        <w:rPr>
          <w:szCs w:val="22"/>
        </w:rPr>
        <w:t xml:space="preserve"> project has been managed by </w:t>
      </w:r>
      <w:r w:rsidR="00394845" w:rsidRPr="00424ED2">
        <w:rPr>
          <w:szCs w:val="22"/>
        </w:rPr>
        <w:t xml:space="preserve">the </w:t>
      </w:r>
      <w:r w:rsidR="00C15076" w:rsidRPr="00424ED2">
        <w:rPr>
          <w:szCs w:val="22"/>
        </w:rPr>
        <w:t>Development Agenda Coordination Division</w:t>
      </w:r>
      <w:r w:rsidR="00BB0B65" w:rsidRPr="00424ED2">
        <w:rPr>
          <w:szCs w:val="22"/>
        </w:rPr>
        <w:t> </w:t>
      </w:r>
      <w:r w:rsidR="00C15076" w:rsidRPr="00424ED2">
        <w:rPr>
          <w:szCs w:val="22"/>
        </w:rPr>
        <w:t>(DACD), Regional and National Development Sector</w:t>
      </w:r>
      <w:r w:rsidR="00BB0B65" w:rsidRPr="00424ED2">
        <w:rPr>
          <w:szCs w:val="22"/>
        </w:rPr>
        <w:t> </w:t>
      </w:r>
      <w:r w:rsidR="00C15076" w:rsidRPr="00424ED2">
        <w:rPr>
          <w:szCs w:val="22"/>
        </w:rPr>
        <w:t>(RNDS).</w:t>
      </w:r>
    </w:p>
    <w:p w14:paraId="2F65DACE" w14:textId="77777777" w:rsidR="00FB6E4B" w:rsidRPr="001D50BA" w:rsidRDefault="0026522C" w:rsidP="00424ED2">
      <w:pPr>
        <w:pStyle w:val="Heading1"/>
        <w:spacing w:after="240"/>
      </w:pPr>
      <w:bookmarkStart w:id="31" w:name="_Toc18392476"/>
      <w:r>
        <w:t xml:space="preserve">III. </w:t>
      </w:r>
      <w:r w:rsidR="00FB6E4B" w:rsidRPr="001D50BA">
        <w:t>Overview of evaluation criteria and methodology</w:t>
      </w:r>
      <w:bookmarkEnd w:id="30"/>
      <w:bookmarkEnd w:id="31"/>
    </w:p>
    <w:p w14:paraId="02FB6649" w14:textId="7925F8E5" w:rsidR="00FB6E4B" w:rsidRDefault="00FB6E4B" w:rsidP="00424ED2">
      <w:pPr>
        <w:pStyle w:val="BodyText"/>
        <w:numPr>
          <w:ilvl w:val="0"/>
          <w:numId w:val="21"/>
        </w:numPr>
        <w:spacing w:after="0"/>
        <w:ind w:left="0" w:firstLine="0"/>
      </w:pPr>
      <w:r>
        <w:t xml:space="preserve">The aim of the evaluation </w:t>
      </w:r>
      <w:r w:rsidR="00BA2BB2">
        <w:t xml:space="preserve">was </w:t>
      </w:r>
      <w:r w:rsidR="00BA2BB2" w:rsidRPr="0034105E">
        <w:t xml:space="preserve">to </w:t>
      </w:r>
      <w:r w:rsidR="00BA2BB2">
        <w:t>assess</w:t>
      </w:r>
      <w:r w:rsidR="00197452">
        <w:t xml:space="preserve"> the project’s </w:t>
      </w:r>
      <w:r w:rsidR="00BA2BB2" w:rsidRPr="0034105E">
        <w:t>performance</w:t>
      </w:r>
      <w:r w:rsidR="00D700E8">
        <w:t>,</w:t>
      </w:r>
      <w:r w:rsidR="00BA2BB2" w:rsidRPr="0034105E">
        <w:t xml:space="preserve"> in</w:t>
      </w:r>
      <w:r w:rsidR="00355C3A">
        <w:t xml:space="preserve">cluding project design and </w:t>
      </w:r>
      <w:r w:rsidR="00BA2BB2" w:rsidRPr="0034105E">
        <w:t xml:space="preserve">management, coordination, coherence, </w:t>
      </w:r>
      <w:proofErr w:type="gramStart"/>
      <w:r w:rsidR="00BA2BB2" w:rsidRPr="0034105E">
        <w:t>implementation</w:t>
      </w:r>
      <w:proofErr w:type="gramEnd"/>
      <w:r w:rsidR="00BA2BB2" w:rsidRPr="0034105E">
        <w:t xml:space="preserve"> and results achieved</w:t>
      </w:r>
      <w:r w:rsidR="00434059">
        <w:t xml:space="preserve">. </w:t>
      </w:r>
      <w:r w:rsidR="00E9009A">
        <w:t xml:space="preserve"> </w:t>
      </w:r>
      <w:r>
        <w:t xml:space="preserve">The evaluation also aimed to provide </w:t>
      </w:r>
      <w:r w:rsidRPr="00012231">
        <w:t>evidence-based evaluation information to support the</w:t>
      </w:r>
      <w:r w:rsidR="00753FF6">
        <w:t xml:space="preserve"> decision-making process</w:t>
      </w:r>
      <w:r w:rsidR="00753FF6" w:rsidRPr="00753FF6">
        <w:t xml:space="preserve"> </w:t>
      </w:r>
      <w:r w:rsidR="00753FF6">
        <w:t>as a mainstream program of WIPO.</w:t>
      </w:r>
    </w:p>
    <w:p w14:paraId="301BD63F" w14:textId="77777777" w:rsidR="00EB31D0" w:rsidRDefault="00EB31D0" w:rsidP="00EB31D0">
      <w:pPr>
        <w:pStyle w:val="BodyText"/>
        <w:spacing w:after="0"/>
      </w:pPr>
    </w:p>
    <w:p w14:paraId="018FBFC9" w14:textId="40CA58D6" w:rsidR="00FB6E4B" w:rsidRDefault="00FB6E4B" w:rsidP="00424ED2">
      <w:pPr>
        <w:pStyle w:val="BodyText"/>
        <w:numPr>
          <w:ilvl w:val="0"/>
          <w:numId w:val="21"/>
        </w:numPr>
        <w:spacing w:after="0"/>
        <w:ind w:left="0" w:firstLine="0"/>
      </w:pPr>
      <w:r>
        <w:t>The evaluation wa</w:t>
      </w:r>
      <w:r w:rsidR="002B660C">
        <w:t xml:space="preserve">s organized around </w:t>
      </w:r>
      <w:r w:rsidR="00E23CEA">
        <w:t>11</w:t>
      </w:r>
      <w:r w:rsidR="00504644">
        <w:t xml:space="preserve"> </w:t>
      </w:r>
      <w:r>
        <w:t xml:space="preserve">evaluation questions split into </w:t>
      </w:r>
      <w:r w:rsidR="00BA2BB2">
        <w:t>f</w:t>
      </w:r>
      <w:r w:rsidR="001E01EB">
        <w:t>our</w:t>
      </w:r>
      <w:r w:rsidR="001D50BA">
        <w:t xml:space="preserve"> </w:t>
      </w:r>
      <w:r w:rsidR="00DE1E2A">
        <w:t>areas</w:t>
      </w:r>
      <w:r>
        <w:t xml:space="preserve">: </w:t>
      </w:r>
      <w:r w:rsidR="005F59A3">
        <w:t xml:space="preserve"> </w:t>
      </w:r>
      <w:r w:rsidR="00BA2BB2" w:rsidRPr="0034105E">
        <w:t xml:space="preserve">Project </w:t>
      </w:r>
      <w:r w:rsidR="009F38D3">
        <w:t>Design and M</w:t>
      </w:r>
      <w:r w:rsidR="00BA2BB2" w:rsidRPr="0034105E">
        <w:t xml:space="preserve">anagement, Effectiveness, </w:t>
      </w:r>
      <w:proofErr w:type="gramStart"/>
      <w:r w:rsidR="00BA2BB2" w:rsidRPr="0034105E">
        <w:t>Sustainability</w:t>
      </w:r>
      <w:proofErr w:type="gramEnd"/>
      <w:r w:rsidR="00BA2BB2" w:rsidRPr="0034105E">
        <w:t xml:space="preserve"> and </w:t>
      </w:r>
      <w:r w:rsidR="00BA2BB2">
        <w:t>I</w:t>
      </w:r>
      <w:r w:rsidR="00BA2BB2" w:rsidRPr="0034105E">
        <w:t xml:space="preserve">mplementation of </w:t>
      </w:r>
      <w:r w:rsidR="000850D0">
        <w:t>DA</w:t>
      </w:r>
      <w:r w:rsidR="00BA2BB2" w:rsidRPr="0034105E">
        <w:t xml:space="preserve"> Recommendations</w:t>
      </w:r>
      <w:r w:rsidR="00434059">
        <w:t xml:space="preserve">. </w:t>
      </w:r>
      <w:r w:rsidR="00E9009A">
        <w:t xml:space="preserve"> </w:t>
      </w:r>
      <w:r>
        <w:t xml:space="preserve">These questions are responded to directly in the section “Key findings” below. </w:t>
      </w:r>
    </w:p>
    <w:p w14:paraId="5B30D3A7" w14:textId="77777777" w:rsidR="00C52F90" w:rsidRDefault="00C52F90" w:rsidP="00C52F90">
      <w:pPr>
        <w:pStyle w:val="BodyText"/>
        <w:spacing w:after="0"/>
      </w:pPr>
    </w:p>
    <w:p w14:paraId="4CA87C6E" w14:textId="1865ABA0" w:rsidR="005E6B68" w:rsidRDefault="00FB6E4B" w:rsidP="00424ED2">
      <w:pPr>
        <w:pStyle w:val="BodyText"/>
        <w:numPr>
          <w:ilvl w:val="0"/>
          <w:numId w:val="21"/>
        </w:numPr>
        <w:spacing w:after="0"/>
        <w:ind w:left="0" w:firstLine="0"/>
      </w:pPr>
      <w:r>
        <w:t>The evaluation utilized a combination of methods.</w:t>
      </w:r>
      <w:r w:rsidR="00EB31D0">
        <w:t xml:space="preserve"> </w:t>
      </w:r>
      <w:r w:rsidR="00E9009A">
        <w:t xml:space="preserve"> </w:t>
      </w:r>
      <w:r>
        <w:t>In addition to a revie</w:t>
      </w:r>
      <w:r w:rsidR="009C71AB">
        <w:t>w of all relevant documentation</w:t>
      </w:r>
      <w:r w:rsidR="00054B33">
        <w:t>, project outputs</w:t>
      </w:r>
      <w:r w:rsidR="009C71AB">
        <w:t xml:space="preserve"> and available monitoring data, </w:t>
      </w:r>
      <w:r>
        <w:t xml:space="preserve">interviews </w:t>
      </w:r>
      <w:r w:rsidR="00BD62A7">
        <w:t xml:space="preserve">were conducted with </w:t>
      </w:r>
      <w:r w:rsidR="00685395">
        <w:t>six</w:t>
      </w:r>
      <w:r w:rsidR="009B0A92">
        <w:t xml:space="preserve"> </w:t>
      </w:r>
      <w:r>
        <w:t xml:space="preserve">staff </w:t>
      </w:r>
      <w:r w:rsidR="00E56F76">
        <w:t xml:space="preserve">of </w:t>
      </w:r>
      <w:r>
        <w:t xml:space="preserve">the WIPO Secretariat </w:t>
      </w:r>
      <w:r w:rsidR="00BB73AD">
        <w:t>(in-person and telephone)</w:t>
      </w:r>
      <w:r w:rsidR="00BD62A7">
        <w:t xml:space="preserve"> and telephone interviews with</w:t>
      </w:r>
      <w:r w:rsidR="00635085">
        <w:t xml:space="preserve"> </w:t>
      </w:r>
      <w:r w:rsidR="00774A97">
        <w:t>1</w:t>
      </w:r>
      <w:r w:rsidR="0087171F">
        <w:t>4</w:t>
      </w:r>
      <w:r w:rsidR="0030500C">
        <w:t> </w:t>
      </w:r>
      <w:r w:rsidR="00774A97">
        <w:t xml:space="preserve">project </w:t>
      </w:r>
      <w:r w:rsidR="00635085">
        <w:t>stakeholders</w:t>
      </w:r>
      <w:r w:rsidR="00774A97">
        <w:t xml:space="preserve"> </w:t>
      </w:r>
      <w:r w:rsidR="00E56F76">
        <w:t xml:space="preserve">in </w:t>
      </w:r>
      <w:r w:rsidR="00685395">
        <w:t>all four beneficiary countries</w:t>
      </w:r>
      <w:r w:rsidR="00434059">
        <w:t xml:space="preserve">. </w:t>
      </w:r>
      <w:r w:rsidR="00E9009A">
        <w:t xml:space="preserve"> </w:t>
      </w:r>
      <w:r w:rsidR="00CD605F">
        <w:t xml:space="preserve">Evaluation consultants Patricia Goldschmid and Anita </w:t>
      </w:r>
      <w:proofErr w:type="spellStart"/>
      <w:r w:rsidR="00CD605F">
        <w:t>Leutgeb</w:t>
      </w:r>
      <w:proofErr w:type="spellEnd"/>
      <w:r w:rsidR="00CD605F">
        <w:t xml:space="preserve"> carried out stakeholder interviews in Spanish and Portuguese respectively for the evaluation. </w:t>
      </w:r>
    </w:p>
    <w:p w14:paraId="30EDC3F8" w14:textId="77777777" w:rsidR="00FB6E4B" w:rsidRPr="0026522C" w:rsidRDefault="00692329" w:rsidP="00424ED2">
      <w:pPr>
        <w:pStyle w:val="Heading1"/>
        <w:spacing w:after="240"/>
        <w:rPr>
          <w:szCs w:val="22"/>
        </w:rPr>
      </w:pPr>
      <w:bookmarkStart w:id="32" w:name="_Toc336032070"/>
      <w:bookmarkStart w:id="33" w:name="_Toc18392477"/>
      <w:r>
        <w:t>IV</w:t>
      </w:r>
      <w:r w:rsidR="0026522C" w:rsidRPr="0026522C">
        <w:t xml:space="preserve">. </w:t>
      </w:r>
      <w:r w:rsidR="00FB6E4B" w:rsidRPr="0026522C">
        <w:rPr>
          <w:szCs w:val="22"/>
        </w:rPr>
        <w:t>Key findings</w:t>
      </w:r>
      <w:bookmarkEnd w:id="32"/>
      <w:bookmarkEnd w:id="33"/>
    </w:p>
    <w:p w14:paraId="5810A36B" w14:textId="5A62C98B" w:rsidR="00C62392" w:rsidRDefault="00FB6E4B" w:rsidP="00424ED2">
      <w:pPr>
        <w:pStyle w:val="BodyText"/>
        <w:numPr>
          <w:ilvl w:val="0"/>
          <w:numId w:val="21"/>
        </w:numPr>
        <w:spacing w:after="0"/>
        <w:ind w:left="0" w:firstLine="0"/>
      </w:pPr>
      <w:r>
        <w:t xml:space="preserve">This section is </w:t>
      </w:r>
      <w:r w:rsidR="005F59A3">
        <w:t>organized</w:t>
      </w:r>
      <w:r>
        <w:t xml:space="preserve"> </w:t>
      </w:r>
      <w:proofErr w:type="gramStart"/>
      <w:r>
        <w:t>on the basis of</w:t>
      </w:r>
      <w:proofErr w:type="gramEnd"/>
      <w:r>
        <w:t xml:space="preserve"> the </w:t>
      </w:r>
      <w:r w:rsidR="007A35B0">
        <w:t>f</w:t>
      </w:r>
      <w:r w:rsidR="009F38D3">
        <w:t>our</w:t>
      </w:r>
      <w:r>
        <w:t xml:space="preserve"> evaluation areas</w:t>
      </w:r>
      <w:r w:rsidR="00434059">
        <w:t xml:space="preserve">. </w:t>
      </w:r>
      <w:r w:rsidR="00E9009A">
        <w:t xml:space="preserve"> </w:t>
      </w:r>
      <w:r>
        <w:t xml:space="preserve">Each evaluation question is answered directly under the headings of each area. </w:t>
      </w:r>
    </w:p>
    <w:p w14:paraId="115A2AD6" w14:textId="77777777" w:rsidR="00FB6E4B" w:rsidRDefault="00692329" w:rsidP="00424ED2">
      <w:pPr>
        <w:pStyle w:val="Heading2"/>
        <w:spacing w:before="240" w:after="240"/>
        <w:rPr>
          <w:lang w:val="en-GB"/>
        </w:rPr>
      </w:pPr>
      <w:bookmarkStart w:id="34" w:name="_Toc18392478"/>
      <w:r w:rsidRPr="00422938">
        <w:rPr>
          <w:lang w:val="en-GB"/>
        </w:rPr>
        <w:t xml:space="preserve">A. </w:t>
      </w:r>
      <w:r w:rsidR="009F38D3" w:rsidRPr="00422938">
        <w:rPr>
          <w:lang w:val="en-GB"/>
        </w:rPr>
        <w:t>Project Design and M</w:t>
      </w:r>
      <w:r w:rsidR="00FB6E4B" w:rsidRPr="00422938">
        <w:rPr>
          <w:lang w:val="en-GB"/>
        </w:rPr>
        <w:t>anagement</w:t>
      </w:r>
      <w:bookmarkEnd w:id="34"/>
      <w:r w:rsidR="00FB6E4B" w:rsidRPr="00422938">
        <w:rPr>
          <w:lang w:val="en-GB"/>
        </w:rPr>
        <w:t xml:space="preserve"> </w:t>
      </w:r>
    </w:p>
    <w:p w14:paraId="4B29FF33" w14:textId="77777777" w:rsidR="001D50BA" w:rsidRDefault="00FB6E4B" w:rsidP="005E6B68">
      <w:pPr>
        <w:pStyle w:val="BodyText"/>
        <w:tabs>
          <w:tab w:val="left" w:pos="450"/>
        </w:tabs>
        <w:spacing w:after="0"/>
        <w:rPr>
          <w:i/>
          <w:u w:val="single"/>
        </w:rPr>
      </w:pPr>
      <w:r w:rsidRPr="001D50BA">
        <w:rPr>
          <w:i/>
          <w:u w:val="single"/>
        </w:rPr>
        <w:t xml:space="preserve">Appropriateness of </w:t>
      </w:r>
      <w:r w:rsidR="00011BFB">
        <w:rPr>
          <w:i/>
          <w:u w:val="single"/>
        </w:rPr>
        <w:t>the initial project document as a guide for project</w:t>
      </w:r>
      <w:r w:rsidRPr="001D50BA">
        <w:rPr>
          <w:i/>
          <w:u w:val="single"/>
        </w:rPr>
        <w:t xml:space="preserve"> implementa</w:t>
      </w:r>
      <w:r w:rsidR="005803E1">
        <w:rPr>
          <w:i/>
          <w:u w:val="single"/>
        </w:rPr>
        <w:t>tion and assessment of results</w:t>
      </w:r>
      <w:r w:rsidR="00011BFB">
        <w:rPr>
          <w:i/>
          <w:u w:val="single"/>
        </w:rPr>
        <w:t xml:space="preserve"> achieved.</w:t>
      </w:r>
      <w:r w:rsidR="005F59A3" w:rsidRPr="001D50BA">
        <w:rPr>
          <w:i/>
          <w:u w:val="single"/>
        </w:rPr>
        <w:t xml:space="preserve"> </w:t>
      </w:r>
    </w:p>
    <w:p w14:paraId="425B735C" w14:textId="77777777" w:rsidR="005E6B68" w:rsidRPr="001D50BA" w:rsidRDefault="005E6B68" w:rsidP="005E6B68">
      <w:pPr>
        <w:pStyle w:val="BodyText"/>
        <w:tabs>
          <w:tab w:val="left" w:pos="450"/>
        </w:tabs>
        <w:spacing w:after="0"/>
        <w:rPr>
          <w:i/>
          <w:u w:val="single"/>
        </w:rPr>
      </w:pPr>
    </w:p>
    <w:p w14:paraId="25302EDB" w14:textId="029506CA" w:rsidR="00A557C2" w:rsidRDefault="001D50BA" w:rsidP="00424ED2">
      <w:pPr>
        <w:pStyle w:val="BodyText"/>
        <w:numPr>
          <w:ilvl w:val="0"/>
          <w:numId w:val="21"/>
        </w:numPr>
        <w:spacing w:after="0"/>
        <w:ind w:left="0" w:firstLine="0"/>
      </w:pPr>
      <w:r w:rsidRPr="001D50BA">
        <w:rPr>
          <w:b/>
        </w:rPr>
        <w:t>Finding 1</w:t>
      </w:r>
      <w:r>
        <w:t xml:space="preserve">: </w:t>
      </w:r>
      <w:r w:rsidR="000A1C40">
        <w:t xml:space="preserve"> </w:t>
      </w:r>
      <w:bookmarkStart w:id="35" w:name="_Hlk161387777"/>
      <w:r w:rsidR="00FB6E4B">
        <w:t>The project</w:t>
      </w:r>
      <w:r w:rsidR="000850D0">
        <w:t xml:space="preserve"> proposal</w:t>
      </w:r>
      <w:r w:rsidR="00FB6E4B">
        <w:t xml:space="preserve"> document </w:t>
      </w:r>
      <w:r w:rsidR="00CB1F95">
        <w:t xml:space="preserve">provided </w:t>
      </w:r>
      <w:r w:rsidR="001E1672">
        <w:t>a</w:t>
      </w:r>
      <w:r w:rsidR="00EE476F">
        <w:t xml:space="preserve"> description of </w:t>
      </w:r>
      <w:r w:rsidR="001E1672">
        <w:t xml:space="preserve">the </w:t>
      </w:r>
      <w:r w:rsidR="00EE476F">
        <w:t xml:space="preserve">delivery </w:t>
      </w:r>
      <w:r w:rsidR="008C21E1">
        <w:t>strategy</w:t>
      </w:r>
      <w:r w:rsidR="00D0477B">
        <w:t>, activities</w:t>
      </w:r>
      <w:r w:rsidR="00774A97">
        <w:t xml:space="preserve">, output </w:t>
      </w:r>
      <w:r w:rsidR="008C21E1">
        <w:t>and schedule</w:t>
      </w:r>
      <w:r w:rsidR="00EE476F">
        <w:t xml:space="preserve">, </w:t>
      </w:r>
      <w:proofErr w:type="gramStart"/>
      <w:r w:rsidR="00EE476F">
        <w:t>budget</w:t>
      </w:r>
      <w:proofErr w:type="gramEnd"/>
      <w:r w:rsidR="00EE476F">
        <w:t xml:space="preserve"> and monitoring indicators</w:t>
      </w:r>
      <w:r w:rsidR="00434059">
        <w:t xml:space="preserve">. </w:t>
      </w:r>
      <w:r w:rsidR="009E7D1E">
        <w:t>It</w:t>
      </w:r>
      <w:r w:rsidR="000F594C">
        <w:t xml:space="preserve"> </w:t>
      </w:r>
      <w:r w:rsidR="009A708B">
        <w:t>also contained a clear rationale for the project</w:t>
      </w:r>
      <w:r w:rsidR="00434059">
        <w:t xml:space="preserve">. </w:t>
      </w:r>
      <w:r w:rsidR="00E9009A">
        <w:t xml:space="preserve"> </w:t>
      </w:r>
      <w:r w:rsidR="009A708B">
        <w:t>The project document w</w:t>
      </w:r>
      <w:r w:rsidR="000F594C">
        <w:t xml:space="preserve">as found </w:t>
      </w:r>
      <w:r w:rsidR="000F594C" w:rsidRPr="00F63419">
        <w:t>to be sufficient in guiding the overall implementation and assessment of progress</w:t>
      </w:r>
      <w:r w:rsidR="00434059">
        <w:t xml:space="preserve">. </w:t>
      </w:r>
      <w:r w:rsidR="00E9009A">
        <w:t xml:space="preserve"> </w:t>
      </w:r>
      <w:r w:rsidR="009E7D1E">
        <w:t xml:space="preserve">Ultimately, the main deliverables </w:t>
      </w:r>
      <w:r w:rsidR="00774A97">
        <w:t>of the project were those that were</w:t>
      </w:r>
      <w:r w:rsidR="009E7D1E">
        <w:t xml:space="preserve"> foreseen in the proposal document</w:t>
      </w:r>
      <w:r w:rsidR="00434059">
        <w:t xml:space="preserve">. </w:t>
      </w:r>
      <w:r w:rsidR="00E9009A">
        <w:t xml:space="preserve"> </w:t>
      </w:r>
      <w:r w:rsidR="00774A97">
        <w:t xml:space="preserve">An aspect that needed consequent adjustment was the timeline and the consequent project extension (due mainly to the COVID-19 pandemic and </w:t>
      </w:r>
      <w:r w:rsidR="000154F7">
        <w:t>changes within governments of the beneficiary countries</w:t>
      </w:r>
      <w:r w:rsidR="00774A97">
        <w:t>), which were not possible to foresee when the project proposal was approved in November 2019</w:t>
      </w:r>
      <w:r w:rsidR="00434059">
        <w:t xml:space="preserve">. </w:t>
      </w:r>
      <w:r w:rsidR="00774A97">
        <w:t xml:space="preserve"> </w:t>
      </w:r>
      <w:r w:rsidR="00AB4F67">
        <w:t xml:space="preserve"> </w:t>
      </w:r>
      <w:r w:rsidR="000F594C">
        <w:t xml:space="preserve">  </w:t>
      </w:r>
    </w:p>
    <w:bookmarkEnd w:id="35"/>
    <w:p w14:paraId="5342C25A" w14:textId="77777777" w:rsidR="005E6B68" w:rsidRDefault="005E6B68" w:rsidP="009445E6">
      <w:pPr>
        <w:pStyle w:val="BodyText"/>
        <w:tabs>
          <w:tab w:val="left" w:pos="450"/>
        </w:tabs>
        <w:spacing w:after="0"/>
        <w:jc w:val="both"/>
      </w:pPr>
    </w:p>
    <w:p w14:paraId="44824D8B" w14:textId="77777777" w:rsidR="00177E17" w:rsidRDefault="00011BFB" w:rsidP="009445E6">
      <w:pPr>
        <w:pStyle w:val="BodyText"/>
        <w:spacing w:after="0"/>
        <w:jc w:val="both"/>
        <w:rPr>
          <w:i/>
          <w:u w:val="single"/>
        </w:rPr>
      </w:pPr>
      <w:r>
        <w:rPr>
          <w:i/>
          <w:u w:val="single"/>
        </w:rPr>
        <w:t>T</w:t>
      </w:r>
      <w:r w:rsidR="00FB6E4B" w:rsidRPr="00177E17">
        <w:rPr>
          <w:i/>
          <w:u w:val="single"/>
        </w:rPr>
        <w:t>he project monitoring, self-evaluation and reporting tools</w:t>
      </w:r>
      <w:r>
        <w:rPr>
          <w:i/>
          <w:u w:val="single"/>
        </w:rPr>
        <w:t xml:space="preserve"> and analysis of whether they were useful and adequate to provide the project team and key stakeholders with </w:t>
      </w:r>
      <w:r w:rsidR="00FB6E4B" w:rsidRPr="00177E17">
        <w:rPr>
          <w:i/>
          <w:u w:val="single"/>
        </w:rPr>
        <w:t>relevant information for decision-making purposes</w:t>
      </w:r>
      <w:r>
        <w:rPr>
          <w:i/>
          <w:u w:val="single"/>
        </w:rPr>
        <w:t>.</w:t>
      </w:r>
    </w:p>
    <w:p w14:paraId="3F8A9531" w14:textId="77777777" w:rsidR="005E6B68" w:rsidRPr="00177E17" w:rsidRDefault="005E6B68" w:rsidP="009445E6">
      <w:pPr>
        <w:pStyle w:val="BodyText"/>
        <w:spacing w:after="0"/>
        <w:jc w:val="both"/>
        <w:rPr>
          <w:i/>
          <w:u w:val="single"/>
        </w:rPr>
      </w:pPr>
    </w:p>
    <w:p w14:paraId="55E599FF" w14:textId="634E3D78" w:rsidR="00083BB1" w:rsidRPr="005E6B68" w:rsidRDefault="00177E17" w:rsidP="00424ED2">
      <w:pPr>
        <w:pStyle w:val="BodyText"/>
        <w:numPr>
          <w:ilvl w:val="0"/>
          <w:numId w:val="21"/>
        </w:numPr>
        <w:spacing w:after="0"/>
        <w:ind w:left="0" w:firstLine="0"/>
        <w:jc w:val="both"/>
      </w:pPr>
      <w:r w:rsidRPr="00177E17">
        <w:rPr>
          <w:b/>
          <w:szCs w:val="22"/>
        </w:rPr>
        <w:t xml:space="preserve">Finding </w:t>
      </w:r>
      <w:r w:rsidR="00AB47B3">
        <w:rPr>
          <w:b/>
          <w:szCs w:val="22"/>
        </w:rPr>
        <w:t>2</w:t>
      </w:r>
      <w:r w:rsidRPr="00177E17">
        <w:rPr>
          <w:b/>
          <w:szCs w:val="22"/>
        </w:rPr>
        <w:t>:</w:t>
      </w:r>
      <w:r>
        <w:rPr>
          <w:szCs w:val="22"/>
        </w:rPr>
        <w:t xml:space="preserve"> </w:t>
      </w:r>
      <w:bookmarkStart w:id="36" w:name="_Hlk161387819"/>
      <w:r w:rsidR="00E9009A">
        <w:rPr>
          <w:szCs w:val="22"/>
        </w:rPr>
        <w:t xml:space="preserve"> </w:t>
      </w:r>
      <w:r w:rsidR="009755F4" w:rsidRPr="009755F4">
        <w:rPr>
          <w:szCs w:val="22"/>
        </w:rPr>
        <w:t>The pr</w:t>
      </w:r>
      <w:r w:rsidR="00F7236E">
        <w:rPr>
          <w:szCs w:val="22"/>
        </w:rPr>
        <w:t xml:space="preserve">oject </w:t>
      </w:r>
      <w:r w:rsidR="00F7236E" w:rsidRPr="00F63419">
        <w:rPr>
          <w:szCs w:val="22"/>
        </w:rPr>
        <w:t>monitoring</w:t>
      </w:r>
      <w:r w:rsidR="009755F4" w:rsidRPr="00F63419">
        <w:rPr>
          <w:szCs w:val="22"/>
        </w:rPr>
        <w:t xml:space="preserve"> tools were appropriate for reporting to Member States</w:t>
      </w:r>
      <w:r w:rsidR="009755F4" w:rsidRPr="009755F4">
        <w:rPr>
          <w:szCs w:val="22"/>
        </w:rPr>
        <w:t xml:space="preserve"> at the CDIP</w:t>
      </w:r>
      <w:r w:rsidR="00F7236E">
        <w:rPr>
          <w:szCs w:val="22"/>
        </w:rPr>
        <w:t xml:space="preserve"> on the overall progress of the project</w:t>
      </w:r>
      <w:bookmarkEnd w:id="36"/>
      <w:r w:rsidR="00434059">
        <w:rPr>
          <w:szCs w:val="22"/>
        </w:rPr>
        <w:t xml:space="preserve">. </w:t>
      </w:r>
      <w:r w:rsidR="00E9009A">
        <w:rPr>
          <w:szCs w:val="22"/>
        </w:rPr>
        <w:t xml:space="preserve"> </w:t>
      </w:r>
      <w:r w:rsidR="00083BB1">
        <w:rPr>
          <w:szCs w:val="22"/>
        </w:rPr>
        <w:t>Several observations were made about the reporting and analysis tools:</w:t>
      </w:r>
    </w:p>
    <w:p w14:paraId="33C2C631" w14:textId="77777777" w:rsidR="005E6B68" w:rsidRPr="00083BB1" w:rsidRDefault="005E6B68" w:rsidP="009445E6">
      <w:pPr>
        <w:pStyle w:val="BodyText"/>
        <w:spacing w:after="0"/>
        <w:jc w:val="both"/>
      </w:pPr>
    </w:p>
    <w:p w14:paraId="6451B6EF" w14:textId="23C37948" w:rsidR="0093027E" w:rsidRDefault="00493421" w:rsidP="0068577B">
      <w:pPr>
        <w:pStyle w:val="ONUME"/>
        <w:numPr>
          <w:ilvl w:val="0"/>
          <w:numId w:val="11"/>
        </w:numPr>
        <w:spacing w:after="0"/>
        <w:ind w:left="1440" w:hanging="720"/>
      </w:pPr>
      <w:r>
        <w:t>T</w:t>
      </w:r>
      <w:r w:rsidR="000D4D5A">
        <w:t xml:space="preserve">he Secretariat presented </w:t>
      </w:r>
      <w:r w:rsidR="00E5759D">
        <w:t>four</w:t>
      </w:r>
      <w:r w:rsidR="000D4D5A">
        <w:t xml:space="preserve"> Progress Report to Member States at the CDIP</w:t>
      </w:r>
      <w:r w:rsidR="0059184E">
        <w:t xml:space="preserve"> (</w:t>
      </w:r>
      <w:r w:rsidR="00E5759D">
        <w:t xml:space="preserve">at its </w:t>
      </w:r>
      <w:r w:rsidR="0059184E">
        <w:t>26</w:t>
      </w:r>
      <w:r w:rsidR="0059184E" w:rsidRPr="0059184E">
        <w:rPr>
          <w:vertAlign w:val="superscript"/>
        </w:rPr>
        <w:t>th</w:t>
      </w:r>
      <w:r w:rsidR="00E5759D">
        <w:rPr>
          <w:vertAlign w:val="superscript"/>
        </w:rPr>
        <w:t>,</w:t>
      </w:r>
      <w:r w:rsidR="0059184E">
        <w:t xml:space="preserve"> </w:t>
      </w:r>
      <w:r w:rsidR="00E5759D">
        <w:t>29</w:t>
      </w:r>
      <w:r w:rsidR="00E5759D" w:rsidRPr="00E5759D">
        <w:rPr>
          <w:vertAlign w:val="superscript"/>
        </w:rPr>
        <w:t>th</w:t>
      </w:r>
      <w:r w:rsidR="00E5759D">
        <w:t>, 30</w:t>
      </w:r>
      <w:r w:rsidR="00E5759D" w:rsidRPr="00E5759D">
        <w:rPr>
          <w:vertAlign w:val="superscript"/>
        </w:rPr>
        <w:t>th</w:t>
      </w:r>
      <w:r w:rsidR="00E5759D">
        <w:t>, 31</w:t>
      </w:r>
      <w:r w:rsidR="00E5759D" w:rsidRPr="00E5759D">
        <w:rPr>
          <w:vertAlign w:val="superscript"/>
        </w:rPr>
        <w:t>st</w:t>
      </w:r>
      <w:r w:rsidR="00E5759D">
        <w:t xml:space="preserve"> </w:t>
      </w:r>
      <w:r w:rsidR="0059184E">
        <w:t>Session</w:t>
      </w:r>
      <w:r w:rsidR="00E5759D">
        <w:t>s</w:t>
      </w:r>
      <w:r w:rsidR="0059184E">
        <w:t>)</w:t>
      </w:r>
      <w:r w:rsidR="00434059">
        <w:t xml:space="preserve">. </w:t>
      </w:r>
      <w:r w:rsidR="00E9009A">
        <w:t xml:space="preserve"> </w:t>
      </w:r>
      <w:r w:rsidR="00E5759D">
        <w:t xml:space="preserve">The CDIP was kept up to date on the progress of the project in the four beneficiary countries and were presented key results, such as the designed logos of the collective marks and the </w:t>
      </w:r>
      <w:r w:rsidR="004A1550">
        <w:t xml:space="preserve">global </w:t>
      </w:r>
      <w:r w:rsidR="00E5759D">
        <w:t>promotional video</w:t>
      </w:r>
      <w:r w:rsidR="004A1550">
        <w:t>.</w:t>
      </w:r>
    </w:p>
    <w:p w14:paraId="38D497FA" w14:textId="77777777" w:rsidR="0030500C" w:rsidRDefault="0030500C" w:rsidP="0068577B">
      <w:pPr>
        <w:pStyle w:val="ONUME"/>
        <w:numPr>
          <w:ilvl w:val="0"/>
          <w:numId w:val="0"/>
        </w:numPr>
        <w:spacing w:after="0"/>
        <w:ind w:left="1440" w:hanging="720"/>
      </w:pPr>
    </w:p>
    <w:p w14:paraId="7A67EED5" w14:textId="420A975D" w:rsidR="007163B8" w:rsidRDefault="00F23D0F" w:rsidP="0068577B">
      <w:pPr>
        <w:pStyle w:val="ONUME"/>
        <w:numPr>
          <w:ilvl w:val="0"/>
          <w:numId w:val="11"/>
        </w:numPr>
        <w:spacing w:after="0"/>
        <w:ind w:left="1440" w:hanging="720"/>
      </w:pPr>
      <w:bookmarkStart w:id="37" w:name="_Hlk161387944"/>
      <w:r>
        <w:t xml:space="preserve">For each country, it proved useful and necessary to create </w:t>
      </w:r>
      <w:r w:rsidRPr="00F63419">
        <w:t>a country-level plan</w:t>
      </w:r>
      <w:r>
        <w:t xml:space="preserve"> </w:t>
      </w:r>
      <w:bookmarkEnd w:id="37"/>
      <w:r>
        <w:t xml:space="preserve">(as foreseen also in the project proposal). </w:t>
      </w:r>
      <w:r w:rsidR="00E9009A">
        <w:t xml:space="preserve"> </w:t>
      </w:r>
      <w:r>
        <w:t xml:space="preserve">For project implementation, a country-level team was also established comprising of </w:t>
      </w:r>
      <w:r w:rsidR="00D71BB9">
        <w:t xml:space="preserve">a </w:t>
      </w:r>
      <w:r>
        <w:t>focal point from the national IP office</w:t>
      </w:r>
      <w:r w:rsidR="00D71BB9">
        <w:t xml:space="preserve">, </w:t>
      </w:r>
      <w:r>
        <w:t>and national consultant(s) (either in-country or with country expertise) contracted by WIPO</w:t>
      </w:r>
      <w:r w:rsidR="00434059">
        <w:t xml:space="preserve">. </w:t>
      </w:r>
      <w:r w:rsidR="00E9009A">
        <w:t xml:space="preserve"> </w:t>
      </w:r>
      <w:r>
        <w:t xml:space="preserve">In </w:t>
      </w:r>
      <w:r w:rsidR="00D71BB9">
        <w:t>Brazil, the team was complemented by representatives of</w:t>
      </w:r>
      <w:r>
        <w:t xml:space="preserve"> </w:t>
      </w:r>
      <w:r w:rsidR="00D71BB9" w:rsidRPr="00D71BB9">
        <w:t xml:space="preserve">SEBRAE, </w:t>
      </w:r>
      <w:r w:rsidR="00D71BB9">
        <w:t xml:space="preserve">the </w:t>
      </w:r>
      <w:r w:rsidR="00D71BB9" w:rsidRPr="00D71BB9">
        <w:t xml:space="preserve">Brazilian </w:t>
      </w:r>
      <w:r w:rsidR="00D71BB9">
        <w:t>m</w:t>
      </w:r>
      <w:r w:rsidR="00D71BB9" w:rsidRPr="00D71BB9">
        <w:t xml:space="preserve">icro and </w:t>
      </w:r>
      <w:r w:rsidR="00D71BB9">
        <w:t>s</w:t>
      </w:r>
      <w:r w:rsidR="00D71BB9" w:rsidRPr="00D71BB9">
        <w:t xml:space="preserve">mall </w:t>
      </w:r>
      <w:r w:rsidR="00D71BB9">
        <w:t>b</w:t>
      </w:r>
      <w:r w:rsidR="00D71BB9" w:rsidRPr="00D71BB9">
        <w:t xml:space="preserve">usiness </w:t>
      </w:r>
      <w:r w:rsidR="00D71BB9">
        <w:t>s</w:t>
      </w:r>
      <w:r w:rsidR="00D71BB9" w:rsidRPr="00D71BB9">
        <w:t xml:space="preserve">upport </w:t>
      </w:r>
      <w:r w:rsidR="00D71BB9">
        <w:t>s</w:t>
      </w:r>
      <w:r w:rsidR="00D71BB9" w:rsidRPr="00D71BB9">
        <w:t>ervice</w:t>
      </w:r>
      <w:r w:rsidR="00D71BB9">
        <w:t xml:space="preserve"> and </w:t>
      </w:r>
      <w:r w:rsidR="00D71BB9" w:rsidRPr="00D71BB9">
        <w:t>the IP Division of the Ministry of Foreign Affairs</w:t>
      </w:r>
      <w:r w:rsidR="00D71BB9">
        <w:t xml:space="preserve">; </w:t>
      </w:r>
      <w:r w:rsidR="00E9009A">
        <w:t xml:space="preserve"> </w:t>
      </w:r>
      <w:r w:rsidR="00D71BB9">
        <w:t xml:space="preserve">in Bolivia, the team was complemented by representatives of the </w:t>
      </w:r>
      <w:r w:rsidR="00D71BB9" w:rsidRPr="00D71BB9">
        <w:t>EMPODERAR</w:t>
      </w:r>
      <w:r w:rsidR="00D71BB9">
        <w:t xml:space="preserve"> (“empowerment”)</w:t>
      </w:r>
      <w:r w:rsidR="00D71BB9" w:rsidRPr="00D71BB9">
        <w:t xml:space="preserve"> program of the Ministry of Rural Development and Land</w:t>
      </w:r>
      <w:r w:rsidR="001A28B9">
        <w:t>; in the Philippines, the Department of Trade and Industry supported the team</w:t>
      </w:r>
      <w:r w:rsidR="00A220CB">
        <w:t xml:space="preserve">; </w:t>
      </w:r>
      <w:r w:rsidR="00E9009A">
        <w:t xml:space="preserve"> </w:t>
      </w:r>
      <w:r w:rsidR="00A220CB">
        <w:t>in Tunisia, the national team was complemented by an international consultant with expertise in collective marks, IP and business development</w:t>
      </w:r>
    </w:p>
    <w:p w14:paraId="517FC6E3" w14:textId="77777777" w:rsidR="007163B8" w:rsidRDefault="007163B8" w:rsidP="0068577B">
      <w:pPr>
        <w:pStyle w:val="ONUME"/>
        <w:numPr>
          <w:ilvl w:val="0"/>
          <w:numId w:val="0"/>
        </w:numPr>
        <w:spacing w:after="0"/>
        <w:ind w:left="1440" w:hanging="720"/>
      </w:pPr>
    </w:p>
    <w:p w14:paraId="45348246" w14:textId="2B5DA587" w:rsidR="00B245CE" w:rsidRDefault="00B245CE" w:rsidP="0068577B">
      <w:pPr>
        <w:pStyle w:val="ONUME"/>
        <w:numPr>
          <w:ilvl w:val="0"/>
          <w:numId w:val="11"/>
        </w:numPr>
        <w:spacing w:after="0"/>
        <w:ind w:left="1440" w:hanging="720"/>
      </w:pPr>
      <w:r>
        <w:t xml:space="preserve">The project’s objectives had </w:t>
      </w:r>
      <w:r w:rsidR="003B3973">
        <w:t>three</w:t>
      </w:r>
      <w:r w:rsidR="001F475F">
        <w:t xml:space="preserve"> </w:t>
      </w:r>
      <w:r>
        <w:t>indicators</w:t>
      </w:r>
      <w:r w:rsidR="003B3973">
        <w:t xml:space="preserve"> </w:t>
      </w:r>
      <w:r>
        <w:t>set at the outcome level</w:t>
      </w:r>
      <w:r w:rsidR="003B3973">
        <w:t xml:space="preserve"> of which for </w:t>
      </w:r>
      <w:r w:rsidR="00E74AE5">
        <w:t>one it</w:t>
      </w:r>
      <w:r w:rsidR="003B3973">
        <w:t xml:space="preserve"> was too early to report </w:t>
      </w:r>
      <w:r w:rsidR="003B3973" w:rsidRPr="00F63419">
        <w:t>on</w:t>
      </w:r>
      <w:r w:rsidR="00E74AE5" w:rsidRPr="00F63419">
        <w:t xml:space="preserve"> “</w:t>
      </w:r>
      <w:r w:rsidR="00E74AE5" w:rsidRPr="00BB0B65">
        <w:rPr>
          <w:i/>
          <w:iCs/>
        </w:rPr>
        <w:t>Additional collective marks have been registered within five years from the completion of the project in each beneficiary country</w:t>
      </w:r>
      <w:r w:rsidR="00E74AE5" w:rsidRPr="00F63419">
        <w:t>”</w:t>
      </w:r>
      <w:r w:rsidR="00E74AE5" w:rsidRPr="00E74AE5">
        <w:t xml:space="preserve"> (impact assessment</w:t>
      </w:r>
      <w:r w:rsidR="00E74AE5">
        <w:t>)</w:t>
      </w:r>
      <w:r w:rsidR="00434059">
        <w:t xml:space="preserve">. </w:t>
      </w:r>
      <w:r w:rsidR="00E9009A">
        <w:t xml:space="preserve"> </w:t>
      </w:r>
      <w:r w:rsidR="003B3973">
        <w:t>Th</w:t>
      </w:r>
      <w:r w:rsidR="00E74AE5">
        <w:t>is</w:t>
      </w:r>
      <w:r w:rsidR="003B3973">
        <w:t xml:space="preserve"> indicator would be important to </w:t>
      </w:r>
      <w:r w:rsidR="00DC0902">
        <w:t xml:space="preserve">evaluate in the future to assess the </w:t>
      </w:r>
      <w:r w:rsidR="004A1550">
        <w:t xml:space="preserve">long-term </w:t>
      </w:r>
      <w:r w:rsidR="00DC0902">
        <w:t xml:space="preserve">success of the project </w:t>
      </w:r>
      <w:r w:rsidR="003B3973">
        <w:t xml:space="preserve">(see </w:t>
      </w:r>
      <w:r w:rsidR="00DC0902">
        <w:t>Conclusions and Recommendations below</w:t>
      </w:r>
      <w:r w:rsidR="003B3973">
        <w:t xml:space="preserve">). </w:t>
      </w:r>
    </w:p>
    <w:p w14:paraId="12ED4213" w14:textId="77777777" w:rsidR="009445E6" w:rsidRDefault="009445E6" w:rsidP="009445E6">
      <w:pPr>
        <w:pStyle w:val="BodyText"/>
        <w:tabs>
          <w:tab w:val="left" w:pos="450"/>
        </w:tabs>
        <w:spacing w:after="0"/>
        <w:jc w:val="both"/>
        <w:rPr>
          <w:i/>
          <w:u w:val="single"/>
        </w:rPr>
      </w:pPr>
    </w:p>
    <w:p w14:paraId="0A76A427" w14:textId="49E936EF" w:rsidR="0019113C" w:rsidRDefault="00FB6E4B" w:rsidP="009445E6">
      <w:pPr>
        <w:pStyle w:val="BodyText"/>
        <w:tabs>
          <w:tab w:val="left" w:pos="450"/>
        </w:tabs>
        <w:spacing w:after="0"/>
        <w:jc w:val="both"/>
        <w:rPr>
          <w:i/>
          <w:u w:val="single"/>
        </w:rPr>
      </w:pPr>
      <w:r w:rsidRPr="0019113C">
        <w:rPr>
          <w:i/>
          <w:u w:val="single"/>
        </w:rPr>
        <w:t>The extent to which other entities within the Secretariat have contributed and enabled an effective and e</w:t>
      </w:r>
      <w:r w:rsidR="00C01E7C">
        <w:rPr>
          <w:i/>
          <w:u w:val="single"/>
        </w:rPr>
        <w:t>fficient project implementation</w:t>
      </w:r>
      <w:r w:rsidR="00011BFB">
        <w:rPr>
          <w:i/>
          <w:u w:val="single"/>
        </w:rPr>
        <w:t>.</w:t>
      </w:r>
      <w:r w:rsidRPr="0019113C">
        <w:rPr>
          <w:i/>
          <w:u w:val="single"/>
        </w:rPr>
        <w:t xml:space="preserve"> </w:t>
      </w:r>
    </w:p>
    <w:p w14:paraId="462F98C7" w14:textId="77777777" w:rsidR="009445E6" w:rsidRPr="0019113C" w:rsidRDefault="009445E6" w:rsidP="009445E6">
      <w:pPr>
        <w:pStyle w:val="BodyText"/>
        <w:tabs>
          <w:tab w:val="left" w:pos="450"/>
        </w:tabs>
        <w:spacing w:after="0"/>
        <w:jc w:val="both"/>
        <w:rPr>
          <w:i/>
          <w:u w:val="single"/>
        </w:rPr>
      </w:pPr>
    </w:p>
    <w:p w14:paraId="62F9ED0B" w14:textId="612A1CC6" w:rsidR="0070125D" w:rsidRPr="00424ED2" w:rsidRDefault="00782E2E" w:rsidP="00424ED2">
      <w:pPr>
        <w:pStyle w:val="ListParagraph"/>
        <w:numPr>
          <w:ilvl w:val="0"/>
          <w:numId w:val="21"/>
        </w:numPr>
        <w:autoSpaceDE w:val="0"/>
        <w:autoSpaceDN w:val="0"/>
        <w:adjustRightInd w:val="0"/>
        <w:ind w:left="0" w:firstLine="0"/>
        <w:rPr>
          <w:i/>
          <w:u w:val="single"/>
        </w:rPr>
      </w:pPr>
      <w:r w:rsidRPr="00424ED2">
        <w:rPr>
          <w:b/>
        </w:rPr>
        <w:t xml:space="preserve">Finding </w:t>
      </w:r>
      <w:r w:rsidR="00995402" w:rsidRPr="00424ED2">
        <w:rPr>
          <w:b/>
        </w:rPr>
        <w:t>3</w:t>
      </w:r>
      <w:r>
        <w:t xml:space="preserve">: </w:t>
      </w:r>
      <w:r w:rsidR="00286DDA">
        <w:t xml:space="preserve"> </w:t>
      </w:r>
      <w:r>
        <w:t>The activities of t</w:t>
      </w:r>
      <w:r w:rsidR="00DB6564">
        <w:t xml:space="preserve">his project were managed by </w:t>
      </w:r>
      <w:r w:rsidR="00B02EF4">
        <w:t>the DACD</w:t>
      </w:r>
      <w:r w:rsidR="007C0610">
        <w:t xml:space="preserve"> </w:t>
      </w:r>
      <w:r w:rsidRPr="00424ED2">
        <w:rPr>
          <w:szCs w:val="22"/>
        </w:rPr>
        <w:t>with the support of other entities within the Secreta</w:t>
      </w:r>
      <w:r w:rsidR="002D26BB" w:rsidRPr="00424ED2">
        <w:rPr>
          <w:szCs w:val="22"/>
        </w:rPr>
        <w:t>riat</w:t>
      </w:r>
      <w:r w:rsidR="00434059" w:rsidRPr="00424ED2">
        <w:rPr>
          <w:szCs w:val="22"/>
        </w:rPr>
        <w:t xml:space="preserve">. </w:t>
      </w:r>
      <w:r w:rsidR="00E9009A">
        <w:rPr>
          <w:szCs w:val="22"/>
        </w:rPr>
        <w:t xml:space="preserve"> </w:t>
      </w:r>
      <w:r w:rsidR="008C1511" w:rsidRPr="00424ED2">
        <w:rPr>
          <w:szCs w:val="22"/>
        </w:rPr>
        <w:t xml:space="preserve">The </w:t>
      </w:r>
      <w:r w:rsidR="0079462F" w:rsidRPr="00424ED2">
        <w:rPr>
          <w:szCs w:val="22"/>
        </w:rPr>
        <w:t xml:space="preserve">regional </w:t>
      </w:r>
      <w:r w:rsidR="00472210" w:rsidRPr="00424ED2">
        <w:rPr>
          <w:szCs w:val="22"/>
        </w:rPr>
        <w:t xml:space="preserve">divisions provided support to the project within their </w:t>
      </w:r>
      <w:proofErr w:type="gramStart"/>
      <w:r w:rsidR="00472210" w:rsidRPr="00424ED2">
        <w:rPr>
          <w:szCs w:val="22"/>
        </w:rPr>
        <w:t>regions;</w:t>
      </w:r>
      <w:proofErr w:type="gramEnd"/>
      <w:r w:rsidR="00472210" w:rsidRPr="00424ED2">
        <w:rPr>
          <w:szCs w:val="22"/>
        </w:rPr>
        <w:t xml:space="preserve"> </w:t>
      </w:r>
      <w:bookmarkStart w:id="38" w:name="_Hlk161388077"/>
      <w:r w:rsidR="00472210" w:rsidRPr="00424ED2">
        <w:rPr>
          <w:szCs w:val="22"/>
        </w:rPr>
        <w:t>the Division for Arab Countries, the Division for Asia and Pacific and the Division for Latin America and the Caribbean</w:t>
      </w:r>
      <w:r w:rsidR="00434059" w:rsidRPr="00424ED2">
        <w:rPr>
          <w:szCs w:val="22"/>
        </w:rPr>
        <w:t xml:space="preserve">. </w:t>
      </w:r>
      <w:r w:rsidR="00E9009A">
        <w:rPr>
          <w:szCs w:val="22"/>
        </w:rPr>
        <w:t xml:space="preserve"> </w:t>
      </w:r>
      <w:r w:rsidR="0087171F" w:rsidRPr="00424ED2">
        <w:rPr>
          <w:szCs w:val="22"/>
        </w:rPr>
        <w:t xml:space="preserve">Staff of the Department for Trademarks, Industrial Designs and Geographical Indications of the Brands and Designs Sector supported the project with expert advice on </w:t>
      </w:r>
      <w:r w:rsidR="000850D0" w:rsidRPr="00424ED2">
        <w:rPr>
          <w:szCs w:val="22"/>
        </w:rPr>
        <w:t>c</w:t>
      </w:r>
      <w:r w:rsidR="0087171F" w:rsidRPr="00424ED2">
        <w:rPr>
          <w:szCs w:val="22"/>
        </w:rPr>
        <w:t xml:space="preserve">ollective </w:t>
      </w:r>
      <w:r w:rsidR="000850D0" w:rsidRPr="00424ED2">
        <w:rPr>
          <w:szCs w:val="22"/>
        </w:rPr>
        <w:t>m</w:t>
      </w:r>
      <w:r w:rsidR="0087171F" w:rsidRPr="00424ED2">
        <w:rPr>
          <w:szCs w:val="22"/>
        </w:rPr>
        <w:t>arks</w:t>
      </w:r>
      <w:r w:rsidR="00434059" w:rsidRPr="00424ED2">
        <w:rPr>
          <w:szCs w:val="22"/>
        </w:rPr>
        <w:t xml:space="preserve">. </w:t>
      </w:r>
      <w:r w:rsidR="00E9009A">
        <w:rPr>
          <w:szCs w:val="22"/>
        </w:rPr>
        <w:t xml:space="preserve"> </w:t>
      </w:r>
      <w:r w:rsidR="0087171F" w:rsidRPr="00424ED2">
        <w:rPr>
          <w:szCs w:val="22"/>
        </w:rPr>
        <w:t xml:space="preserve">The News and Media Division </w:t>
      </w:r>
      <w:bookmarkEnd w:id="38"/>
      <w:r w:rsidR="0087171F" w:rsidRPr="00424ED2">
        <w:rPr>
          <w:szCs w:val="22"/>
        </w:rPr>
        <w:t>supported</w:t>
      </w:r>
      <w:r w:rsidR="00F23D0F" w:rsidRPr="00424ED2">
        <w:rPr>
          <w:szCs w:val="22"/>
        </w:rPr>
        <w:t xml:space="preserve"> the</w:t>
      </w:r>
      <w:r w:rsidR="0087171F" w:rsidRPr="00424ED2">
        <w:rPr>
          <w:szCs w:val="22"/>
        </w:rPr>
        <w:t xml:space="preserve"> project with technical assistance for video editing</w:t>
      </w:r>
      <w:r w:rsidR="00434059" w:rsidRPr="00424ED2">
        <w:rPr>
          <w:szCs w:val="22"/>
        </w:rPr>
        <w:t xml:space="preserve">. </w:t>
      </w:r>
      <w:r w:rsidR="00E9009A">
        <w:rPr>
          <w:szCs w:val="22"/>
        </w:rPr>
        <w:t xml:space="preserve"> </w:t>
      </w:r>
      <w:r w:rsidR="0087171F" w:rsidRPr="00424ED2">
        <w:rPr>
          <w:szCs w:val="22"/>
        </w:rPr>
        <w:t xml:space="preserve">Overall, the coordination and support of these other entities within the Secretariat supported </w:t>
      </w:r>
      <w:r w:rsidR="00C5390D" w:rsidRPr="00424ED2">
        <w:rPr>
          <w:szCs w:val="22"/>
        </w:rPr>
        <w:t>an</w:t>
      </w:r>
      <w:r w:rsidR="00805D47" w:rsidRPr="00424ED2">
        <w:rPr>
          <w:szCs w:val="22"/>
        </w:rPr>
        <w:t xml:space="preserve"> efficient implementation of the project. </w:t>
      </w:r>
    </w:p>
    <w:p w14:paraId="23AD93CE" w14:textId="77777777" w:rsidR="00C5390D" w:rsidRPr="00C5390D" w:rsidRDefault="00C5390D" w:rsidP="009445E6">
      <w:pPr>
        <w:autoSpaceDE w:val="0"/>
        <w:autoSpaceDN w:val="0"/>
        <w:adjustRightInd w:val="0"/>
        <w:rPr>
          <w:i/>
          <w:u w:val="single"/>
        </w:rPr>
      </w:pPr>
    </w:p>
    <w:p w14:paraId="0FD6C2A6" w14:textId="3E8AB497" w:rsidR="00BB0B65" w:rsidRPr="00424ED2" w:rsidRDefault="00C5390D" w:rsidP="00424ED2">
      <w:pPr>
        <w:pStyle w:val="ListParagraph"/>
        <w:numPr>
          <w:ilvl w:val="0"/>
          <w:numId w:val="21"/>
        </w:numPr>
        <w:autoSpaceDE w:val="0"/>
        <w:autoSpaceDN w:val="0"/>
        <w:adjustRightInd w:val="0"/>
        <w:ind w:left="0" w:firstLine="0"/>
        <w:rPr>
          <w:i/>
          <w:u w:val="single"/>
        </w:rPr>
      </w:pPr>
      <w:r w:rsidRPr="00424ED2">
        <w:rPr>
          <w:b/>
        </w:rPr>
        <w:t>Finding 4</w:t>
      </w:r>
      <w:r>
        <w:t xml:space="preserve">:  </w:t>
      </w:r>
      <w:bookmarkStart w:id="39" w:name="_Hlk161388138"/>
      <w:r>
        <w:t>Within the project, coordination between the DACD staff and the different project stakeholders was reported as efficient a</w:t>
      </w:r>
      <w:r w:rsidR="00015A62">
        <w:t xml:space="preserve">nd </w:t>
      </w:r>
      <w:proofErr w:type="gramStart"/>
      <w:r w:rsidR="00015A62">
        <w:t xml:space="preserve">effective; </w:t>
      </w:r>
      <w:r w:rsidR="009F1046">
        <w:t xml:space="preserve"> </w:t>
      </w:r>
      <w:r w:rsidR="00015A62">
        <w:t>interview</w:t>
      </w:r>
      <w:r w:rsidR="000850D0">
        <w:t>ee</w:t>
      </w:r>
      <w:r w:rsidR="00015A62">
        <w:t>s</w:t>
      </w:r>
      <w:proofErr w:type="gramEnd"/>
      <w:r w:rsidR="00015A62">
        <w:t xml:space="preserve"> were very positive on the commitment and support provided by the DACD staff to in-country project teams, particularly given the challenges and delays faced as described below</w:t>
      </w:r>
      <w:r w:rsidR="00434059">
        <w:t xml:space="preserve">. </w:t>
      </w:r>
      <w:r w:rsidR="00015A62">
        <w:t xml:space="preserve">Several observations were made on project management: </w:t>
      </w:r>
    </w:p>
    <w:p w14:paraId="1DD06CD8" w14:textId="77777777" w:rsidR="00BB0B65" w:rsidRDefault="00BB0B65" w:rsidP="00BB0B65">
      <w:pPr>
        <w:autoSpaceDE w:val="0"/>
        <w:autoSpaceDN w:val="0"/>
        <w:adjustRightInd w:val="0"/>
        <w:rPr>
          <w:i/>
          <w:u w:val="single"/>
        </w:rPr>
      </w:pPr>
    </w:p>
    <w:p w14:paraId="629A7BC8" w14:textId="279EB777" w:rsidR="00BB0B65" w:rsidRPr="00BB0B65" w:rsidRDefault="00BB0B65" w:rsidP="0068577B">
      <w:pPr>
        <w:pStyle w:val="ListParagraph"/>
        <w:numPr>
          <w:ilvl w:val="0"/>
          <w:numId w:val="16"/>
        </w:numPr>
        <w:autoSpaceDE w:val="0"/>
        <w:autoSpaceDN w:val="0"/>
        <w:adjustRightInd w:val="0"/>
        <w:ind w:left="1440" w:hanging="720"/>
        <w:rPr>
          <w:i/>
          <w:u w:val="single"/>
        </w:rPr>
      </w:pPr>
      <w:r w:rsidRPr="00BB0B65">
        <w:rPr>
          <w:iCs/>
        </w:rPr>
        <w:t>T</w:t>
      </w:r>
      <w:r w:rsidR="00015A62" w:rsidRPr="00BB0B65">
        <w:rPr>
          <w:iCs/>
        </w:rPr>
        <w:t>he project</w:t>
      </w:r>
      <w:r w:rsidR="00973B88" w:rsidRPr="00BB0B65">
        <w:rPr>
          <w:iCs/>
        </w:rPr>
        <w:t xml:space="preserve"> was essentially implementing the same (or very similar) activities in all four beneficiary countries</w:t>
      </w:r>
      <w:r w:rsidR="00434059">
        <w:rPr>
          <w:iCs/>
        </w:rPr>
        <w:t xml:space="preserve">. </w:t>
      </w:r>
      <w:r w:rsidR="00E9009A">
        <w:rPr>
          <w:iCs/>
        </w:rPr>
        <w:t xml:space="preserve"> </w:t>
      </w:r>
      <w:r w:rsidR="00973B88" w:rsidRPr="00BB0B65">
        <w:rPr>
          <w:iCs/>
        </w:rPr>
        <w:t xml:space="preserve">Although DACD staff could benefit from the cross-learning of working across the </w:t>
      </w:r>
      <w:r w:rsidR="000850D0" w:rsidRPr="00BB0B65">
        <w:rPr>
          <w:iCs/>
        </w:rPr>
        <w:t>countries</w:t>
      </w:r>
      <w:r w:rsidR="00973B88" w:rsidRPr="00BB0B65">
        <w:rPr>
          <w:iCs/>
        </w:rPr>
        <w:t>, there were no opportunities for country-level stakeholders to benefit from the experiences and learnings of the other countries.</w:t>
      </w:r>
    </w:p>
    <w:p w14:paraId="0C5C080A" w14:textId="77777777" w:rsidR="00BB0B65" w:rsidRPr="00BB0B65" w:rsidRDefault="00BB0B65" w:rsidP="0068577B">
      <w:pPr>
        <w:autoSpaceDE w:val="0"/>
        <w:autoSpaceDN w:val="0"/>
        <w:adjustRightInd w:val="0"/>
        <w:ind w:left="1440" w:hanging="720"/>
        <w:rPr>
          <w:iCs/>
        </w:rPr>
      </w:pPr>
    </w:p>
    <w:p w14:paraId="34B6C352" w14:textId="0EF11A6A" w:rsidR="00015A62" w:rsidRPr="00BB0B65" w:rsidRDefault="00015A62" w:rsidP="0068577B">
      <w:pPr>
        <w:pStyle w:val="ListParagraph"/>
        <w:numPr>
          <w:ilvl w:val="0"/>
          <w:numId w:val="16"/>
        </w:numPr>
        <w:autoSpaceDE w:val="0"/>
        <w:autoSpaceDN w:val="0"/>
        <w:adjustRightInd w:val="0"/>
        <w:ind w:left="1440" w:hanging="720"/>
        <w:rPr>
          <w:i/>
          <w:u w:val="single"/>
        </w:rPr>
      </w:pPr>
      <w:r w:rsidRPr="00BB0B65">
        <w:rPr>
          <w:iCs/>
        </w:rPr>
        <w:t>The</w:t>
      </w:r>
      <w:r w:rsidR="00973B88" w:rsidRPr="00BB0B65">
        <w:rPr>
          <w:iCs/>
        </w:rPr>
        <w:t xml:space="preserve"> project required WIPO to implement activities in the four countries at the local level, such as organizing launch events and training workshops with the support of the national consultants and other team members. </w:t>
      </w:r>
      <w:r w:rsidR="00E9009A">
        <w:rPr>
          <w:iCs/>
        </w:rPr>
        <w:t xml:space="preserve"> </w:t>
      </w:r>
      <w:r w:rsidR="00973B88" w:rsidRPr="002B70CC">
        <w:rPr>
          <w:iCs/>
        </w:rPr>
        <w:t xml:space="preserve">However, the WIPO </w:t>
      </w:r>
      <w:proofErr w:type="gramStart"/>
      <w:r w:rsidR="00973B88" w:rsidRPr="002B70CC">
        <w:rPr>
          <w:iCs/>
        </w:rPr>
        <w:t>purchasing</w:t>
      </w:r>
      <w:proofErr w:type="gramEnd"/>
      <w:r w:rsidR="00973B88" w:rsidRPr="002B70CC">
        <w:rPr>
          <w:iCs/>
        </w:rPr>
        <w:t xml:space="preserve"> and procurement rules </w:t>
      </w:r>
      <w:r w:rsidR="002B70CC">
        <w:rPr>
          <w:iCs/>
        </w:rPr>
        <w:t>did</w:t>
      </w:r>
      <w:r w:rsidR="002B70CC" w:rsidRPr="002B70CC">
        <w:rPr>
          <w:iCs/>
        </w:rPr>
        <w:t xml:space="preserve"> </w:t>
      </w:r>
      <w:r w:rsidR="00973B88" w:rsidRPr="002B70CC">
        <w:rPr>
          <w:iCs/>
        </w:rPr>
        <w:t>not</w:t>
      </w:r>
      <w:r w:rsidR="002B70CC">
        <w:rPr>
          <w:iCs/>
        </w:rPr>
        <w:t xml:space="preserve"> seem to be</w:t>
      </w:r>
      <w:r w:rsidR="00973B88" w:rsidRPr="002B70CC">
        <w:rPr>
          <w:iCs/>
        </w:rPr>
        <w:t xml:space="preserve"> adapt</w:t>
      </w:r>
      <w:r w:rsidR="002B70CC">
        <w:rPr>
          <w:iCs/>
        </w:rPr>
        <w:t>able</w:t>
      </w:r>
      <w:r w:rsidR="00973B88" w:rsidRPr="002B70CC">
        <w:rPr>
          <w:iCs/>
        </w:rPr>
        <w:t xml:space="preserve"> </w:t>
      </w:r>
      <w:r w:rsidR="000850D0" w:rsidRPr="002B70CC">
        <w:rPr>
          <w:iCs/>
        </w:rPr>
        <w:t xml:space="preserve">for </w:t>
      </w:r>
      <w:r w:rsidR="00973B88" w:rsidRPr="002B70CC">
        <w:rPr>
          <w:iCs/>
        </w:rPr>
        <w:t>country and local level activities</w:t>
      </w:r>
      <w:r w:rsidR="000850D0" w:rsidRPr="002B70CC">
        <w:rPr>
          <w:iCs/>
        </w:rPr>
        <w:t xml:space="preserve">, which created some obstacles and were </w:t>
      </w:r>
      <w:r w:rsidR="00973B88" w:rsidRPr="002B70CC">
        <w:rPr>
          <w:iCs/>
        </w:rPr>
        <w:t>time-consuming for the</w:t>
      </w:r>
      <w:r w:rsidR="000850D0" w:rsidRPr="002B70CC">
        <w:rPr>
          <w:iCs/>
        </w:rPr>
        <w:t xml:space="preserve"> DACD staff to resolve</w:t>
      </w:r>
      <w:r w:rsidR="00973B88" w:rsidRPr="002B70CC">
        <w:rPr>
          <w:iCs/>
        </w:rPr>
        <w:t>.</w:t>
      </w:r>
      <w:r w:rsidR="00973B88" w:rsidRPr="00BB0B65">
        <w:rPr>
          <w:iCs/>
        </w:rPr>
        <w:t xml:space="preserve"> </w:t>
      </w:r>
    </w:p>
    <w:bookmarkEnd w:id="39"/>
    <w:p w14:paraId="49DDD435" w14:textId="77777777" w:rsidR="0087171F" w:rsidRPr="0070125D" w:rsidRDefault="0087171F" w:rsidP="009445E6">
      <w:pPr>
        <w:autoSpaceDE w:val="0"/>
        <w:autoSpaceDN w:val="0"/>
        <w:adjustRightInd w:val="0"/>
        <w:rPr>
          <w:i/>
          <w:u w:val="single"/>
        </w:rPr>
      </w:pPr>
    </w:p>
    <w:p w14:paraId="2907AC05" w14:textId="77777777" w:rsidR="00782E2E" w:rsidRDefault="00782E2E" w:rsidP="009445E6">
      <w:pPr>
        <w:autoSpaceDE w:val="0"/>
        <w:autoSpaceDN w:val="0"/>
        <w:adjustRightInd w:val="0"/>
        <w:rPr>
          <w:i/>
          <w:u w:val="single"/>
        </w:rPr>
      </w:pPr>
      <w:r w:rsidRPr="002D26BB">
        <w:rPr>
          <w:i/>
          <w:u w:val="single"/>
        </w:rPr>
        <w:t xml:space="preserve">The extent to which the risks identified in the initial project document have materialized or been mitigated. </w:t>
      </w:r>
    </w:p>
    <w:p w14:paraId="265EFA4F" w14:textId="77777777" w:rsidR="002D26BB" w:rsidRPr="002D26BB" w:rsidRDefault="002D26BB" w:rsidP="009445E6">
      <w:pPr>
        <w:autoSpaceDE w:val="0"/>
        <w:autoSpaceDN w:val="0"/>
        <w:adjustRightInd w:val="0"/>
        <w:rPr>
          <w:i/>
          <w:u w:val="single"/>
        </w:rPr>
      </w:pPr>
    </w:p>
    <w:p w14:paraId="24B56EE9" w14:textId="532F6BDB" w:rsidR="009C1BBA" w:rsidRDefault="00782E2E" w:rsidP="00424ED2">
      <w:pPr>
        <w:pStyle w:val="BodyText"/>
        <w:numPr>
          <w:ilvl w:val="0"/>
          <w:numId w:val="21"/>
        </w:numPr>
        <w:spacing w:after="0"/>
        <w:ind w:left="0" w:firstLine="0"/>
        <w:rPr>
          <w:color w:val="222222"/>
          <w:shd w:val="clear" w:color="auto" w:fill="FFFFFF"/>
        </w:rPr>
      </w:pPr>
      <w:r w:rsidRPr="009C5D9A">
        <w:rPr>
          <w:b/>
        </w:rPr>
        <w:t xml:space="preserve">Finding </w:t>
      </w:r>
      <w:r w:rsidR="00C5390D">
        <w:rPr>
          <w:b/>
        </w:rPr>
        <w:t>5</w:t>
      </w:r>
      <w:r>
        <w:t xml:space="preserve">: </w:t>
      </w:r>
      <w:r w:rsidR="002F1793">
        <w:t xml:space="preserve"> </w:t>
      </w:r>
      <w:r>
        <w:t>The initial project document</w:t>
      </w:r>
      <w:r w:rsidR="002D26BB">
        <w:t xml:space="preserve"> identified</w:t>
      </w:r>
      <w:r w:rsidR="006673E6">
        <w:t xml:space="preserve"> three</w:t>
      </w:r>
      <w:r w:rsidR="007D67AE">
        <w:t xml:space="preserve"> </w:t>
      </w:r>
      <w:r w:rsidR="00606083">
        <w:t>risks for the project</w:t>
      </w:r>
      <w:r w:rsidR="00434059">
        <w:t xml:space="preserve">. </w:t>
      </w:r>
      <w:r w:rsidR="00E9009A">
        <w:t xml:space="preserve"> </w:t>
      </w:r>
      <w:r w:rsidR="003C20D5">
        <w:t>Th</w:t>
      </w:r>
      <w:r w:rsidR="00606083">
        <w:t>e project documentation described a mitigation response as listed below</w:t>
      </w:r>
      <w:r w:rsidR="00434059">
        <w:t xml:space="preserve">. </w:t>
      </w:r>
      <w:r w:rsidR="00E9009A">
        <w:t xml:space="preserve"> </w:t>
      </w:r>
      <w:r w:rsidR="00386456">
        <w:t>Th</w:t>
      </w:r>
      <w:r w:rsidR="00750671">
        <w:t>ese</w:t>
      </w:r>
      <w:r w:rsidR="00386456">
        <w:t xml:space="preserve"> </w:t>
      </w:r>
      <w:r w:rsidR="00964CD7">
        <w:rPr>
          <w:color w:val="222222"/>
          <w:shd w:val="clear" w:color="auto" w:fill="FFFFFF"/>
        </w:rPr>
        <w:t>risk</w:t>
      </w:r>
      <w:r w:rsidR="00750671">
        <w:rPr>
          <w:color w:val="222222"/>
          <w:shd w:val="clear" w:color="auto" w:fill="FFFFFF"/>
        </w:rPr>
        <w:t>s</w:t>
      </w:r>
      <w:r w:rsidR="00964CD7">
        <w:rPr>
          <w:color w:val="222222"/>
          <w:shd w:val="clear" w:color="auto" w:fill="FFFFFF"/>
        </w:rPr>
        <w:t xml:space="preserve"> did not</w:t>
      </w:r>
      <w:r w:rsidR="00D204E2">
        <w:rPr>
          <w:color w:val="222222"/>
          <w:shd w:val="clear" w:color="auto" w:fill="FFFFFF"/>
        </w:rPr>
        <w:t xml:space="preserve"> pose </w:t>
      </w:r>
      <w:r w:rsidR="0071114E">
        <w:rPr>
          <w:color w:val="222222"/>
          <w:shd w:val="clear" w:color="auto" w:fill="FFFFFF"/>
        </w:rPr>
        <w:t xml:space="preserve">major barriers although risk 3 did create some challenges </w:t>
      </w:r>
      <w:r w:rsidR="000C2D13">
        <w:rPr>
          <w:color w:val="222222"/>
          <w:shd w:val="clear" w:color="auto" w:fill="FFFFFF"/>
        </w:rPr>
        <w:t>as descri</w:t>
      </w:r>
      <w:r w:rsidR="00386456">
        <w:rPr>
          <w:color w:val="222222"/>
          <w:shd w:val="clear" w:color="auto" w:fill="FFFFFF"/>
        </w:rPr>
        <w:t>bed in the following table:</w:t>
      </w:r>
    </w:p>
    <w:p w14:paraId="4260F5AB" w14:textId="77777777" w:rsidR="000850D0" w:rsidRDefault="000850D0" w:rsidP="0048197D">
      <w:pPr>
        <w:pStyle w:val="BodyText"/>
        <w:spacing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fied risk and mitigation response "/>
        <w:tblDescription w:val="Identified risk and mitigation response  and Analysis"/>
      </w:tblPr>
      <w:tblGrid>
        <w:gridCol w:w="4672"/>
        <w:gridCol w:w="4673"/>
      </w:tblGrid>
      <w:tr w:rsidR="008372E4" w:rsidRPr="000C31EF" w14:paraId="0B58832D" w14:textId="77777777" w:rsidTr="00CA4068">
        <w:tc>
          <w:tcPr>
            <w:tcW w:w="2500" w:type="pct"/>
          </w:tcPr>
          <w:p w14:paraId="5F6C9BB0" w14:textId="0B4B474D" w:rsidR="00386456" w:rsidRPr="000C31EF" w:rsidRDefault="009C1BBA" w:rsidP="0048197D">
            <w:pPr>
              <w:rPr>
                <w:b/>
                <w:i/>
                <w:sz w:val="20"/>
                <w:lang w:val="en-GB"/>
              </w:rPr>
            </w:pPr>
            <w:r>
              <w:rPr>
                <w:color w:val="222222"/>
                <w:shd w:val="clear" w:color="auto" w:fill="FFFFFF"/>
              </w:rPr>
              <w:br w:type="page"/>
            </w:r>
            <w:r w:rsidR="00386456" w:rsidRPr="000C31EF">
              <w:rPr>
                <w:b/>
                <w:i/>
                <w:sz w:val="20"/>
                <w:lang w:val="en-GB"/>
              </w:rPr>
              <w:t xml:space="preserve">Identified risk and mitigation response </w:t>
            </w:r>
          </w:p>
        </w:tc>
        <w:tc>
          <w:tcPr>
            <w:tcW w:w="2500" w:type="pct"/>
          </w:tcPr>
          <w:p w14:paraId="649D8DDF" w14:textId="77777777" w:rsidR="00386456" w:rsidRPr="000C31EF" w:rsidRDefault="00386456" w:rsidP="0048197D">
            <w:pPr>
              <w:rPr>
                <w:b/>
                <w:i/>
                <w:sz w:val="20"/>
              </w:rPr>
            </w:pPr>
            <w:r w:rsidRPr="000C31EF">
              <w:rPr>
                <w:b/>
                <w:i/>
                <w:sz w:val="20"/>
              </w:rPr>
              <w:t>Analysis</w:t>
            </w:r>
          </w:p>
        </w:tc>
      </w:tr>
      <w:tr w:rsidR="008372E4" w:rsidRPr="003C20D5" w14:paraId="533D1E2E" w14:textId="77777777" w:rsidTr="00CA4068">
        <w:trPr>
          <w:trHeight w:val="281"/>
        </w:trPr>
        <w:tc>
          <w:tcPr>
            <w:tcW w:w="2500" w:type="pct"/>
          </w:tcPr>
          <w:p w14:paraId="15005A59" w14:textId="306FE333" w:rsidR="006673E6" w:rsidRDefault="006673E6" w:rsidP="0048197D">
            <w:pPr>
              <w:pStyle w:val="BodyText"/>
              <w:spacing w:after="0"/>
              <w:rPr>
                <w:i/>
                <w:iCs/>
                <w:color w:val="000000"/>
                <w:sz w:val="20"/>
              </w:rPr>
            </w:pPr>
            <w:r w:rsidRPr="006673E6">
              <w:rPr>
                <w:color w:val="000000"/>
                <w:sz w:val="20"/>
              </w:rPr>
              <w:t xml:space="preserve">Risk 1: </w:t>
            </w:r>
            <w:r w:rsidR="00C52F90">
              <w:rPr>
                <w:color w:val="000000"/>
                <w:sz w:val="20"/>
              </w:rPr>
              <w:t xml:space="preserve"> </w:t>
            </w:r>
            <w:r w:rsidRPr="006673E6">
              <w:rPr>
                <w:i/>
                <w:iCs/>
                <w:color w:val="000000"/>
                <w:sz w:val="20"/>
              </w:rPr>
              <w:t>Resistance by some producer associations to change when collective mark registration begins.</w:t>
            </w:r>
          </w:p>
          <w:p w14:paraId="435A66F9" w14:textId="77777777" w:rsidR="0048197D" w:rsidRPr="006673E6" w:rsidRDefault="0048197D" w:rsidP="0048197D">
            <w:pPr>
              <w:pStyle w:val="BodyText"/>
              <w:spacing w:after="0"/>
              <w:rPr>
                <w:i/>
                <w:iCs/>
                <w:color w:val="000000"/>
                <w:sz w:val="20"/>
              </w:rPr>
            </w:pPr>
          </w:p>
          <w:p w14:paraId="3237433D" w14:textId="5B3296C6" w:rsidR="0051119D" w:rsidRDefault="006673E6" w:rsidP="0048197D">
            <w:pPr>
              <w:pStyle w:val="BodyText"/>
              <w:spacing w:after="0"/>
              <w:rPr>
                <w:color w:val="000000"/>
                <w:sz w:val="20"/>
              </w:rPr>
            </w:pPr>
            <w:r w:rsidRPr="006673E6">
              <w:rPr>
                <w:color w:val="000000"/>
                <w:sz w:val="20"/>
              </w:rPr>
              <w:t xml:space="preserve">Mitigation 1: </w:t>
            </w:r>
            <w:r w:rsidR="00C52F90">
              <w:rPr>
                <w:color w:val="000000"/>
                <w:sz w:val="20"/>
              </w:rPr>
              <w:t xml:space="preserve"> </w:t>
            </w:r>
            <w:r w:rsidRPr="006673E6">
              <w:rPr>
                <w:color w:val="000000"/>
                <w:sz w:val="20"/>
              </w:rPr>
              <w:t>Conduct high-impact information and awareness-raising drives on the comparative advantages of using collective marks.</w:t>
            </w:r>
          </w:p>
          <w:p w14:paraId="5066AD46" w14:textId="49CECB03" w:rsidR="0048197D" w:rsidRPr="000C31EF" w:rsidRDefault="0048197D" w:rsidP="0048197D">
            <w:pPr>
              <w:pStyle w:val="BodyText"/>
              <w:spacing w:after="0"/>
              <w:rPr>
                <w:color w:val="000000"/>
                <w:sz w:val="20"/>
              </w:rPr>
            </w:pPr>
          </w:p>
        </w:tc>
        <w:tc>
          <w:tcPr>
            <w:tcW w:w="2500" w:type="pct"/>
          </w:tcPr>
          <w:p w14:paraId="6D117EDF" w14:textId="4C81B2E7" w:rsidR="00D204E2" w:rsidRPr="003C20D5" w:rsidRDefault="006673E6" w:rsidP="0048197D">
            <w:pPr>
              <w:rPr>
                <w:sz w:val="20"/>
                <w:lang w:val="en-AU"/>
              </w:rPr>
            </w:pPr>
            <w:r>
              <w:rPr>
                <w:sz w:val="20"/>
                <w:lang w:val="en-AU"/>
              </w:rPr>
              <w:t xml:space="preserve">This risk did not materialise significantly; on the contrary, WIPO staff and stakeholders reported that </w:t>
            </w:r>
            <w:r w:rsidR="0071114E">
              <w:rPr>
                <w:sz w:val="20"/>
                <w:lang w:val="en-AU"/>
              </w:rPr>
              <w:t xml:space="preserve">in the beneficiary countries, associations and producers were welcoming to the collective mark registration and wished to be involved. </w:t>
            </w:r>
          </w:p>
        </w:tc>
      </w:tr>
      <w:tr w:rsidR="008372E4" w:rsidRPr="003C20D5" w14:paraId="1A0F3892" w14:textId="77777777" w:rsidTr="00CA4068">
        <w:tc>
          <w:tcPr>
            <w:tcW w:w="2500" w:type="pct"/>
          </w:tcPr>
          <w:p w14:paraId="5C23A409" w14:textId="29A5EBEB" w:rsidR="006673E6" w:rsidRDefault="006673E6" w:rsidP="0048197D">
            <w:pPr>
              <w:pStyle w:val="BodyText"/>
              <w:spacing w:after="0"/>
              <w:rPr>
                <w:i/>
                <w:iCs/>
                <w:color w:val="000000"/>
                <w:sz w:val="20"/>
              </w:rPr>
            </w:pPr>
            <w:r w:rsidRPr="006673E6">
              <w:rPr>
                <w:color w:val="000000"/>
                <w:sz w:val="20"/>
              </w:rPr>
              <w:t xml:space="preserve">Risk 2: </w:t>
            </w:r>
            <w:r w:rsidR="00C52F90">
              <w:rPr>
                <w:color w:val="000000"/>
                <w:sz w:val="20"/>
              </w:rPr>
              <w:t xml:space="preserve"> </w:t>
            </w:r>
            <w:r w:rsidRPr="006673E6">
              <w:rPr>
                <w:i/>
                <w:iCs/>
                <w:color w:val="000000"/>
                <w:sz w:val="20"/>
              </w:rPr>
              <w:t>Possible conflicts within community associations, which could delay action to launch the collective mark incubation process.</w:t>
            </w:r>
          </w:p>
          <w:p w14:paraId="1FF138E0" w14:textId="77777777" w:rsidR="0048197D" w:rsidRPr="006673E6" w:rsidRDefault="0048197D" w:rsidP="0048197D">
            <w:pPr>
              <w:pStyle w:val="BodyText"/>
              <w:spacing w:after="0"/>
              <w:rPr>
                <w:color w:val="000000"/>
                <w:sz w:val="20"/>
              </w:rPr>
            </w:pPr>
          </w:p>
          <w:p w14:paraId="0DFE18B9" w14:textId="65E18187" w:rsidR="007D67AE" w:rsidRDefault="006673E6" w:rsidP="0048197D">
            <w:pPr>
              <w:pStyle w:val="BodyText"/>
              <w:spacing w:after="0"/>
              <w:rPr>
                <w:color w:val="000000"/>
                <w:sz w:val="20"/>
              </w:rPr>
            </w:pPr>
            <w:r w:rsidRPr="006673E6">
              <w:rPr>
                <w:color w:val="000000"/>
                <w:sz w:val="20"/>
              </w:rPr>
              <w:t>Mitigation 2:</w:t>
            </w:r>
            <w:r w:rsidR="00C52F90">
              <w:rPr>
                <w:color w:val="000000"/>
                <w:sz w:val="20"/>
              </w:rPr>
              <w:t xml:space="preserve"> </w:t>
            </w:r>
            <w:r w:rsidRPr="006673E6">
              <w:rPr>
                <w:color w:val="000000"/>
                <w:sz w:val="20"/>
              </w:rPr>
              <w:t xml:space="preserve"> Initiate action to build local authorities’ and producers’ awareness of the effects of organizational weakness on the formulation of productive ideas by their associates.</w:t>
            </w:r>
          </w:p>
          <w:p w14:paraId="6A6DA1A2" w14:textId="1D4F07F6" w:rsidR="0048197D" w:rsidRPr="007D67AE" w:rsidRDefault="0048197D" w:rsidP="0048197D">
            <w:pPr>
              <w:pStyle w:val="BodyText"/>
              <w:spacing w:after="0"/>
              <w:rPr>
                <w:iCs/>
                <w:sz w:val="20"/>
              </w:rPr>
            </w:pPr>
          </w:p>
        </w:tc>
        <w:tc>
          <w:tcPr>
            <w:tcW w:w="2500" w:type="pct"/>
          </w:tcPr>
          <w:p w14:paraId="0ADEA291" w14:textId="7B058450" w:rsidR="007D67AE" w:rsidRDefault="0071114E" w:rsidP="0048197D">
            <w:pPr>
              <w:rPr>
                <w:sz w:val="20"/>
                <w:lang w:val="en-AU"/>
              </w:rPr>
            </w:pPr>
            <w:r>
              <w:rPr>
                <w:sz w:val="20"/>
                <w:lang w:val="en-AU"/>
              </w:rPr>
              <w:t>This risk did not materialise significantly;</w:t>
            </w:r>
            <w:r w:rsidR="005A09EF">
              <w:rPr>
                <w:sz w:val="20"/>
                <w:lang w:val="en-AU"/>
              </w:rPr>
              <w:t xml:space="preserve"> </w:t>
            </w:r>
            <w:r>
              <w:rPr>
                <w:sz w:val="20"/>
                <w:lang w:val="en-AU"/>
              </w:rPr>
              <w:t>there were some</w:t>
            </w:r>
            <w:r w:rsidR="00E518F2">
              <w:rPr>
                <w:sz w:val="20"/>
                <w:lang w:val="en-AU"/>
              </w:rPr>
              <w:t xml:space="preserve"> internal</w:t>
            </w:r>
            <w:r>
              <w:rPr>
                <w:sz w:val="20"/>
                <w:lang w:val="en-AU"/>
              </w:rPr>
              <w:t xml:space="preserve"> issues to be resolved </w:t>
            </w:r>
            <w:r w:rsidR="000850D0">
              <w:rPr>
                <w:sz w:val="20"/>
                <w:lang w:val="en-AU"/>
              </w:rPr>
              <w:t>where the associations were</w:t>
            </w:r>
            <w:r>
              <w:rPr>
                <w:sz w:val="20"/>
                <w:lang w:val="en-AU"/>
              </w:rPr>
              <w:t xml:space="preserve"> established for the project (</w:t>
            </w:r>
            <w:proofErr w:type="gramStart"/>
            <w:r>
              <w:rPr>
                <w:sz w:val="20"/>
                <w:lang w:val="en-AU"/>
              </w:rPr>
              <w:t>e.g.</w:t>
            </w:r>
            <w:proofErr w:type="gramEnd"/>
            <w:r>
              <w:rPr>
                <w:sz w:val="20"/>
                <w:lang w:val="en-AU"/>
              </w:rPr>
              <w:t xml:space="preserve"> Tunisia) or needed further development (e.g. Brazil and Bolivia)</w:t>
            </w:r>
            <w:r w:rsidR="00E518F2">
              <w:rPr>
                <w:sz w:val="20"/>
                <w:lang w:val="en-AU"/>
              </w:rPr>
              <w:t>.</w:t>
            </w:r>
            <w:r w:rsidR="0068577B">
              <w:rPr>
                <w:sz w:val="20"/>
                <w:lang w:val="en-AU"/>
              </w:rPr>
              <w:t xml:space="preserve">  </w:t>
            </w:r>
            <w:r w:rsidR="00E518F2">
              <w:rPr>
                <w:sz w:val="20"/>
                <w:lang w:val="en-AU"/>
              </w:rPr>
              <w:t>The project teams in each country worked closely with each association to resolve any internal issues</w:t>
            </w:r>
            <w:r w:rsidR="00434059">
              <w:rPr>
                <w:sz w:val="20"/>
                <w:lang w:val="en-AU"/>
              </w:rPr>
              <w:t xml:space="preserve">. </w:t>
            </w:r>
          </w:p>
        </w:tc>
      </w:tr>
      <w:tr w:rsidR="006673E6" w:rsidRPr="003C20D5" w14:paraId="2544B695" w14:textId="77777777" w:rsidTr="00CA4068">
        <w:tc>
          <w:tcPr>
            <w:tcW w:w="2500" w:type="pct"/>
          </w:tcPr>
          <w:p w14:paraId="58689279" w14:textId="3E7DD1AC" w:rsidR="006673E6" w:rsidRDefault="006673E6" w:rsidP="0048197D">
            <w:pPr>
              <w:pStyle w:val="BodyText"/>
              <w:spacing w:after="0"/>
              <w:rPr>
                <w:i/>
                <w:iCs/>
                <w:color w:val="000000"/>
                <w:sz w:val="20"/>
              </w:rPr>
            </w:pPr>
            <w:r w:rsidRPr="006673E6">
              <w:rPr>
                <w:color w:val="000000"/>
                <w:sz w:val="20"/>
              </w:rPr>
              <w:t>Risk 3:</w:t>
            </w:r>
            <w:r w:rsidR="00C52F90">
              <w:rPr>
                <w:color w:val="000000"/>
                <w:sz w:val="20"/>
              </w:rPr>
              <w:t xml:space="preserve"> </w:t>
            </w:r>
            <w:r w:rsidRPr="006673E6">
              <w:rPr>
                <w:color w:val="000000"/>
                <w:sz w:val="20"/>
              </w:rPr>
              <w:t xml:space="preserve"> </w:t>
            </w:r>
            <w:r w:rsidRPr="006673E6">
              <w:rPr>
                <w:i/>
                <w:iCs/>
                <w:color w:val="000000"/>
                <w:sz w:val="20"/>
              </w:rPr>
              <w:t>Limited institutional capacity of beneficiary groups to develop, register and benefit from the collective mark.</w:t>
            </w:r>
          </w:p>
          <w:p w14:paraId="58256804" w14:textId="77777777" w:rsidR="0048197D" w:rsidRPr="006673E6" w:rsidRDefault="0048197D" w:rsidP="0048197D">
            <w:pPr>
              <w:pStyle w:val="BodyText"/>
              <w:spacing w:after="0"/>
              <w:rPr>
                <w:color w:val="000000"/>
                <w:sz w:val="20"/>
              </w:rPr>
            </w:pPr>
          </w:p>
          <w:p w14:paraId="33A4219D" w14:textId="481B7BD0" w:rsidR="006673E6" w:rsidRDefault="006673E6" w:rsidP="0048197D">
            <w:pPr>
              <w:pStyle w:val="BodyText"/>
              <w:spacing w:after="0"/>
              <w:rPr>
                <w:color w:val="000000"/>
                <w:sz w:val="20"/>
              </w:rPr>
            </w:pPr>
            <w:r w:rsidRPr="006673E6">
              <w:rPr>
                <w:color w:val="000000"/>
                <w:sz w:val="20"/>
              </w:rPr>
              <w:t xml:space="preserve">Mitigation 3: </w:t>
            </w:r>
            <w:r w:rsidR="00C52F90">
              <w:rPr>
                <w:color w:val="000000"/>
                <w:sz w:val="20"/>
              </w:rPr>
              <w:t xml:space="preserve"> </w:t>
            </w:r>
            <w:r w:rsidRPr="006673E6">
              <w:rPr>
                <w:color w:val="000000"/>
                <w:sz w:val="20"/>
              </w:rPr>
              <w:t>Undertaking of institutional assessment of the potential beneficiary groups prior to selection</w:t>
            </w:r>
            <w:r w:rsidR="00E518F2">
              <w:rPr>
                <w:color w:val="000000"/>
                <w:sz w:val="20"/>
              </w:rPr>
              <w:t>.</w:t>
            </w:r>
          </w:p>
          <w:p w14:paraId="2B60AE19" w14:textId="0B5C0BAD" w:rsidR="0048197D" w:rsidRPr="007D67AE" w:rsidRDefault="0048197D" w:rsidP="0048197D">
            <w:pPr>
              <w:pStyle w:val="BodyText"/>
              <w:spacing w:after="0"/>
              <w:rPr>
                <w:iCs/>
                <w:sz w:val="20"/>
              </w:rPr>
            </w:pPr>
          </w:p>
        </w:tc>
        <w:tc>
          <w:tcPr>
            <w:tcW w:w="2500" w:type="pct"/>
          </w:tcPr>
          <w:p w14:paraId="3703BBB4" w14:textId="4846F37E" w:rsidR="006673E6" w:rsidRDefault="00E518F2" w:rsidP="0048197D">
            <w:pPr>
              <w:rPr>
                <w:sz w:val="20"/>
                <w:lang w:val="en-AU"/>
              </w:rPr>
            </w:pPr>
            <w:r>
              <w:rPr>
                <w:sz w:val="20"/>
                <w:lang w:val="en-AU"/>
              </w:rPr>
              <w:t xml:space="preserve">This risk did materialise to </w:t>
            </w:r>
            <w:r w:rsidR="001A28B9">
              <w:rPr>
                <w:sz w:val="20"/>
                <w:lang w:val="en-AU"/>
              </w:rPr>
              <w:t>some</w:t>
            </w:r>
            <w:r w:rsidR="009F2217">
              <w:rPr>
                <w:sz w:val="20"/>
                <w:lang w:val="en-AU"/>
              </w:rPr>
              <w:t xml:space="preserve"> extent in the capacity of the beneficiary groups to benefit from the collective mark</w:t>
            </w:r>
            <w:r w:rsidR="00BB1EB1">
              <w:rPr>
                <w:sz w:val="20"/>
                <w:lang w:val="en-AU"/>
              </w:rPr>
              <w:t>s</w:t>
            </w:r>
            <w:r w:rsidR="009F2217">
              <w:rPr>
                <w:sz w:val="20"/>
                <w:lang w:val="en-AU"/>
              </w:rPr>
              <w:t xml:space="preserve">. Although in all countries the </w:t>
            </w:r>
            <w:r w:rsidR="00253B92">
              <w:rPr>
                <w:sz w:val="20"/>
                <w:lang w:val="en-AU"/>
              </w:rPr>
              <w:t xml:space="preserve">beneficiary </w:t>
            </w:r>
            <w:r w:rsidR="009F2217">
              <w:rPr>
                <w:sz w:val="20"/>
                <w:lang w:val="en-AU"/>
              </w:rPr>
              <w:t>associations developed and registered collective marks, there were challenges to fully benefit from th</w:t>
            </w:r>
            <w:r w:rsidR="009E6B8D">
              <w:rPr>
                <w:sz w:val="20"/>
                <w:lang w:val="en-AU"/>
              </w:rPr>
              <w:t>e collective marks to date</w:t>
            </w:r>
            <w:r w:rsidR="009F2217">
              <w:rPr>
                <w:sz w:val="20"/>
                <w:lang w:val="en-AU"/>
              </w:rPr>
              <w:t xml:space="preserve"> as d</w:t>
            </w:r>
            <w:r w:rsidR="001A28B9">
              <w:rPr>
                <w:sz w:val="20"/>
                <w:lang w:val="en-AU"/>
              </w:rPr>
              <w:t xml:space="preserve">escribed </w:t>
            </w:r>
            <w:r w:rsidR="009F2217">
              <w:rPr>
                <w:sz w:val="20"/>
                <w:lang w:val="en-AU"/>
              </w:rPr>
              <w:t>below</w:t>
            </w:r>
            <w:r w:rsidR="009E6B8D">
              <w:rPr>
                <w:sz w:val="20"/>
                <w:lang w:val="en-AU"/>
              </w:rPr>
              <w:t xml:space="preserve"> (see </w:t>
            </w:r>
            <w:r w:rsidR="00BB1EB1">
              <w:rPr>
                <w:sz w:val="20"/>
                <w:lang w:val="en-AU"/>
              </w:rPr>
              <w:t>Effectiveness below)</w:t>
            </w:r>
            <w:r w:rsidR="009F2217">
              <w:rPr>
                <w:sz w:val="20"/>
                <w:lang w:val="en-AU"/>
              </w:rPr>
              <w:t xml:space="preserve">. </w:t>
            </w:r>
          </w:p>
        </w:tc>
      </w:tr>
    </w:tbl>
    <w:p w14:paraId="6ABBBD93" w14:textId="4AE9A217" w:rsidR="00576B83" w:rsidRDefault="00576B83" w:rsidP="0048197D">
      <w:pPr>
        <w:pStyle w:val="BodyText"/>
        <w:tabs>
          <w:tab w:val="left" w:pos="450"/>
        </w:tabs>
        <w:spacing w:after="0"/>
        <w:jc w:val="center"/>
        <w:rPr>
          <w:i/>
          <w:sz w:val="20"/>
        </w:rPr>
      </w:pPr>
      <w:r w:rsidRPr="00576B83">
        <w:rPr>
          <w:i/>
          <w:sz w:val="20"/>
        </w:rPr>
        <w:t xml:space="preserve">Table </w:t>
      </w:r>
      <w:r w:rsidR="0070125D">
        <w:rPr>
          <w:i/>
          <w:sz w:val="20"/>
        </w:rPr>
        <w:t>1</w:t>
      </w:r>
      <w:r w:rsidRPr="00576B83">
        <w:rPr>
          <w:i/>
          <w:sz w:val="20"/>
        </w:rPr>
        <w:t xml:space="preserve">: </w:t>
      </w:r>
      <w:r w:rsidR="006911FD">
        <w:rPr>
          <w:i/>
          <w:sz w:val="20"/>
        </w:rPr>
        <w:t xml:space="preserve"> </w:t>
      </w:r>
      <w:r w:rsidRPr="00576B83">
        <w:rPr>
          <w:i/>
          <w:sz w:val="20"/>
        </w:rPr>
        <w:t>R</w:t>
      </w:r>
      <w:r>
        <w:rPr>
          <w:i/>
          <w:sz w:val="20"/>
        </w:rPr>
        <w:t xml:space="preserve">isks, </w:t>
      </w:r>
      <w:proofErr w:type="gramStart"/>
      <w:r>
        <w:rPr>
          <w:i/>
          <w:sz w:val="20"/>
        </w:rPr>
        <w:t>mitigation</w:t>
      </w:r>
      <w:proofErr w:type="gramEnd"/>
      <w:r>
        <w:rPr>
          <w:i/>
          <w:sz w:val="20"/>
        </w:rPr>
        <w:t xml:space="preserve"> and analysis </w:t>
      </w:r>
    </w:p>
    <w:p w14:paraId="1170E68E" w14:textId="77777777" w:rsidR="0048197D" w:rsidRDefault="0048197D" w:rsidP="0048197D">
      <w:pPr>
        <w:pStyle w:val="BodyText"/>
        <w:tabs>
          <w:tab w:val="left" w:pos="450"/>
        </w:tabs>
        <w:spacing w:after="0"/>
        <w:rPr>
          <w:i/>
          <w:u w:val="single"/>
        </w:rPr>
      </w:pPr>
    </w:p>
    <w:p w14:paraId="3F649BB3" w14:textId="5D4DEC58" w:rsidR="00181D9D" w:rsidRDefault="00181D9D" w:rsidP="0048197D">
      <w:pPr>
        <w:pStyle w:val="BodyText"/>
        <w:tabs>
          <w:tab w:val="left" w:pos="450"/>
        </w:tabs>
        <w:spacing w:after="0"/>
        <w:rPr>
          <w:i/>
          <w:u w:val="single"/>
        </w:rPr>
      </w:pPr>
      <w:r w:rsidRPr="00181D9D">
        <w:rPr>
          <w:i/>
          <w:u w:val="single"/>
        </w:rPr>
        <w:t xml:space="preserve">The project’s ability to respond to emerging trends, </w:t>
      </w:r>
      <w:proofErr w:type="gramStart"/>
      <w:r w:rsidRPr="00181D9D">
        <w:rPr>
          <w:i/>
          <w:u w:val="single"/>
        </w:rPr>
        <w:t>technologies</w:t>
      </w:r>
      <w:proofErr w:type="gramEnd"/>
      <w:r w:rsidRPr="00181D9D">
        <w:rPr>
          <w:i/>
          <w:u w:val="single"/>
        </w:rPr>
        <w:t xml:space="preserve"> and other external forces. </w:t>
      </w:r>
    </w:p>
    <w:p w14:paraId="5A820999" w14:textId="77777777" w:rsidR="0048197D" w:rsidRPr="00181D9D" w:rsidRDefault="0048197D" w:rsidP="0048197D">
      <w:pPr>
        <w:pStyle w:val="BodyText"/>
        <w:tabs>
          <w:tab w:val="left" w:pos="450"/>
        </w:tabs>
        <w:spacing w:after="0"/>
        <w:rPr>
          <w:i/>
          <w:u w:val="single"/>
        </w:rPr>
      </w:pPr>
    </w:p>
    <w:p w14:paraId="6CE0227F" w14:textId="22EAE1D4" w:rsidR="00265DA3" w:rsidRDefault="00C247FC" w:rsidP="000F12F0">
      <w:pPr>
        <w:pStyle w:val="BodyText"/>
        <w:numPr>
          <w:ilvl w:val="0"/>
          <w:numId w:val="21"/>
        </w:numPr>
        <w:spacing w:after="0"/>
        <w:ind w:left="0" w:firstLine="0"/>
      </w:pPr>
      <w:r w:rsidRPr="00265DA3">
        <w:rPr>
          <w:b/>
        </w:rPr>
        <w:t xml:space="preserve">Finding </w:t>
      </w:r>
      <w:r w:rsidR="00C5390D">
        <w:rPr>
          <w:b/>
        </w:rPr>
        <w:t>6</w:t>
      </w:r>
      <w:r w:rsidR="00C41ECC">
        <w:t>:</w:t>
      </w:r>
      <w:r w:rsidR="00C61800">
        <w:t xml:space="preserve"> </w:t>
      </w:r>
      <w:r w:rsidR="00C41ECC">
        <w:t xml:space="preserve"> </w:t>
      </w:r>
      <w:bookmarkStart w:id="40" w:name="_Toc336032071"/>
      <w:r w:rsidR="009E6B8D">
        <w:t>An</w:t>
      </w:r>
      <w:r w:rsidR="00922D28">
        <w:t xml:space="preserve"> external force that the project had to respond and adapt to</w:t>
      </w:r>
      <w:r w:rsidR="00C14DC4">
        <w:t xml:space="preserve"> </w:t>
      </w:r>
      <w:proofErr w:type="gramStart"/>
      <w:r w:rsidR="00C14DC4">
        <w:t>was</w:t>
      </w:r>
      <w:proofErr w:type="gramEnd"/>
      <w:r w:rsidR="00C14DC4">
        <w:t xml:space="preserve"> the COVID-19 pandemic.</w:t>
      </w:r>
      <w:r w:rsidR="00C168B1">
        <w:t xml:space="preserve"> </w:t>
      </w:r>
      <w:r w:rsidR="00E9009A">
        <w:t xml:space="preserve"> </w:t>
      </w:r>
      <w:r w:rsidR="00C14DC4">
        <w:t>Th</w:t>
      </w:r>
      <w:r w:rsidR="009E6B8D">
        <w:t>e project was approved at the 24</w:t>
      </w:r>
      <w:r w:rsidR="009E6B8D" w:rsidRPr="00AD15F0">
        <w:rPr>
          <w:vertAlign w:val="superscript"/>
        </w:rPr>
        <w:t>th</w:t>
      </w:r>
      <w:r w:rsidR="009E6B8D">
        <w:t xml:space="preserve"> session of the CDIP</w:t>
      </w:r>
      <w:r w:rsidR="005A09EF">
        <w:t>, held</w:t>
      </w:r>
      <w:r w:rsidR="009E6B8D">
        <w:t xml:space="preserve"> </w:t>
      </w:r>
      <w:r w:rsidR="005A09EF">
        <w:t>from</w:t>
      </w:r>
      <w:r w:rsidR="009E6B8D">
        <w:t xml:space="preserve"> November</w:t>
      </w:r>
      <w:r w:rsidR="005A09EF">
        <w:t> 9 to 13,</w:t>
      </w:r>
      <w:r w:rsidR="009E6B8D">
        <w:t xml:space="preserve"> 2019, with implementation</w:t>
      </w:r>
      <w:r w:rsidR="00F23D0F">
        <w:t xml:space="preserve"> planned for</w:t>
      </w:r>
      <w:r w:rsidR="009E6B8D">
        <w:t xml:space="preserve"> d</w:t>
      </w:r>
      <w:r w:rsidR="00922D28">
        <w:t>uring the peak of the pan</w:t>
      </w:r>
      <w:r w:rsidR="005C51A2">
        <w:t xml:space="preserve">demic </w:t>
      </w:r>
      <w:r w:rsidR="009E6B8D">
        <w:t>in</w:t>
      </w:r>
      <w:r w:rsidR="005C51A2">
        <w:t xml:space="preserve"> 2020 and 2021</w:t>
      </w:r>
      <w:r w:rsidR="00434059">
        <w:t xml:space="preserve">. </w:t>
      </w:r>
      <w:r w:rsidR="00E9009A">
        <w:t xml:space="preserve"> </w:t>
      </w:r>
      <w:r w:rsidR="009E6B8D">
        <w:t xml:space="preserve">Consequently, </w:t>
      </w:r>
      <w:r w:rsidR="002A0375">
        <w:t xml:space="preserve">activities had to be adapted accordingly. </w:t>
      </w:r>
      <w:r w:rsidR="00E9009A">
        <w:t xml:space="preserve"> </w:t>
      </w:r>
      <w:r w:rsidR="009E6B8D">
        <w:t>For example, in all four beneficiary countries, some activities, such as the information sessions and training</w:t>
      </w:r>
      <w:r w:rsidR="00253B92">
        <w:t xml:space="preserve"> workshops</w:t>
      </w:r>
      <w:r w:rsidR="009E6B8D">
        <w:t xml:space="preserve"> had to be reduced in size (or split into smaller groups) </w:t>
      </w:r>
      <w:r w:rsidR="00F23D0F">
        <w:t>and/</w:t>
      </w:r>
      <w:r w:rsidR="009E6B8D">
        <w:t>or held virtually because of the COVID-19 restrictions</w:t>
      </w:r>
      <w:r w:rsidR="00434059">
        <w:t xml:space="preserve">. </w:t>
      </w:r>
      <w:r w:rsidR="00E9009A">
        <w:t xml:space="preserve"> </w:t>
      </w:r>
      <w:r w:rsidR="009E6B8D">
        <w:t>Further, there were some changes to</w:t>
      </w:r>
      <w:r w:rsidR="00E13CB0">
        <w:t xml:space="preserve"> governments in the beneficiary countries, including within the national IP offices, that resulted in some delays for the project</w:t>
      </w:r>
      <w:r w:rsidR="00434059">
        <w:t xml:space="preserve">. </w:t>
      </w:r>
      <w:r w:rsidR="00E9009A">
        <w:t xml:space="preserve"> </w:t>
      </w:r>
      <w:r w:rsidR="009E6B8D">
        <w:t>Although th</w:t>
      </w:r>
      <w:r w:rsidR="00E13CB0">
        <w:t xml:space="preserve">ese elements </w:t>
      </w:r>
      <w:r w:rsidR="009E6B8D">
        <w:t>created additional organi</w:t>
      </w:r>
      <w:r w:rsidR="00E9009A">
        <w:t>z</w:t>
      </w:r>
      <w:r w:rsidR="009E6B8D">
        <w:t xml:space="preserve">ational tasks, </w:t>
      </w:r>
      <w:r w:rsidR="00E13CB0">
        <w:t>they</w:t>
      </w:r>
      <w:r w:rsidR="009E6B8D">
        <w:t xml:space="preserve"> did not have a major impact on the project</w:t>
      </w:r>
      <w:r w:rsidR="00E13CB0">
        <w:t>, aside from delaying its completion and extending the project by 14</w:t>
      </w:r>
      <w:r w:rsidR="00C168B1">
        <w:t> </w:t>
      </w:r>
      <w:r w:rsidR="00E13CB0">
        <w:t>months</w:t>
      </w:r>
      <w:r w:rsidR="00434059">
        <w:t xml:space="preserve">. </w:t>
      </w:r>
    </w:p>
    <w:p w14:paraId="142C224B" w14:textId="522058DA" w:rsidR="00FB6E4B" w:rsidRPr="00C247FC" w:rsidRDefault="00692329" w:rsidP="000F12F0">
      <w:pPr>
        <w:pStyle w:val="Heading2"/>
        <w:spacing w:before="240" w:after="240"/>
      </w:pPr>
      <w:bookmarkStart w:id="41" w:name="_Toc18392479"/>
      <w:r>
        <w:rPr>
          <w:lang w:val="en-US"/>
        </w:rPr>
        <w:t xml:space="preserve">B. </w:t>
      </w:r>
      <w:r w:rsidR="00FB6E4B" w:rsidRPr="00C247FC">
        <w:t>Effectiveness</w:t>
      </w:r>
      <w:bookmarkEnd w:id="40"/>
      <w:r w:rsidR="00FB6E4B" w:rsidRPr="00C247FC">
        <w:t xml:space="preserve"> </w:t>
      </w:r>
      <w:r w:rsidR="00D8548B">
        <w:t>of the project</w:t>
      </w:r>
      <w:bookmarkEnd w:id="41"/>
    </w:p>
    <w:p w14:paraId="1C877B55" w14:textId="74F58603" w:rsidR="0087171F" w:rsidRDefault="0087171F" w:rsidP="0048197D">
      <w:pPr>
        <w:rPr>
          <w:i/>
          <w:szCs w:val="22"/>
          <w:u w:val="single"/>
        </w:rPr>
      </w:pPr>
      <w:r w:rsidRPr="0087171F">
        <w:rPr>
          <w:i/>
          <w:szCs w:val="22"/>
          <w:u w:val="single"/>
        </w:rPr>
        <w:t xml:space="preserve">The effectiveness and usefulness of the outputs developed in the context of the project, including scoping studies on the production areas and community enterprises that could benefit from the use of collective </w:t>
      </w:r>
      <w:proofErr w:type="gramStart"/>
      <w:r w:rsidRPr="0087171F">
        <w:rPr>
          <w:i/>
          <w:szCs w:val="22"/>
          <w:u w:val="single"/>
        </w:rPr>
        <w:t xml:space="preserve">mark; </w:t>
      </w:r>
      <w:r w:rsidR="009161AE">
        <w:rPr>
          <w:i/>
          <w:szCs w:val="22"/>
          <w:u w:val="single"/>
        </w:rPr>
        <w:t xml:space="preserve"> </w:t>
      </w:r>
      <w:r w:rsidRPr="0087171F">
        <w:rPr>
          <w:i/>
          <w:szCs w:val="22"/>
          <w:u w:val="single"/>
        </w:rPr>
        <w:t>drafting</w:t>
      </w:r>
      <w:proofErr w:type="gramEnd"/>
      <w:r w:rsidRPr="0087171F">
        <w:rPr>
          <w:i/>
          <w:szCs w:val="22"/>
          <w:u w:val="single"/>
        </w:rPr>
        <w:t xml:space="preserve"> and adoption of regulations on the use of the collective mark;  and development of a practical guide on </w:t>
      </w:r>
      <w:bookmarkStart w:id="42" w:name="_Hlk160871701"/>
      <w:r w:rsidRPr="0087171F">
        <w:rPr>
          <w:i/>
          <w:szCs w:val="22"/>
          <w:u w:val="single"/>
        </w:rPr>
        <w:t>the development and registration of collective marks</w:t>
      </w:r>
      <w:bookmarkEnd w:id="42"/>
      <w:r w:rsidRPr="0087171F">
        <w:rPr>
          <w:i/>
          <w:szCs w:val="22"/>
          <w:u w:val="single"/>
        </w:rPr>
        <w:t>, for replication in other scenarios, and customization for each beneficiary country.</w:t>
      </w:r>
    </w:p>
    <w:p w14:paraId="414CEA3C" w14:textId="77777777" w:rsidR="002F6C1E" w:rsidRDefault="002F6C1E" w:rsidP="0048197D">
      <w:pPr>
        <w:rPr>
          <w:i/>
          <w:szCs w:val="22"/>
          <w:u w:val="single"/>
        </w:rPr>
      </w:pPr>
    </w:p>
    <w:p w14:paraId="689EA24C" w14:textId="2C3D6BE6" w:rsidR="0048197D" w:rsidRDefault="00037D1D" w:rsidP="000F12F0">
      <w:pPr>
        <w:pStyle w:val="BodyText"/>
        <w:numPr>
          <w:ilvl w:val="0"/>
          <w:numId w:val="21"/>
        </w:numPr>
        <w:spacing w:after="0"/>
        <w:ind w:left="0" w:firstLine="0"/>
      </w:pPr>
      <w:r w:rsidRPr="00914CAC">
        <w:rPr>
          <w:b/>
        </w:rPr>
        <w:t xml:space="preserve">Finding </w:t>
      </w:r>
      <w:r w:rsidR="00C5390D">
        <w:rPr>
          <w:b/>
        </w:rPr>
        <w:t>7</w:t>
      </w:r>
      <w:r w:rsidR="00F95442">
        <w:t xml:space="preserve">: </w:t>
      </w:r>
      <w:r w:rsidR="00C61800">
        <w:t xml:space="preserve"> </w:t>
      </w:r>
      <w:bookmarkStart w:id="43" w:name="_Hlk161388709"/>
      <w:r w:rsidR="00AF276F">
        <w:t xml:space="preserve">The </w:t>
      </w:r>
      <w:r w:rsidR="00F23D0F">
        <w:t>outputs as</w:t>
      </w:r>
      <w:r w:rsidR="0009414E">
        <w:t xml:space="preserve"> foreseen by the Project Proposal</w:t>
      </w:r>
      <w:r w:rsidR="000E3598">
        <w:t xml:space="preserve"> (as detailed in paragraph</w:t>
      </w:r>
      <w:r w:rsidR="0030500C">
        <w:t> </w:t>
      </w:r>
      <w:r w:rsidR="00E079F9">
        <w:t>4)</w:t>
      </w:r>
      <w:r w:rsidR="0009414E">
        <w:t xml:space="preserve"> were all developed and launched</w:t>
      </w:r>
      <w:r w:rsidR="00EE67EB">
        <w:t xml:space="preserve"> successfully</w:t>
      </w:r>
      <w:r w:rsidR="0009414E">
        <w:t xml:space="preserve"> during the project’s implementation</w:t>
      </w:r>
      <w:r w:rsidR="00F23D0F">
        <w:t xml:space="preserve"> in the four</w:t>
      </w:r>
      <w:r w:rsidR="009161AE">
        <w:t> </w:t>
      </w:r>
      <w:r w:rsidR="00F23D0F">
        <w:t>beneficiary countries</w:t>
      </w:r>
      <w:bookmarkEnd w:id="43"/>
      <w:r w:rsidR="00A524B8">
        <w:t xml:space="preserve">: </w:t>
      </w:r>
    </w:p>
    <w:p w14:paraId="75A9BA5C" w14:textId="77777777" w:rsidR="0048197D" w:rsidRDefault="0048197D" w:rsidP="0048197D">
      <w:pPr>
        <w:pStyle w:val="BodyText"/>
        <w:spacing w:after="0"/>
      </w:pPr>
    </w:p>
    <w:p w14:paraId="6421D389" w14:textId="45FAF04F" w:rsidR="00BB0B65" w:rsidRDefault="00EE67EB" w:rsidP="00343FEC">
      <w:pPr>
        <w:pStyle w:val="BodyText"/>
        <w:numPr>
          <w:ilvl w:val="0"/>
          <w:numId w:val="17"/>
        </w:numPr>
        <w:spacing w:after="0"/>
        <w:ind w:left="1440" w:hanging="720"/>
      </w:pPr>
      <w:r w:rsidRPr="00494DE1">
        <w:rPr>
          <w:b/>
          <w:bCs/>
        </w:rPr>
        <w:t>The</w:t>
      </w:r>
      <w:r w:rsidR="00A524B8">
        <w:rPr>
          <w:b/>
          <w:bCs/>
        </w:rPr>
        <w:t xml:space="preserve"> scoping studies:</w:t>
      </w:r>
      <w:r>
        <w:t xml:space="preserve"> </w:t>
      </w:r>
      <w:r w:rsidR="00C52F90">
        <w:t xml:space="preserve"> </w:t>
      </w:r>
      <w:r w:rsidR="00C7683E">
        <w:t>In each of the four beneficiary countries, a scoping study</w:t>
      </w:r>
      <w:r w:rsidR="002C7B0B">
        <w:t xml:space="preserve"> </w:t>
      </w:r>
      <w:r w:rsidR="00C7683E">
        <w:t xml:space="preserve">was carried out </w:t>
      </w:r>
      <w:r w:rsidR="00A02BC4">
        <w:t xml:space="preserve">on production areas and community enterprises that could benefit from the use of </w:t>
      </w:r>
      <w:r w:rsidR="00253B92">
        <w:t>a</w:t>
      </w:r>
      <w:r w:rsidR="00A02BC4">
        <w:t xml:space="preserve"> collective mark</w:t>
      </w:r>
      <w:r w:rsidR="00434059">
        <w:t xml:space="preserve">. </w:t>
      </w:r>
      <w:r w:rsidR="00E9009A">
        <w:t xml:space="preserve"> </w:t>
      </w:r>
      <w:r w:rsidR="00E079F9">
        <w:t>The</w:t>
      </w:r>
      <w:r w:rsidR="00A02BC4">
        <w:t xml:space="preserve"> scoping stu</w:t>
      </w:r>
      <w:r w:rsidR="00E079F9">
        <w:t xml:space="preserve">dies were </w:t>
      </w:r>
      <w:r w:rsidR="00A02BC4">
        <w:t>adapted to the local conditions, for example, in Bolivia, associations were asked to submit</w:t>
      </w:r>
      <w:r w:rsidR="002C7B0B">
        <w:t xml:space="preserve"> proposals with 34 indicating interest in the project</w:t>
      </w:r>
      <w:r w:rsidR="00434059">
        <w:t>.</w:t>
      </w:r>
      <w:r w:rsidR="00E9009A">
        <w:t xml:space="preserve"> </w:t>
      </w:r>
      <w:r w:rsidR="00434059">
        <w:t xml:space="preserve"> </w:t>
      </w:r>
      <w:r w:rsidR="002C7B0B">
        <w:t xml:space="preserve">In all countries, the scoping studies were successful in </w:t>
      </w:r>
      <w:r w:rsidR="00E079F9">
        <w:t xml:space="preserve">supporting the </w:t>
      </w:r>
      <w:r w:rsidR="00690A5C">
        <w:t>selection of</w:t>
      </w:r>
      <w:r w:rsidR="00E079F9">
        <w:t xml:space="preserve"> </w:t>
      </w:r>
      <w:r w:rsidR="002C7B0B">
        <w:t>an association for the use of a collective mark as detailed below.</w:t>
      </w:r>
      <w:r w:rsidR="00A02BC4">
        <w:t xml:space="preserve"> </w:t>
      </w:r>
    </w:p>
    <w:p w14:paraId="02137ECA" w14:textId="77777777" w:rsidR="00BB0B65" w:rsidRDefault="00BB0B65" w:rsidP="00343FEC">
      <w:pPr>
        <w:pStyle w:val="BodyText"/>
        <w:spacing w:after="0"/>
        <w:ind w:left="1440" w:hanging="720"/>
      </w:pPr>
    </w:p>
    <w:p w14:paraId="1AFB8D4D" w14:textId="65A6985F" w:rsidR="00BB0B65" w:rsidRDefault="00315DB1" w:rsidP="00343FEC">
      <w:pPr>
        <w:pStyle w:val="BodyText"/>
        <w:numPr>
          <w:ilvl w:val="0"/>
          <w:numId w:val="17"/>
        </w:numPr>
        <w:spacing w:after="0"/>
        <w:ind w:left="1440" w:hanging="720"/>
      </w:pPr>
      <w:r w:rsidRPr="00BB0B65">
        <w:rPr>
          <w:b/>
          <w:bCs/>
        </w:rPr>
        <w:t>The</w:t>
      </w:r>
      <w:r w:rsidR="00D2528F" w:rsidRPr="00BB0B65">
        <w:rPr>
          <w:b/>
          <w:bCs/>
        </w:rPr>
        <w:t xml:space="preserve"> </w:t>
      </w:r>
      <w:r w:rsidR="00A524B8" w:rsidRPr="00BB0B65">
        <w:rPr>
          <w:b/>
          <w:bCs/>
        </w:rPr>
        <w:t xml:space="preserve">regulations on the use of the collective mark: </w:t>
      </w:r>
      <w:r w:rsidR="00D2528F" w:rsidRPr="00BB0B65">
        <w:rPr>
          <w:b/>
          <w:bCs/>
        </w:rPr>
        <w:t xml:space="preserve"> </w:t>
      </w:r>
      <w:r w:rsidR="00690A5C">
        <w:t>I</w:t>
      </w:r>
      <w:r w:rsidR="00E079F9">
        <w:t>n each of the four beneficiary countries, regulations on the use of the collective mark were drafted by the national consultants in consultation with the other team members and the beneficiary association</w:t>
      </w:r>
      <w:r w:rsidR="00253B92">
        <w:t>s</w:t>
      </w:r>
      <w:r w:rsidR="00434059">
        <w:t xml:space="preserve">. </w:t>
      </w:r>
      <w:r w:rsidR="00E9009A">
        <w:t xml:space="preserve"> </w:t>
      </w:r>
      <w:r w:rsidR="00E079F9">
        <w:t>In all countries, the</w:t>
      </w:r>
      <w:r w:rsidR="00690A5C">
        <w:t xml:space="preserve"> regulations were adopted by the beneficiary associations</w:t>
      </w:r>
      <w:r w:rsidR="00434059">
        <w:t xml:space="preserve">. </w:t>
      </w:r>
      <w:r w:rsidR="00E9009A">
        <w:t xml:space="preserve"> </w:t>
      </w:r>
      <w:r w:rsidR="00690A5C">
        <w:t xml:space="preserve">In some countries, additional drafting and legal assistance was provided by the </w:t>
      </w:r>
      <w:proofErr w:type="gramStart"/>
      <w:r w:rsidR="00690A5C">
        <w:t>project;</w:t>
      </w:r>
      <w:r w:rsidR="00796C3F">
        <w:t xml:space="preserve"> </w:t>
      </w:r>
      <w:r w:rsidR="00690A5C">
        <w:t xml:space="preserve"> for</w:t>
      </w:r>
      <w:proofErr w:type="gramEnd"/>
      <w:r w:rsidR="00690A5C">
        <w:t xml:space="preserve"> example, in Bolivia the project supported the association in modifying their by-laws and regulations and in Tunisia, their product specifications</w:t>
      </w:r>
      <w:r w:rsidR="00434059">
        <w:t xml:space="preserve">. </w:t>
      </w:r>
      <w:r w:rsidR="00E9009A">
        <w:t xml:space="preserve"> </w:t>
      </w:r>
      <w:r w:rsidR="00690A5C">
        <w:t xml:space="preserve">According to interviewees, the regulations were sufficient to facilitate and enable the use of the collective mark, although more product specifications and guidelines were still required, </w:t>
      </w:r>
      <w:proofErr w:type="gramStart"/>
      <w:r w:rsidR="00690A5C">
        <w:t>in order to</w:t>
      </w:r>
      <w:proofErr w:type="gramEnd"/>
      <w:r w:rsidR="00690A5C">
        <w:t xml:space="preserve"> ensure product quality and meet the regulatory requirements.</w:t>
      </w:r>
    </w:p>
    <w:p w14:paraId="3F688E47" w14:textId="77777777" w:rsidR="00BB0B65" w:rsidRDefault="00BB0B65" w:rsidP="00343FEC">
      <w:pPr>
        <w:pStyle w:val="ListParagraph"/>
        <w:ind w:left="1440" w:hanging="720"/>
        <w:rPr>
          <w:b/>
          <w:bCs/>
        </w:rPr>
      </w:pPr>
    </w:p>
    <w:p w14:paraId="127E04F5" w14:textId="794A1047" w:rsidR="00315DB1" w:rsidRDefault="00A524B8" w:rsidP="00343FEC">
      <w:pPr>
        <w:pStyle w:val="BodyText"/>
        <w:numPr>
          <w:ilvl w:val="0"/>
          <w:numId w:val="17"/>
        </w:numPr>
        <w:spacing w:after="0"/>
        <w:ind w:left="1440" w:hanging="720"/>
      </w:pPr>
      <w:r w:rsidRPr="00BB0B65">
        <w:rPr>
          <w:b/>
          <w:bCs/>
        </w:rPr>
        <w:t>Practical guide on the</w:t>
      </w:r>
      <w:r w:rsidRPr="00A524B8">
        <w:t xml:space="preserve"> </w:t>
      </w:r>
      <w:r w:rsidRPr="00BB0B65">
        <w:rPr>
          <w:b/>
          <w:bCs/>
        </w:rPr>
        <w:t>development and registration of collective marks:</w:t>
      </w:r>
      <w:r w:rsidR="00D70B53">
        <w:t xml:space="preserve"> </w:t>
      </w:r>
      <w:r w:rsidR="00690A5C">
        <w:t xml:space="preserve"> In each of the four countries, a practical guide was </w:t>
      </w:r>
      <w:r w:rsidR="00B6012D">
        <w:t>produced on the development and registration of collective marks, in addition to a leaflet</w:t>
      </w:r>
      <w:r w:rsidR="00BD6B62">
        <w:t xml:space="preserve"> summarizing the guides’ content</w:t>
      </w:r>
      <w:r w:rsidR="00B6012D">
        <w:t xml:space="preserve"> (some two pages)</w:t>
      </w:r>
      <w:r w:rsidR="00434059">
        <w:t xml:space="preserve">. </w:t>
      </w:r>
      <w:r w:rsidR="00E9009A">
        <w:t xml:space="preserve"> </w:t>
      </w:r>
      <w:r w:rsidR="00BD6B62">
        <w:t>The content of each guide was customized to the needs of each country</w:t>
      </w:r>
      <w:r w:rsidR="001A183E">
        <w:t xml:space="preserve">, translated into local </w:t>
      </w:r>
      <w:proofErr w:type="gramStart"/>
      <w:r w:rsidR="001A183E">
        <w:t>languages</w:t>
      </w:r>
      <w:proofErr w:type="gramEnd"/>
      <w:r w:rsidR="00BD6B62">
        <w:t xml:space="preserve"> and published by the national IP offices in association with WIPO and other national partners</w:t>
      </w:r>
      <w:r w:rsidR="00434059">
        <w:t xml:space="preserve">. </w:t>
      </w:r>
      <w:r w:rsidR="00E9009A">
        <w:t xml:space="preserve"> </w:t>
      </w:r>
      <w:r w:rsidR="00BD6B62">
        <w:t xml:space="preserve">According </w:t>
      </w:r>
      <w:r w:rsidR="007971FE">
        <w:t>to interviewees, the guides were seen as being informative and of use for the further promotion of collective marks in the countrie</w:t>
      </w:r>
      <w:r w:rsidR="006C6400">
        <w:t>s</w:t>
      </w:r>
      <w:r w:rsidR="00434059">
        <w:t xml:space="preserve">. </w:t>
      </w:r>
      <w:r w:rsidR="00E9009A">
        <w:t xml:space="preserve"> </w:t>
      </w:r>
      <w:r w:rsidR="005B4F4E">
        <w:t xml:space="preserve">However, </w:t>
      </w:r>
      <w:r w:rsidR="00104D6F">
        <w:t xml:space="preserve">for the interviewees, </w:t>
      </w:r>
      <w:r w:rsidR="005B4F4E">
        <w:t xml:space="preserve">the guides would </w:t>
      </w:r>
      <w:r w:rsidR="00253B92">
        <w:t xml:space="preserve">still </w:t>
      </w:r>
      <w:r w:rsidR="005B4F4E">
        <w:t xml:space="preserve">need to be part of larger marketing and awareness-raising efforts of national IP offices to encourage </w:t>
      </w:r>
      <w:r w:rsidR="00ED2343">
        <w:t>the</w:t>
      </w:r>
      <w:r w:rsidR="005B4F4E">
        <w:t xml:space="preserve"> </w:t>
      </w:r>
      <w:r w:rsidR="00253B92">
        <w:t>use</w:t>
      </w:r>
      <w:r w:rsidR="005B4F4E">
        <w:t xml:space="preserve"> of collective marks by other associations</w:t>
      </w:r>
      <w:r w:rsidR="00434059">
        <w:t xml:space="preserve">. </w:t>
      </w:r>
    </w:p>
    <w:p w14:paraId="251A6566" w14:textId="77777777" w:rsidR="0048197D" w:rsidRDefault="0048197D" w:rsidP="0048197D">
      <w:pPr>
        <w:rPr>
          <w:i/>
          <w:szCs w:val="22"/>
          <w:u w:val="single"/>
        </w:rPr>
      </w:pPr>
    </w:p>
    <w:p w14:paraId="107FB4BC" w14:textId="61B2D821" w:rsidR="00A524B8" w:rsidRPr="0087171F" w:rsidRDefault="00A524B8" w:rsidP="0048197D">
      <w:pPr>
        <w:rPr>
          <w:i/>
          <w:szCs w:val="22"/>
          <w:u w:val="single"/>
        </w:rPr>
      </w:pPr>
      <w:r w:rsidRPr="0087171F">
        <w:rPr>
          <w:i/>
          <w:szCs w:val="22"/>
          <w:u w:val="single"/>
        </w:rPr>
        <w:t>The effectiveness of the project in identifying the potential products that could benefit from a collective mark and selection of the final product.</w:t>
      </w:r>
    </w:p>
    <w:p w14:paraId="5C2EF527" w14:textId="77777777" w:rsidR="00A524B8" w:rsidRPr="00D2528F" w:rsidRDefault="00A524B8" w:rsidP="0048197D">
      <w:pPr>
        <w:pStyle w:val="BodyText"/>
        <w:spacing w:after="0"/>
      </w:pPr>
    </w:p>
    <w:p w14:paraId="7BFC2CBD" w14:textId="453C278E" w:rsidR="00A524B8" w:rsidRDefault="00D01D72" w:rsidP="000F12F0">
      <w:pPr>
        <w:pStyle w:val="BodyText"/>
        <w:numPr>
          <w:ilvl w:val="0"/>
          <w:numId w:val="21"/>
        </w:numPr>
        <w:spacing w:after="0"/>
        <w:ind w:left="0" w:firstLine="0"/>
      </w:pPr>
      <w:r w:rsidRPr="00AC37AB">
        <w:rPr>
          <w:b/>
        </w:rPr>
        <w:t xml:space="preserve">Finding </w:t>
      </w:r>
      <w:r w:rsidR="00C5390D">
        <w:rPr>
          <w:b/>
        </w:rPr>
        <w:t>8</w:t>
      </w:r>
      <w:r w:rsidRPr="00AC37AB">
        <w:rPr>
          <w:b/>
        </w:rPr>
        <w:t>:</w:t>
      </w:r>
      <w:r>
        <w:t xml:space="preserve"> </w:t>
      </w:r>
      <w:r w:rsidR="005B4F4E">
        <w:t xml:space="preserve"> In all four beneficiary countries, </w:t>
      </w:r>
      <w:bookmarkStart w:id="44" w:name="_Hlk161388792"/>
      <w:r w:rsidR="005B4F4E">
        <w:t xml:space="preserve">associations were </w:t>
      </w:r>
      <w:r w:rsidR="00D94668">
        <w:t>selected whose members produced products that could potentially benefit from a collective mark</w:t>
      </w:r>
      <w:bookmarkEnd w:id="44"/>
      <w:r w:rsidR="00D94668">
        <w:t xml:space="preserve">: </w:t>
      </w:r>
    </w:p>
    <w:p w14:paraId="6BC389A8" w14:textId="77777777" w:rsidR="0048197D" w:rsidRDefault="0048197D" w:rsidP="0048197D">
      <w:pPr>
        <w:pStyle w:val="BodyText"/>
        <w:spacing w:after="0"/>
      </w:pPr>
    </w:p>
    <w:p w14:paraId="01E610E6" w14:textId="371E9280" w:rsidR="00D94668" w:rsidRPr="00BB0B65" w:rsidRDefault="00A12089" w:rsidP="00CA4068">
      <w:pPr>
        <w:pStyle w:val="BodyText"/>
        <w:numPr>
          <w:ilvl w:val="1"/>
          <w:numId w:val="8"/>
        </w:numPr>
        <w:spacing w:after="0"/>
        <w:ind w:left="1440" w:hanging="720"/>
      </w:pPr>
      <w:r w:rsidRPr="00BB0B65">
        <w:t xml:space="preserve">In Bolivia, honey from the </w:t>
      </w:r>
      <w:proofErr w:type="spellStart"/>
      <w:r w:rsidRPr="00BB0B65">
        <w:t>Asociación</w:t>
      </w:r>
      <w:proofErr w:type="spellEnd"/>
      <w:r w:rsidRPr="00BB0B65">
        <w:t xml:space="preserve"> Regional de </w:t>
      </w:r>
      <w:proofErr w:type="spellStart"/>
      <w:r w:rsidRPr="00BB0B65">
        <w:t>Apicultores</w:t>
      </w:r>
      <w:proofErr w:type="spellEnd"/>
      <w:r w:rsidRPr="00BB0B65">
        <w:t xml:space="preserve"> del Chaco </w:t>
      </w:r>
      <w:proofErr w:type="spellStart"/>
      <w:r w:rsidRPr="00BB0B65">
        <w:t>Chuquisaqueño</w:t>
      </w:r>
      <w:proofErr w:type="spellEnd"/>
      <w:r w:rsidR="00664721" w:rsidRPr="00BB0B65">
        <w:t> (ARACH)</w:t>
      </w:r>
      <w:r w:rsidRPr="00BB0B65">
        <w:t xml:space="preserve"> represent</w:t>
      </w:r>
      <w:r w:rsidR="001A28B9" w:rsidRPr="00BB0B65">
        <w:t>ing</w:t>
      </w:r>
      <w:r w:rsidRPr="00BB0B65">
        <w:t xml:space="preserve"> 42</w:t>
      </w:r>
      <w:r w:rsidR="0068577B">
        <w:t> </w:t>
      </w:r>
      <w:r w:rsidRPr="00BB0B65">
        <w:t>beekeeping association</w:t>
      </w:r>
      <w:r w:rsidR="00477D63" w:rsidRPr="00BB0B65">
        <w:t xml:space="preserve"> from some </w:t>
      </w:r>
      <w:r w:rsidRPr="00BB0B65">
        <w:t>1,200</w:t>
      </w:r>
      <w:r w:rsidR="00664721" w:rsidRPr="00BB0B65">
        <w:t> </w:t>
      </w:r>
      <w:r w:rsidRPr="00BB0B65">
        <w:t>families.</w:t>
      </w:r>
    </w:p>
    <w:p w14:paraId="23B7556A" w14:textId="77777777" w:rsidR="0048197D" w:rsidRPr="00BB0B65" w:rsidRDefault="0048197D" w:rsidP="00CA4068">
      <w:pPr>
        <w:pStyle w:val="BodyText"/>
        <w:spacing w:after="0"/>
        <w:ind w:left="1440" w:hanging="720"/>
      </w:pPr>
    </w:p>
    <w:p w14:paraId="4D7BC04D" w14:textId="61971571" w:rsidR="00A12089" w:rsidRPr="00BB0B65" w:rsidRDefault="00A12089" w:rsidP="00CA4068">
      <w:pPr>
        <w:pStyle w:val="BodyText"/>
        <w:numPr>
          <w:ilvl w:val="1"/>
          <w:numId w:val="8"/>
        </w:numPr>
        <w:spacing w:after="0"/>
        <w:ind w:left="1440" w:hanging="720"/>
      </w:pPr>
      <w:r w:rsidRPr="00BB0B65">
        <w:t xml:space="preserve">In Brazil, </w:t>
      </w:r>
      <w:bookmarkStart w:id="45" w:name="_Hlk161388866"/>
      <w:r w:rsidRPr="00BB0B65">
        <w:t xml:space="preserve">cassava flour and derived products, honey, </w:t>
      </w:r>
      <w:proofErr w:type="gramStart"/>
      <w:r w:rsidRPr="00BB0B65">
        <w:t>nuts</w:t>
      </w:r>
      <w:proofErr w:type="gramEnd"/>
      <w:r w:rsidRPr="00BB0B65">
        <w:t xml:space="preserve"> and oils </w:t>
      </w:r>
      <w:bookmarkEnd w:id="45"/>
      <w:r w:rsidRPr="00BB0B65">
        <w:t xml:space="preserve">from the </w:t>
      </w:r>
      <w:proofErr w:type="spellStart"/>
      <w:r w:rsidRPr="00BB0B65">
        <w:t>Associação</w:t>
      </w:r>
      <w:proofErr w:type="spellEnd"/>
      <w:r w:rsidRPr="00BB0B65">
        <w:t xml:space="preserve"> dos Produtores </w:t>
      </w:r>
      <w:proofErr w:type="spellStart"/>
      <w:r w:rsidRPr="00BB0B65">
        <w:t>Agroextrativistas</w:t>
      </w:r>
      <w:proofErr w:type="spellEnd"/>
      <w:r w:rsidRPr="00BB0B65">
        <w:t xml:space="preserve"> da Floresta Nacional de </w:t>
      </w:r>
      <w:proofErr w:type="spellStart"/>
      <w:r w:rsidRPr="00BB0B65">
        <w:t>Tefé</w:t>
      </w:r>
      <w:proofErr w:type="spellEnd"/>
      <w:r w:rsidRPr="00BB0B65">
        <w:t xml:space="preserve"> e </w:t>
      </w:r>
      <w:proofErr w:type="spellStart"/>
      <w:r w:rsidRPr="00BB0B65">
        <w:t>Entorno</w:t>
      </w:r>
      <w:proofErr w:type="spellEnd"/>
      <w:r w:rsidRPr="00BB0B65">
        <w:t xml:space="preserve"> representing 420</w:t>
      </w:r>
      <w:r w:rsidR="0068577B">
        <w:t> </w:t>
      </w:r>
      <w:r w:rsidRPr="00BB0B65">
        <w:t>producers of local communities in</w:t>
      </w:r>
      <w:r w:rsidR="001A28B9" w:rsidRPr="00BB0B65">
        <w:t xml:space="preserve"> the</w:t>
      </w:r>
      <w:r w:rsidRPr="00BB0B65">
        <w:t xml:space="preserve"> </w:t>
      </w:r>
      <w:proofErr w:type="spellStart"/>
      <w:r w:rsidRPr="00BB0B65">
        <w:t>Tefé</w:t>
      </w:r>
      <w:proofErr w:type="spellEnd"/>
      <w:r w:rsidRPr="00BB0B65">
        <w:t xml:space="preserve"> National Forest of the Amazon region.</w:t>
      </w:r>
    </w:p>
    <w:p w14:paraId="20FD1FB9" w14:textId="77777777" w:rsidR="0048197D" w:rsidRPr="00BB0B65" w:rsidRDefault="0048197D" w:rsidP="00CA4068">
      <w:pPr>
        <w:pStyle w:val="BodyText"/>
        <w:spacing w:after="0"/>
        <w:ind w:left="1440" w:hanging="720"/>
      </w:pPr>
    </w:p>
    <w:p w14:paraId="30D45774" w14:textId="38C36C91" w:rsidR="00D94668" w:rsidRPr="00BB0B65" w:rsidRDefault="00A12089" w:rsidP="00CA4068">
      <w:pPr>
        <w:pStyle w:val="BodyText"/>
        <w:numPr>
          <w:ilvl w:val="1"/>
          <w:numId w:val="8"/>
        </w:numPr>
        <w:spacing w:after="0"/>
        <w:ind w:left="1440" w:hanging="720"/>
      </w:pPr>
      <w:r w:rsidRPr="00BB0B65">
        <w:t xml:space="preserve">In the Philippines, </w:t>
      </w:r>
      <w:bookmarkStart w:id="46" w:name="_Hlk161388879"/>
      <w:r w:rsidR="001A28B9" w:rsidRPr="00BB0B65">
        <w:t xml:space="preserve">nuts, pastries, handicrafts, fashion accessories and cosmetic products from the Pili tree </w:t>
      </w:r>
      <w:bookmarkEnd w:id="46"/>
      <w:r w:rsidR="001A28B9" w:rsidRPr="00BB0B65">
        <w:t xml:space="preserve">of the association </w:t>
      </w:r>
      <w:proofErr w:type="spellStart"/>
      <w:r w:rsidR="001A28B9" w:rsidRPr="00BB0B65">
        <w:t>Orgullo</w:t>
      </w:r>
      <w:proofErr w:type="spellEnd"/>
      <w:r w:rsidR="001A28B9" w:rsidRPr="00BB0B65">
        <w:t xml:space="preserve"> Kan Bicol</w:t>
      </w:r>
      <w:r w:rsidR="005F6A0C" w:rsidRPr="00BB0B65">
        <w:t> (OKB)</w:t>
      </w:r>
      <w:r w:rsidR="001A28B9" w:rsidRPr="00BB0B65">
        <w:t xml:space="preserve"> representing more than 500</w:t>
      </w:r>
      <w:r w:rsidR="00664721" w:rsidRPr="00BB0B65">
        <w:t> </w:t>
      </w:r>
      <w:r w:rsidR="001A28B9" w:rsidRPr="00BB0B65">
        <w:t>producers</w:t>
      </w:r>
      <w:r w:rsidR="00253B92" w:rsidRPr="00BB0B65">
        <w:t xml:space="preserve"> of the Bicol region of </w:t>
      </w:r>
      <w:r w:rsidR="00B9572B" w:rsidRPr="00BB0B65">
        <w:t>Luzon Island</w:t>
      </w:r>
      <w:r w:rsidR="00434059">
        <w:t xml:space="preserve">. </w:t>
      </w:r>
      <w:r w:rsidRPr="00BB0B65">
        <w:t xml:space="preserve"> </w:t>
      </w:r>
    </w:p>
    <w:p w14:paraId="590BB980" w14:textId="77777777" w:rsidR="0048197D" w:rsidRPr="00BB0B65" w:rsidRDefault="0048197D" w:rsidP="00CA4068">
      <w:pPr>
        <w:pStyle w:val="BodyText"/>
        <w:spacing w:after="0"/>
        <w:ind w:left="1440" w:hanging="720"/>
      </w:pPr>
    </w:p>
    <w:p w14:paraId="7DC3BE21" w14:textId="238EF844" w:rsidR="001A28B9" w:rsidRPr="00BB0B65" w:rsidRDefault="001A28B9" w:rsidP="00CA4068">
      <w:pPr>
        <w:pStyle w:val="BodyText"/>
        <w:numPr>
          <w:ilvl w:val="1"/>
          <w:numId w:val="8"/>
        </w:numPr>
        <w:spacing w:after="0"/>
        <w:ind w:left="1440" w:hanging="720"/>
      </w:pPr>
      <w:r w:rsidRPr="00BB0B65">
        <w:t xml:space="preserve">In </w:t>
      </w:r>
      <w:r w:rsidR="00FC278B" w:rsidRPr="00BB0B65">
        <w:t xml:space="preserve">Tunisia, </w:t>
      </w:r>
      <w:bookmarkStart w:id="47" w:name="_Hlk161388905"/>
      <w:r w:rsidR="00FC278B" w:rsidRPr="00BB0B65">
        <w:t>honey</w:t>
      </w:r>
      <w:r w:rsidRPr="00BB0B65">
        <w:t>, honey-derived products, essential oils</w:t>
      </w:r>
      <w:r w:rsidR="00FC278B" w:rsidRPr="00BB0B65">
        <w:t xml:space="preserve">, </w:t>
      </w:r>
      <w:proofErr w:type="gramStart"/>
      <w:r w:rsidR="00FC278B" w:rsidRPr="00BB0B65">
        <w:t>soap</w:t>
      </w:r>
      <w:proofErr w:type="gramEnd"/>
      <w:r w:rsidRPr="00BB0B65">
        <w:t xml:space="preserve"> and other products </w:t>
      </w:r>
      <w:bookmarkEnd w:id="47"/>
      <w:r w:rsidRPr="00BB0B65">
        <w:t xml:space="preserve">of the Association de </w:t>
      </w:r>
      <w:proofErr w:type="spellStart"/>
      <w:r w:rsidRPr="00BB0B65">
        <w:t>Producteurs</w:t>
      </w:r>
      <w:proofErr w:type="spellEnd"/>
      <w:r w:rsidRPr="00BB0B65">
        <w:t xml:space="preserve"> pour la Promotion des </w:t>
      </w:r>
      <w:proofErr w:type="spellStart"/>
      <w:r w:rsidRPr="00BB0B65">
        <w:t>Produits</w:t>
      </w:r>
      <w:proofErr w:type="spellEnd"/>
      <w:r w:rsidRPr="00BB0B65">
        <w:t xml:space="preserve"> de </w:t>
      </w:r>
      <w:proofErr w:type="spellStart"/>
      <w:r w:rsidRPr="00BB0B65">
        <w:t>Ghardimaou</w:t>
      </w:r>
      <w:proofErr w:type="spellEnd"/>
      <w:r w:rsidR="00FC278B" w:rsidRPr="00BB0B65">
        <w:t xml:space="preserve"> representing 100</w:t>
      </w:r>
      <w:r w:rsidR="00664721" w:rsidRPr="00BB0B65">
        <w:t> </w:t>
      </w:r>
      <w:r w:rsidR="00FC278B" w:rsidRPr="00BB0B65">
        <w:t xml:space="preserve">producers from the </w:t>
      </w:r>
      <w:proofErr w:type="spellStart"/>
      <w:r w:rsidR="00FC278B" w:rsidRPr="00BB0B65">
        <w:t>Jendouba</w:t>
      </w:r>
      <w:proofErr w:type="spellEnd"/>
      <w:r w:rsidR="00FC278B" w:rsidRPr="00BB0B65">
        <w:t xml:space="preserve"> Governorate of north-west Tunisia. </w:t>
      </w:r>
    </w:p>
    <w:p w14:paraId="50C05A17" w14:textId="77777777" w:rsidR="0048197D" w:rsidRPr="001A28B9" w:rsidRDefault="0048197D" w:rsidP="0048197D">
      <w:pPr>
        <w:pStyle w:val="BodyText"/>
        <w:spacing w:after="0"/>
        <w:rPr>
          <w:i/>
          <w:iCs/>
        </w:rPr>
      </w:pPr>
    </w:p>
    <w:p w14:paraId="0EB4EEE8" w14:textId="7A13D595" w:rsidR="00BF52BE" w:rsidRPr="00E12FB0" w:rsidRDefault="00E207BD" w:rsidP="006343E3">
      <w:pPr>
        <w:pStyle w:val="ListParagraph"/>
        <w:numPr>
          <w:ilvl w:val="0"/>
          <w:numId w:val="21"/>
        </w:numPr>
        <w:ind w:left="0" w:firstLine="0"/>
      </w:pPr>
      <w:r w:rsidRPr="006343E3">
        <w:rPr>
          <w:b/>
        </w:rPr>
        <w:t xml:space="preserve">Finding </w:t>
      </w:r>
      <w:r w:rsidR="00C5390D" w:rsidRPr="006343E3">
        <w:rPr>
          <w:b/>
        </w:rPr>
        <w:t>9</w:t>
      </w:r>
      <w:r w:rsidRPr="006343E3">
        <w:rPr>
          <w:b/>
        </w:rPr>
        <w:t>:</w:t>
      </w:r>
      <w:r w:rsidR="00281A68">
        <w:t xml:space="preserve"> </w:t>
      </w:r>
      <w:r w:rsidR="00D01D72">
        <w:t xml:space="preserve"> </w:t>
      </w:r>
      <w:r w:rsidR="00477D63">
        <w:t xml:space="preserve">Although the project was successful in all </w:t>
      </w:r>
      <w:r w:rsidR="00A46F69">
        <w:t>four </w:t>
      </w:r>
      <w:r w:rsidR="00477D63">
        <w:t xml:space="preserve">countries in identifying the associations and their products that could benefit from a collective mark, </w:t>
      </w:r>
      <w:bookmarkStart w:id="48" w:name="_Hlk161389170"/>
      <w:r w:rsidR="00477D63">
        <w:t>their success in bringing their products to market under the collective mark has varied to date</w:t>
      </w:r>
      <w:r w:rsidR="00434059">
        <w:t xml:space="preserve">. </w:t>
      </w:r>
      <w:bookmarkEnd w:id="48"/>
      <w:r w:rsidR="00E9009A">
        <w:t xml:space="preserve"> </w:t>
      </w:r>
      <w:r w:rsidR="00F46A61">
        <w:t>In Brazil, several producers have marketed their products using the collective mark in their local Amazon region</w:t>
      </w:r>
      <w:r w:rsidR="00434059">
        <w:t xml:space="preserve">. </w:t>
      </w:r>
      <w:r w:rsidR="00F46A61">
        <w:t>However, they still aim for broader distribution within the country and possibly abroad</w:t>
      </w:r>
      <w:r w:rsidR="00434059">
        <w:t xml:space="preserve">. </w:t>
      </w:r>
      <w:r w:rsidR="00E9009A">
        <w:t xml:space="preserve"> </w:t>
      </w:r>
      <w:r w:rsidR="00F46A61">
        <w:t xml:space="preserve">In the Philippines, three producers had marketed products </w:t>
      </w:r>
      <w:r w:rsidR="00C51C64">
        <w:t>using the collective mark for the Philippines market, with ambitions for further expansion and possible export markets</w:t>
      </w:r>
      <w:r w:rsidR="00434059">
        <w:t>.</w:t>
      </w:r>
      <w:r w:rsidR="00E9009A">
        <w:t xml:space="preserve"> </w:t>
      </w:r>
      <w:r w:rsidR="00434059">
        <w:t xml:space="preserve"> </w:t>
      </w:r>
      <w:r w:rsidR="00C51C64">
        <w:t>In Bolivia, the collective mark was launched in February 2024 and marketing efforts were still in preparation as of early 2024</w:t>
      </w:r>
      <w:r w:rsidR="00434059">
        <w:t xml:space="preserve">. </w:t>
      </w:r>
      <w:r w:rsidR="006343E3">
        <w:t xml:space="preserve"> </w:t>
      </w:r>
      <w:r w:rsidR="00C51C64">
        <w:t xml:space="preserve">In Tunisia, </w:t>
      </w:r>
      <w:r w:rsidR="00E12FB0">
        <w:t xml:space="preserve">the </w:t>
      </w:r>
      <w:r w:rsidR="00C51C64">
        <w:t>products had</w:t>
      </w:r>
      <w:r w:rsidR="00E12FB0">
        <w:t xml:space="preserve"> not yet</w:t>
      </w:r>
      <w:r w:rsidR="00C51C64">
        <w:t xml:space="preserve"> been marketed under the collective market as of early 2024</w:t>
      </w:r>
      <w:r w:rsidR="00434059">
        <w:t xml:space="preserve">. </w:t>
      </w:r>
      <w:r w:rsidR="006343E3">
        <w:t xml:space="preserve"> </w:t>
      </w:r>
      <w:r w:rsidR="00C51C64">
        <w:t>According to interviewees, th</w:t>
      </w:r>
      <w:r w:rsidR="00BF52BE">
        <w:t xml:space="preserve">is is because the benefiting association was </w:t>
      </w:r>
      <w:r w:rsidR="00253B92">
        <w:t xml:space="preserve">newly </w:t>
      </w:r>
      <w:r w:rsidR="00BF52BE">
        <w:t xml:space="preserve">established </w:t>
      </w:r>
      <w:r w:rsidR="00253B92">
        <w:t>(</w:t>
      </w:r>
      <w:r w:rsidR="00BF52BE">
        <w:t xml:space="preserve">by the project in 2021) and did not yet have the capacity to </w:t>
      </w:r>
      <w:r w:rsidR="000B757A">
        <w:t>bring products to market under the collective mark</w:t>
      </w:r>
      <w:r w:rsidR="00434059">
        <w:t xml:space="preserve">. </w:t>
      </w:r>
      <w:r w:rsidR="006343E3">
        <w:t xml:space="preserve"> </w:t>
      </w:r>
      <w:r w:rsidR="000B757A" w:rsidRPr="00E12FB0">
        <w:t xml:space="preserve">Their needs in securing continuity of the project’s benefits </w:t>
      </w:r>
      <w:r w:rsidR="00282AEF" w:rsidRPr="00E12FB0">
        <w:t>are</w:t>
      </w:r>
      <w:r w:rsidR="000B757A" w:rsidRPr="00E12FB0">
        <w:t xml:space="preserve"> discussed below under Sustainability. </w:t>
      </w:r>
    </w:p>
    <w:p w14:paraId="347C7312" w14:textId="77777777" w:rsidR="004A2CAA" w:rsidRDefault="004A2CAA" w:rsidP="007E0D25"/>
    <w:p w14:paraId="1A295C9A" w14:textId="77777777" w:rsidR="00FC278B" w:rsidRPr="00A524B8" w:rsidRDefault="00FC278B" w:rsidP="007E0D25">
      <w:pPr>
        <w:pStyle w:val="BodyText"/>
        <w:spacing w:after="0"/>
      </w:pPr>
      <w:r w:rsidRPr="00A524B8">
        <w:rPr>
          <w:i/>
          <w:szCs w:val="22"/>
          <w:u w:val="single"/>
        </w:rPr>
        <w:t>The effectiveness of the project in developing, registering, and launching the collective mark.</w:t>
      </w:r>
    </w:p>
    <w:p w14:paraId="28AFEB53" w14:textId="77777777" w:rsidR="00A524B8" w:rsidRDefault="00A524B8" w:rsidP="007E0D25"/>
    <w:p w14:paraId="5F261407" w14:textId="3C506BA1" w:rsidR="005D355B" w:rsidRDefault="004A2CAA" w:rsidP="00E9009A">
      <w:pPr>
        <w:pStyle w:val="ListParagraph"/>
        <w:numPr>
          <w:ilvl w:val="0"/>
          <w:numId w:val="21"/>
        </w:numPr>
        <w:ind w:left="0" w:firstLine="0"/>
      </w:pPr>
      <w:r w:rsidRPr="00E9009A">
        <w:rPr>
          <w:b/>
          <w:bCs/>
        </w:rPr>
        <w:t xml:space="preserve">Finding </w:t>
      </w:r>
      <w:r w:rsidR="00C5390D" w:rsidRPr="00E9009A">
        <w:rPr>
          <w:b/>
          <w:bCs/>
        </w:rPr>
        <w:t>10</w:t>
      </w:r>
      <w:bookmarkStart w:id="49" w:name="_Hlk161389086"/>
      <w:r w:rsidRPr="00E9009A">
        <w:rPr>
          <w:b/>
          <w:bCs/>
        </w:rPr>
        <w:t>:</w:t>
      </w:r>
      <w:r>
        <w:t xml:space="preserve"> </w:t>
      </w:r>
      <w:r w:rsidR="00C52F90">
        <w:t xml:space="preserve"> </w:t>
      </w:r>
      <w:r w:rsidR="000B757A">
        <w:t xml:space="preserve">In all four beneficiary countries, the collective mark was developed, </w:t>
      </w:r>
      <w:proofErr w:type="gramStart"/>
      <w:r w:rsidR="000B757A">
        <w:t>registered</w:t>
      </w:r>
      <w:proofErr w:type="gramEnd"/>
      <w:r w:rsidR="000B757A">
        <w:t xml:space="preserve"> and launched</w:t>
      </w:r>
      <w:r w:rsidR="00434059">
        <w:t xml:space="preserve">. </w:t>
      </w:r>
      <w:r w:rsidR="00E9009A">
        <w:t xml:space="preserve"> </w:t>
      </w:r>
      <w:r w:rsidR="00B9684A">
        <w:t>For all</w:t>
      </w:r>
      <w:r w:rsidR="00AD12F4">
        <w:t xml:space="preserve"> these</w:t>
      </w:r>
      <w:r w:rsidR="00B9684A">
        <w:t xml:space="preserve"> collective marks,</w:t>
      </w:r>
      <w:r w:rsidR="00282AEF">
        <w:t xml:space="preserve"> logos were designed by local designers with the copyright transferred to the beneficiary associations by WIPO</w:t>
      </w:r>
      <w:r w:rsidR="00434059">
        <w:t xml:space="preserve">. </w:t>
      </w:r>
      <w:r w:rsidR="00E9009A">
        <w:t xml:space="preserve"> </w:t>
      </w:r>
      <w:r w:rsidR="00282AEF">
        <w:t>The collective marks were all registered with their respective national IP offices and public launches held</w:t>
      </w:r>
      <w:r w:rsidR="005D355B">
        <w:t xml:space="preserve"> between April 2022 to February 2024,</w:t>
      </w:r>
      <w:bookmarkEnd w:id="49"/>
      <w:r w:rsidR="005D355B">
        <w:t xml:space="preserve"> </w:t>
      </w:r>
      <w:r w:rsidR="00282AEF">
        <w:t>as reported on the public WIPO webpage</w:t>
      </w:r>
      <w:r w:rsidR="005D355B">
        <w:t xml:space="preserve"> for the project: </w:t>
      </w:r>
      <w:hyperlink r:id="rId18" w:history="1">
        <w:r w:rsidR="005D355B" w:rsidRPr="00E9009A">
          <w:rPr>
            <w:rStyle w:val="Hyperlink"/>
            <w:rFonts w:cs="Arial"/>
          </w:rPr>
          <w:t>https://www.wipo.int/collective-marks/en/</w:t>
        </w:r>
      </w:hyperlink>
      <w:r w:rsidR="005D355B">
        <w:t>)</w:t>
      </w:r>
      <w:r w:rsidR="00434059">
        <w:t xml:space="preserve">. </w:t>
      </w:r>
      <w:r w:rsidR="00E9009A">
        <w:t xml:space="preserve"> </w:t>
      </w:r>
      <w:r w:rsidR="005D355B">
        <w:t>According to interviewees, the pu</w:t>
      </w:r>
      <w:r w:rsidR="00325C76">
        <w:t xml:space="preserve">blic launches provided extra visibility to collective marks and the project, creating potential interest as described below. </w:t>
      </w:r>
    </w:p>
    <w:p w14:paraId="3B915A40" w14:textId="77777777" w:rsidR="00FC278B" w:rsidRDefault="00FC278B" w:rsidP="007E0D25">
      <w:pPr>
        <w:pStyle w:val="ListParagraph"/>
        <w:spacing w:line="240" w:lineRule="auto"/>
        <w:ind w:left="0"/>
        <w:contextualSpacing w:val="0"/>
        <w:rPr>
          <w:i/>
          <w:szCs w:val="22"/>
          <w:u w:val="single"/>
        </w:rPr>
      </w:pPr>
    </w:p>
    <w:p w14:paraId="3B5A7972" w14:textId="48AD4DE0" w:rsidR="00FC278B" w:rsidRPr="00FC278B" w:rsidRDefault="00FC278B" w:rsidP="007E0D25">
      <w:pPr>
        <w:pStyle w:val="ListParagraph"/>
        <w:spacing w:line="240" w:lineRule="auto"/>
        <w:ind w:left="0"/>
        <w:contextualSpacing w:val="0"/>
        <w:rPr>
          <w:i/>
          <w:szCs w:val="22"/>
          <w:u w:val="single"/>
        </w:rPr>
      </w:pPr>
      <w:r w:rsidRPr="00FC278B">
        <w:rPr>
          <w:i/>
          <w:szCs w:val="22"/>
          <w:u w:val="single"/>
        </w:rPr>
        <w:t xml:space="preserve">The effectiveness of the project in delivering capacity building and awareness-raising activities. </w:t>
      </w:r>
    </w:p>
    <w:p w14:paraId="0A744FC2" w14:textId="77777777" w:rsidR="00666295" w:rsidRPr="0048197D" w:rsidRDefault="00666295" w:rsidP="007E0D25">
      <w:pPr>
        <w:rPr>
          <w:b/>
        </w:rPr>
      </w:pPr>
    </w:p>
    <w:p w14:paraId="48CE94DB" w14:textId="2E064801" w:rsidR="00325C76" w:rsidRPr="00E9009A" w:rsidRDefault="00666295" w:rsidP="00E9009A">
      <w:pPr>
        <w:pStyle w:val="ListParagraph"/>
        <w:numPr>
          <w:ilvl w:val="0"/>
          <w:numId w:val="21"/>
        </w:numPr>
        <w:ind w:left="0" w:firstLine="0"/>
        <w:rPr>
          <w:bCs/>
        </w:rPr>
      </w:pPr>
      <w:r w:rsidRPr="00E9009A">
        <w:rPr>
          <w:b/>
        </w:rPr>
        <w:t>Finding 1</w:t>
      </w:r>
      <w:r w:rsidR="00C5390D" w:rsidRPr="00E9009A">
        <w:rPr>
          <w:b/>
        </w:rPr>
        <w:t>1</w:t>
      </w:r>
      <w:r w:rsidRPr="00E9009A">
        <w:rPr>
          <w:b/>
        </w:rPr>
        <w:t xml:space="preserve">: </w:t>
      </w:r>
      <w:r w:rsidR="00C52F90" w:rsidRPr="00E9009A">
        <w:rPr>
          <w:b/>
        </w:rPr>
        <w:t xml:space="preserve"> </w:t>
      </w:r>
      <w:r w:rsidR="00325C76" w:rsidRPr="00E9009A">
        <w:rPr>
          <w:bCs/>
        </w:rPr>
        <w:t xml:space="preserve">In all four beneficiary countries, </w:t>
      </w:r>
      <w:bookmarkStart w:id="50" w:name="_Hlk161389249"/>
      <w:r w:rsidR="00325C76" w:rsidRPr="00E9009A">
        <w:rPr>
          <w:bCs/>
        </w:rPr>
        <w:t xml:space="preserve">capacity building and awareness-raising activities </w:t>
      </w:r>
      <w:bookmarkEnd w:id="50"/>
      <w:r w:rsidR="00325C76" w:rsidRPr="00E9009A">
        <w:rPr>
          <w:bCs/>
        </w:rPr>
        <w:t xml:space="preserve">were carried out as part of the project implementation: </w:t>
      </w:r>
    </w:p>
    <w:p w14:paraId="7002CBCC" w14:textId="77777777" w:rsidR="0048197D" w:rsidRDefault="0048197D" w:rsidP="007E0D25">
      <w:pPr>
        <w:rPr>
          <w:bCs/>
        </w:rPr>
      </w:pPr>
    </w:p>
    <w:p w14:paraId="4B2E6018" w14:textId="6629CA4C" w:rsidR="00AB78F2" w:rsidRDefault="00325C76" w:rsidP="00CD2AFC">
      <w:pPr>
        <w:numPr>
          <w:ilvl w:val="0"/>
          <w:numId w:val="18"/>
        </w:numPr>
        <w:ind w:left="1440" w:hanging="720"/>
        <w:rPr>
          <w:bCs/>
        </w:rPr>
      </w:pPr>
      <w:r>
        <w:rPr>
          <w:b/>
        </w:rPr>
        <w:t xml:space="preserve">Capacity building: </w:t>
      </w:r>
      <w:r>
        <w:rPr>
          <w:bCs/>
        </w:rPr>
        <w:t xml:space="preserve"> The capacity building activities carried out were two-fold: </w:t>
      </w:r>
      <w:r w:rsidR="00A5124F">
        <w:rPr>
          <w:bCs/>
        </w:rPr>
        <w:t xml:space="preserve"> </w:t>
      </w:r>
      <w:r w:rsidR="006F4A97">
        <w:rPr>
          <w:bCs/>
        </w:rPr>
        <w:t>training workshops were held in all</w:t>
      </w:r>
      <w:r w:rsidR="00A5124F">
        <w:rPr>
          <w:bCs/>
        </w:rPr>
        <w:t xml:space="preserve"> four</w:t>
      </w:r>
      <w:r w:rsidR="006F4A97">
        <w:rPr>
          <w:bCs/>
        </w:rPr>
        <w:t xml:space="preserve"> countries for the members of the beneficiary associations in addition to training workshops f</w:t>
      </w:r>
      <w:r w:rsidR="00253B92">
        <w:rPr>
          <w:bCs/>
        </w:rPr>
        <w:t xml:space="preserve">or </w:t>
      </w:r>
      <w:r w:rsidR="006F4A97">
        <w:rPr>
          <w:bCs/>
        </w:rPr>
        <w:t>staff of national IP offices</w:t>
      </w:r>
      <w:r w:rsidR="00434059">
        <w:rPr>
          <w:bCs/>
        </w:rPr>
        <w:t xml:space="preserve">. </w:t>
      </w:r>
      <w:r w:rsidR="005270B5">
        <w:rPr>
          <w:bCs/>
        </w:rPr>
        <w:t xml:space="preserve"> </w:t>
      </w:r>
      <w:r w:rsidR="006F4A97">
        <w:rPr>
          <w:bCs/>
        </w:rPr>
        <w:t xml:space="preserve">According to interviewees, the workshops were very useful and informative for both members of the associations and national IP </w:t>
      </w:r>
      <w:proofErr w:type="gramStart"/>
      <w:r w:rsidR="006F4A97">
        <w:rPr>
          <w:bCs/>
        </w:rPr>
        <w:t>offices;</w:t>
      </w:r>
      <w:r w:rsidR="00A5124F">
        <w:rPr>
          <w:bCs/>
        </w:rPr>
        <w:t xml:space="preserve"> </w:t>
      </w:r>
      <w:r w:rsidR="006F4A97">
        <w:rPr>
          <w:bCs/>
        </w:rPr>
        <w:t xml:space="preserve"> for</w:t>
      </w:r>
      <w:proofErr w:type="gramEnd"/>
      <w:r w:rsidR="006F4A97">
        <w:rPr>
          <w:bCs/>
        </w:rPr>
        <w:t xml:space="preserve"> the latter WIPO reported in their Project Completion Report that an </w:t>
      </w:r>
      <w:r w:rsidR="006F4A97" w:rsidRPr="006F4A97">
        <w:rPr>
          <w:bCs/>
        </w:rPr>
        <w:t xml:space="preserve">average of 90% of participants </w:t>
      </w:r>
      <w:r w:rsidR="006F4A97">
        <w:rPr>
          <w:bCs/>
        </w:rPr>
        <w:t>rated</w:t>
      </w:r>
      <w:r w:rsidR="006F4A97" w:rsidRPr="006F4A97">
        <w:rPr>
          <w:bCs/>
        </w:rPr>
        <w:t xml:space="preserve"> the trainings </w:t>
      </w:r>
      <w:r w:rsidR="006F4A97">
        <w:rPr>
          <w:bCs/>
        </w:rPr>
        <w:t xml:space="preserve">as </w:t>
      </w:r>
      <w:r w:rsidR="006F4A97" w:rsidRPr="006F4A97">
        <w:rPr>
          <w:bCs/>
        </w:rPr>
        <w:t>useful or very useful to acquire more knowledge and skills on the development, registration and use of collective marks</w:t>
      </w:r>
      <w:r w:rsidR="00434059">
        <w:rPr>
          <w:bCs/>
        </w:rPr>
        <w:t>.</w:t>
      </w:r>
      <w:r w:rsidR="005270B5">
        <w:rPr>
          <w:bCs/>
        </w:rPr>
        <w:t xml:space="preserve"> </w:t>
      </w:r>
      <w:r w:rsidR="00434059">
        <w:rPr>
          <w:bCs/>
        </w:rPr>
        <w:t xml:space="preserve"> </w:t>
      </w:r>
      <w:r w:rsidR="006F4A97">
        <w:rPr>
          <w:bCs/>
        </w:rPr>
        <w:t xml:space="preserve">A limitation highlighted was that neither of these capacity building activities were accompanied by any documented follow-up activities or </w:t>
      </w:r>
      <w:proofErr w:type="gramStart"/>
      <w:r w:rsidR="006F4A97">
        <w:rPr>
          <w:bCs/>
        </w:rPr>
        <w:t>plans</w:t>
      </w:r>
      <w:r w:rsidR="001A183E">
        <w:rPr>
          <w:bCs/>
        </w:rPr>
        <w:t>;</w:t>
      </w:r>
      <w:r w:rsidR="00A5124F">
        <w:rPr>
          <w:bCs/>
        </w:rPr>
        <w:t xml:space="preserve"> </w:t>
      </w:r>
      <w:r w:rsidR="001A183E">
        <w:rPr>
          <w:bCs/>
        </w:rPr>
        <w:t xml:space="preserve"> </w:t>
      </w:r>
      <w:r w:rsidR="006F4A97">
        <w:rPr>
          <w:bCs/>
        </w:rPr>
        <w:t>in</w:t>
      </w:r>
      <w:proofErr w:type="gramEnd"/>
      <w:r w:rsidR="006F4A97">
        <w:rPr>
          <w:bCs/>
        </w:rPr>
        <w:t xml:space="preserve"> the case of the beneficiary associations,</w:t>
      </w:r>
      <w:r w:rsidR="001A183E">
        <w:rPr>
          <w:bCs/>
        </w:rPr>
        <w:t xml:space="preserve"> for example</w:t>
      </w:r>
      <w:r w:rsidR="00A5124F">
        <w:rPr>
          <w:bCs/>
        </w:rPr>
        <w:t>,</w:t>
      </w:r>
      <w:r w:rsidR="006F4A97">
        <w:rPr>
          <w:bCs/>
        </w:rPr>
        <w:t xml:space="preserve"> what support was further needed to bring their capacity to a sufficient level to manage a collective mark</w:t>
      </w:r>
      <w:r w:rsidR="001A183E">
        <w:rPr>
          <w:bCs/>
        </w:rPr>
        <w:t>,</w:t>
      </w:r>
      <w:r w:rsidR="006F4A97">
        <w:rPr>
          <w:bCs/>
        </w:rPr>
        <w:t xml:space="preserve"> and for national IP offices,</w:t>
      </w:r>
      <w:r w:rsidR="001A183E">
        <w:rPr>
          <w:bCs/>
        </w:rPr>
        <w:t xml:space="preserve"> </w:t>
      </w:r>
      <w:r w:rsidR="006F4A97">
        <w:rPr>
          <w:bCs/>
        </w:rPr>
        <w:t>what were their plans to further promote the use of collective marks in their respective countries</w:t>
      </w:r>
      <w:r w:rsidR="00434059">
        <w:rPr>
          <w:bCs/>
        </w:rPr>
        <w:t xml:space="preserve">. </w:t>
      </w:r>
    </w:p>
    <w:p w14:paraId="55D48677" w14:textId="77777777" w:rsidR="00AB78F2" w:rsidRDefault="00AB78F2" w:rsidP="00CD2AFC">
      <w:pPr>
        <w:ind w:left="1440" w:hanging="720"/>
        <w:rPr>
          <w:bCs/>
        </w:rPr>
      </w:pPr>
    </w:p>
    <w:p w14:paraId="13E67071" w14:textId="040C3A16" w:rsidR="00666295" w:rsidRPr="00AB78F2" w:rsidRDefault="00325C76" w:rsidP="00CD2AFC">
      <w:pPr>
        <w:numPr>
          <w:ilvl w:val="0"/>
          <w:numId w:val="18"/>
        </w:numPr>
        <w:ind w:left="1440" w:hanging="720"/>
        <w:rPr>
          <w:bCs/>
        </w:rPr>
      </w:pPr>
      <w:r w:rsidRPr="00AB78F2">
        <w:rPr>
          <w:b/>
        </w:rPr>
        <w:t xml:space="preserve">Awareness-raising: </w:t>
      </w:r>
      <w:r w:rsidR="00C52F90" w:rsidRPr="00AB78F2">
        <w:rPr>
          <w:b/>
        </w:rPr>
        <w:t xml:space="preserve"> </w:t>
      </w:r>
      <w:r w:rsidR="001A183E" w:rsidRPr="00AB78F2">
        <w:rPr>
          <w:bCs/>
        </w:rPr>
        <w:t>The main awareness-raising activities in all countries included information sessions to inform potential beneficiary associations about the benefits of collective marks and the launch events as described above</w:t>
      </w:r>
      <w:r w:rsidR="00434059">
        <w:rPr>
          <w:bCs/>
        </w:rPr>
        <w:t xml:space="preserve">. </w:t>
      </w:r>
      <w:r w:rsidR="005270B5">
        <w:rPr>
          <w:bCs/>
        </w:rPr>
        <w:t xml:space="preserve"> </w:t>
      </w:r>
      <w:r w:rsidR="001A183E" w:rsidRPr="00AB78F2">
        <w:rPr>
          <w:bCs/>
        </w:rPr>
        <w:t>In addition, promotional videos were produced for each country in addition to a global video and four short videos (1 minute each) for the project (available on the project web</w:t>
      </w:r>
      <w:r w:rsidR="00C50FA3" w:rsidRPr="00AB78F2">
        <w:rPr>
          <w:bCs/>
        </w:rPr>
        <w:t>page</w:t>
      </w:r>
      <w:r w:rsidR="001A183E" w:rsidRPr="00AB78F2">
        <w:rPr>
          <w:bCs/>
        </w:rPr>
        <w:t xml:space="preserve">:  </w:t>
      </w:r>
      <w:hyperlink r:id="rId19" w:history="1">
        <w:r w:rsidR="001A183E" w:rsidRPr="00AB78F2">
          <w:rPr>
            <w:rStyle w:val="Hyperlink"/>
            <w:rFonts w:cs="Arial"/>
          </w:rPr>
          <w:t>https://www.wipo.int/collective-marks/en/</w:t>
        </w:r>
      </w:hyperlink>
      <w:r w:rsidR="001A183E">
        <w:t>)</w:t>
      </w:r>
      <w:r w:rsidR="00434059">
        <w:t xml:space="preserve">. </w:t>
      </w:r>
      <w:r w:rsidR="005270B5">
        <w:t xml:space="preserve"> </w:t>
      </w:r>
      <w:r w:rsidR="001A183E">
        <w:t>According to interviewees, the awareness-raising has attracted additional interest in the project and collective mar</w:t>
      </w:r>
      <w:r w:rsidR="00C50FA3">
        <w:t>ks</w:t>
      </w:r>
      <w:r w:rsidR="00434059">
        <w:t xml:space="preserve">. </w:t>
      </w:r>
      <w:r w:rsidR="005270B5">
        <w:t xml:space="preserve"> </w:t>
      </w:r>
      <w:r w:rsidR="00C50FA3">
        <w:t xml:space="preserve">For example, in Bolivia, following the public events, </w:t>
      </w:r>
      <w:r w:rsidR="00C50FA3" w:rsidRPr="00A5124F">
        <w:t xml:space="preserve">several associations have expressed an interest to develop a collective mark. </w:t>
      </w:r>
    </w:p>
    <w:p w14:paraId="780896A1" w14:textId="4A09F120" w:rsidR="00CF75E5" w:rsidRPr="000308C7" w:rsidRDefault="00692329" w:rsidP="000A43D4">
      <w:pPr>
        <w:pStyle w:val="Heading2"/>
        <w:keepNext/>
        <w:spacing w:before="240" w:after="240"/>
      </w:pPr>
      <w:bookmarkStart w:id="51" w:name="_Toc336032072"/>
      <w:bookmarkStart w:id="52" w:name="_Toc18392480"/>
      <w:r>
        <w:rPr>
          <w:lang w:val="en-US"/>
        </w:rPr>
        <w:t xml:space="preserve">C. </w:t>
      </w:r>
      <w:r w:rsidR="00CF75E5" w:rsidRPr="000308C7">
        <w:t>Sustainability</w:t>
      </w:r>
      <w:bookmarkEnd w:id="51"/>
      <w:bookmarkEnd w:id="52"/>
    </w:p>
    <w:p w14:paraId="46A5719C" w14:textId="2AC70035" w:rsidR="000308C7" w:rsidRDefault="00D94668" w:rsidP="000A43D4">
      <w:pPr>
        <w:keepNext/>
        <w:rPr>
          <w:i/>
          <w:szCs w:val="22"/>
          <w:u w:val="single"/>
        </w:rPr>
      </w:pPr>
      <w:r w:rsidRPr="00D94668">
        <w:rPr>
          <w:i/>
          <w:szCs w:val="22"/>
          <w:u w:val="single"/>
        </w:rPr>
        <w:t>The likelihood of the continuation of work on the use of the registration of the collective marks of local enterprises as a cross-cutting economic development issue.</w:t>
      </w:r>
    </w:p>
    <w:p w14:paraId="63A9203C" w14:textId="77777777" w:rsidR="00340711" w:rsidRDefault="00340711" w:rsidP="000A43D4">
      <w:pPr>
        <w:keepNext/>
        <w:rPr>
          <w:szCs w:val="22"/>
        </w:rPr>
      </w:pPr>
    </w:p>
    <w:p w14:paraId="6BC32E44" w14:textId="5C5E3F12" w:rsidR="005B5523" w:rsidRPr="005B5523" w:rsidRDefault="00077463" w:rsidP="005270B5">
      <w:pPr>
        <w:pStyle w:val="ListParagraph"/>
        <w:numPr>
          <w:ilvl w:val="0"/>
          <w:numId w:val="21"/>
        </w:numPr>
        <w:ind w:left="0" w:firstLine="0"/>
      </w:pPr>
      <w:r w:rsidRPr="005270B5">
        <w:rPr>
          <w:b/>
          <w:szCs w:val="22"/>
        </w:rPr>
        <w:t xml:space="preserve">Finding </w:t>
      </w:r>
      <w:r w:rsidR="00797965" w:rsidRPr="005270B5">
        <w:rPr>
          <w:b/>
          <w:szCs w:val="22"/>
        </w:rPr>
        <w:t>1</w:t>
      </w:r>
      <w:r w:rsidR="00C5390D" w:rsidRPr="005270B5">
        <w:rPr>
          <w:b/>
          <w:szCs w:val="22"/>
        </w:rPr>
        <w:t>2</w:t>
      </w:r>
      <w:r w:rsidRPr="005270B5">
        <w:rPr>
          <w:b/>
          <w:szCs w:val="22"/>
        </w:rPr>
        <w:t xml:space="preserve">:  </w:t>
      </w:r>
      <w:r w:rsidR="00805D47" w:rsidRPr="005270B5">
        <w:rPr>
          <w:szCs w:val="22"/>
        </w:rPr>
        <w:t xml:space="preserve">As described under Effectiveness, </w:t>
      </w:r>
      <w:bookmarkStart w:id="53" w:name="_Hlk161389358"/>
      <w:r w:rsidR="00805D47" w:rsidRPr="005270B5">
        <w:rPr>
          <w:szCs w:val="22"/>
        </w:rPr>
        <w:t>the project’s o</w:t>
      </w:r>
      <w:r w:rsidR="00EE4A93" w:rsidRPr="005270B5">
        <w:rPr>
          <w:szCs w:val="22"/>
        </w:rPr>
        <w:t xml:space="preserve">utputs </w:t>
      </w:r>
      <w:r w:rsidR="00805D47" w:rsidRPr="005270B5">
        <w:rPr>
          <w:szCs w:val="22"/>
        </w:rPr>
        <w:t>were all achieved successfully</w:t>
      </w:r>
      <w:r w:rsidR="00434059" w:rsidRPr="005270B5">
        <w:rPr>
          <w:szCs w:val="22"/>
        </w:rPr>
        <w:t xml:space="preserve">. </w:t>
      </w:r>
      <w:r w:rsidR="00805D47" w:rsidRPr="005270B5">
        <w:rPr>
          <w:szCs w:val="22"/>
        </w:rPr>
        <w:t>Therefore, this increased the likelihood of the continuation of the benefits of the project</w:t>
      </w:r>
      <w:r w:rsidR="00330BB9" w:rsidRPr="005270B5">
        <w:rPr>
          <w:szCs w:val="22"/>
        </w:rPr>
        <w:t xml:space="preserve"> for the beneficiary countries.</w:t>
      </w:r>
      <w:r w:rsidR="0023544C" w:rsidRPr="005270B5">
        <w:rPr>
          <w:szCs w:val="22"/>
        </w:rPr>
        <w:t xml:space="preserve"> </w:t>
      </w:r>
      <w:r w:rsidR="005270B5">
        <w:rPr>
          <w:szCs w:val="22"/>
        </w:rPr>
        <w:t xml:space="preserve"> </w:t>
      </w:r>
      <w:r w:rsidR="00253B92" w:rsidRPr="005270B5">
        <w:rPr>
          <w:szCs w:val="22"/>
        </w:rPr>
        <w:t xml:space="preserve">The project has </w:t>
      </w:r>
      <w:r w:rsidR="00330BB9" w:rsidRPr="005270B5">
        <w:rPr>
          <w:szCs w:val="22"/>
        </w:rPr>
        <w:t>supported</w:t>
      </w:r>
      <w:r w:rsidR="00253B92" w:rsidRPr="005270B5">
        <w:rPr>
          <w:szCs w:val="22"/>
        </w:rPr>
        <w:t xml:space="preserve"> the four beneficiary</w:t>
      </w:r>
      <w:r w:rsidR="00330BB9" w:rsidRPr="005270B5">
        <w:rPr>
          <w:szCs w:val="22"/>
        </w:rPr>
        <w:t xml:space="preserve"> associations in building their capacity and</w:t>
      </w:r>
      <w:r w:rsidR="00AD12F4" w:rsidRPr="005270B5">
        <w:rPr>
          <w:szCs w:val="22"/>
        </w:rPr>
        <w:t xml:space="preserve"> </w:t>
      </w:r>
      <w:r w:rsidR="00253B92" w:rsidRPr="005270B5">
        <w:rPr>
          <w:szCs w:val="22"/>
        </w:rPr>
        <w:t xml:space="preserve">they </w:t>
      </w:r>
      <w:r w:rsidR="00AD12F4" w:rsidRPr="005270B5">
        <w:rPr>
          <w:szCs w:val="22"/>
        </w:rPr>
        <w:t>now</w:t>
      </w:r>
      <w:r w:rsidR="00330BB9" w:rsidRPr="005270B5">
        <w:rPr>
          <w:szCs w:val="22"/>
        </w:rPr>
        <w:t xml:space="preserve"> have</w:t>
      </w:r>
      <w:r w:rsidR="00AD12F4" w:rsidRPr="005270B5">
        <w:rPr>
          <w:szCs w:val="22"/>
        </w:rPr>
        <w:t xml:space="preserve"> the</w:t>
      </w:r>
      <w:r w:rsidR="00330BB9" w:rsidRPr="005270B5">
        <w:rPr>
          <w:szCs w:val="22"/>
        </w:rPr>
        <w:t xml:space="preserve"> main elements in place to benefit from the colle</w:t>
      </w:r>
      <w:r w:rsidR="00AD12F4" w:rsidRPr="005270B5">
        <w:rPr>
          <w:szCs w:val="22"/>
        </w:rPr>
        <w:t>c</w:t>
      </w:r>
      <w:r w:rsidR="00330BB9" w:rsidRPr="005270B5">
        <w:rPr>
          <w:szCs w:val="22"/>
        </w:rPr>
        <w:t>tive marks</w:t>
      </w:r>
      <w:r w:rsidR="00167964" w:rsidRPr="005270B5">
        <w:rPr>
          <w:szCs w:val="22"/>
        </w:rPr>
        <w:t>.</w:t>
      </w:r>
      <w:r w:rsidR="00EE4A93" w:rsidRPr="005270B5">
        <w:rPr>
          <w:szCs w:val="22"/>
        </w:rPr>
        <w:t xml:space="preserve"> </w:t>
      </w:r>
      <w:r w:rsidR="005270B5">
        <w:rPr>
          <w:szCs w:val="22"/>
        </w:rPr>
        <w:t xml:space="preserve"> </w:t>
      </w:r>
      <w:r w:rsidR="00AD12F4" w:rsidRPr="005270B5">
        <w:rPr>
          <w:szCs w:val="22"/>
        </w:rPr>
        <w:t>There were already examples seen where products have been brought to market under the collective mark</w:t>
      </w:r>
      <w:r w:rsidR="00EE4A93" w:rsidRPr="005270B5">
        <w:rPr>
          <w:szCs w:val="22"/>
        </w:rPr>
        <w:t>s</w:t>
      </w:r>
      <w:r w:rsidR="00AD12F4" w:rsidRPr="005270B5">
        <w:rPr>
          <w:szCs w:val="22"/>
        </w:rPr>
        <w:t xml:space="preserve"> </w:t>
      </w:r>
      <w:bookmarkEnd w:id="53"/>
      <w:r w:rsidR="00AD12F4" w:rsidRPr="005270B5">
        <w:rPr>
          <w:szCs w:val="22"/>
        </w:rPr>
        <w:t xml:space="preserve">as described above. </w:t>
      </w:r>
    </w:p>
    <w:p w14:paraId="47D9CB5F" w14:textId="77777777" w:rsidR="005B5523" w:rsidRPr="005B5523" w:rsidRDefault="005B5523" w:rsidP="007E0D25"/>
    <w:p w14:paraId="0BA7AD55" w14:textId="3D7D434B" w:rsidR="00167964" w:rsidRPr="00AD12F4" w:rsidRDefault="005B5523" w:rsidP="005270B5">
      <w:pPr>
        <w:pStyle w:val="ListParagraph"/>
        <w:numPr>
          <w:ilvl w:val="0"/>
          <w:numId w:val="21"/>
        </w:numPr>
        <w:ind w:left="0" w:firstLine="0"/>
      </w:pPr>
      <w:r w:rsidRPr="005270B5">
        <w:rPr>
          <w:b/>
          <w:szCs w:val="22"/>
        </w:rPr>
        <w:t>Finding 1</w:t>
      </w:r>
      <w:r w:rsidR="00C5390D" w:rsidRPr="005270B5">
        <w:rPr>
          <w:b/>
          <w:szCs w:val="22"/>
        </w:rPr>
        <w:t>3</w:t>
      </w:r>
      <w:r w:rsidRPr="005270B5">
        <w:rPr>
          <w:b/>
          <w:szCs w:val="22"/>
        </w:rPr>
        <w:t xml:space="preserve">: </w:t>
      </w:r>
      <w:r w:rsidRPr="005270B5">
        <w:rPr>
          <w:szCs w:val="22"/>
        </w:rPr>
        <w:t xml:space="preserve"> I</w:t>
      </w:r>
      <w:r w:rsidR="00AD12F4" w:rsidRPr="005270B5">
        <w:rPr>
          <w:szCs w:val="22"/>
        </w:rPr>
        <w:t>nterviewees provided evidence of the collective mark</w:t>
      </w:r>
      <w:r w:rsidRPr="005270B5">
        <w:rPr>
          <w:szCs w:val="22"/>
        </w:rPr>
        <w:t>s</w:t>
      </w:r>
      <w:r w:rsidR="00AD12F4" w:rsidRPr="005270B5">
        <w:rPr>
          <w:szCs w:val="22"/>
        </w:rPr>
        <w:t xml:space="preserve"> contributing to economic development of the local enterprises</w:t>
      </w:r>
      <w:r w:rsidR="00434059" w:rsidRPr="005270B5">
        <w:rPr>
          <w:szCs w:val="22"/>
        </w:rPr>
        <w:t xml:space="preserve">. </w:t>
      </w:r>
      <w:r w:rsidR="005270B5">
        <w:rPr>
          <w:szCs w:val="22"/>
        </w:rPr>
        <w:t xml:space="preserve"> </w:t>
      </w:r>
      <w:r w:rsidR="002217A1" w:rsidRPr="005270B5">
        <w:rPr>
          <w:szCs w:val="22"/>
        </w:rPr>
        <w:t>For example,</w:t>
      </w:r>
      <w:r w:rsidR="00AD12F4" w:rsidRPr="005270B5">
        <w:rPr>
          <w:szCs w:val="22"/>
        </w:rPr>
        <w:t xml:space="preserve"> in Bolivia, the </w:t>
      </w:r>
      <w:r w:rsidR="002217A1" w:rsidRPr="005270B5">
        <w:rPr>
          <w:szCs w:val="22"/>
        </w:rPr>
        <w:t xml:space="preserve">beneficiary </w:t>
      </w:r>
      <w:r w:rsidR="00AD12F4" w:rsidRPr="005270B5">
        <w:rPr>
          <w:szCs w:val="22"/>
        </w:rPr>
        <w:t>association had</w:t>
      </w:r>
      <w:r w:rsidR="002217A1" w:rsidRPr="005270B5">
        <w:rPr>
          <w:szCs w:val="22"/>
        </w:rPr>
        <w:t xml:space="preserve"> reached an agreement with the </w:t>
      </w:r>
      <w:proofErr w:type="spellStart"/>
      <w:r w:rsidR="00AD12F4" w:rsidRPr="005270B5">
        <w:rPr>
          <w:i/>
          <w:iCs/>
          <w:szCs w:val="22"/>
        </w:rPr>
        <w:t>Empresa</w:t>
      </w:r>
      <w:proofErr w:type="spellEnd"/>
      <w:r w:rsidR="00AD12F4" w:rsidRPr="005270B5">
        <w:rPr>
          <w:i/>
          <w:iCs/>
          <w:szCs w:val="22"/>
        </w:rPr>
        <w:t xml:space="preserve"> </w:t>
      </w:r>
      <w:proofErr w:type="spellStart"/>
      <w:r w:rsidR="00AD12F4" w:rsidRPr="005270B5">
        <w:rPr>
          <w:i/>
          <w:iCs/>
          <w:szCs w:val="22"/>
        </w:rPr>
        <w:t>Boliviana</w:t>
      </w:r>
      <w:proofErr w:type="spellEnd"/>
      <w:r w:rsidR="00AD12F4" w:rsidRPr="005270B5">
        <w:rPr>
          <w:i/>
          <w:iCs/>
          <w:szCs w:val="22"/>
        </w:rPr>
        <w:t xml:space="preserve"> de Alimentos</w:t>
      </w:r>
      <w:r w:rsidR="0023544C" w:rsidRPr="005270B5">
        <w:rPr>
          <w:i/>
          <w:iCs/>
          <w:szCs w:val="22"/>
        </w:rPr>
        <w:t> (EBA)</w:t>
      </w:r>
      <w:r w:rsidR="002217A1" w:rsidRPr="005270B5">
        <w:rPr>
          <w:i/>
          <w:iCs/>
          <w:szCs w:val="22"/>
        </w:rPr>
        <w:t xml:space="preserve">, </w:t>
      </w:r>
      <w:r w:rsidR="002217A1" w:rsidRPr="005270B5">
        <w:rPr>
          <w:szCs w:val="22"/>
        </w:rPr>
        <w:t>a state company that</w:t>
      </w:r>
      <w:r w:rsidR="003F0B90" w:rsidRPr="005270B5">
        <w:rPr>
          <w:szCs w:val="22"/>
        </w:rPr>
        <w:t xml:space="preserve"> ensures product quality control and</w:t>
      </w:r>
      <w:r w:rsidR="002217A1" w:rsidRPr="005270B5">
        <w:rPr>
          <w:szCs w:val="22"/>
        </w:rPr>
        <w:t xml:space="preserve"> distributes and exports food products</w:t>
      </w:r>
      <w:r w:rsidR="00434059" w:rsidRPr="005270B5">
        <w:rPr>
          <w:szCs w:val="22"/>
        </w:rPr>
        <w:t xml:space="preserve">. </w:t>
      </w:r>
      <w:r w:rsidR="005270B5">
        <w:rPr>
          <w:szCs w:val="22"/>
        </w:rPr>
        <w:t xml:space="preserve"> </w:t>
      </w:r>
      <w:r w:rsidRPr="005270B5">
        <w:rPr>
          <w:szCs w:val="22"/>
        </w:rPr>
        <w:t>I</w:t>
      </w:r>
      <w:r w:rsidR="002217A1" w:rsidRPr="005270B5">
        <w:rPr>
          <w:szCs w:val="22"/>
        </w:rPr>
        <w:t>n Brazil</w:t>
      </w:r>
      <w:r w:rsidR="0023544C" w:rsidRPr="005270B5">
        <w:rPr>
          <w:szCs w:val="22"/>
        </w:rPr>
        <w:t>,</w:t>
      </w:r>
      <w:r w:rsidR="002217A1" w:rsidRPr="005270B5">
        <w:rPr>
          <w:szCs w:val="22"/>
        </w:rPr>
        <w:t xml:space="preserve"> the beneficiary association </w:t>
      </w:r>
      <w:r w:rsidR="00E77749" w:rsidRPr="005270B5">
        <w:rPr>
          <w:szCs w:val="22"/>
        </w:rPr>
        <w:t xml:space="preserve">had reportedly secured additional government funding for the </w:t>
      </w:r>
      <w:r w:rsidR="00253B92" w:rsidRPr="005270B5">
        <w:rPr>
          <w:szCs w:val="22"/>
        </w:rPr>
        <w:t xml:space="preserve">local </w:t>
      </w:r>
      <w:r w:rsidR="00E77749" w:rsidRPr="005270B5">
        <w:rPr>
          <w:szCs w:val="22"/>
        </w:rPr>
        <w:t>enterprises</w:t>
      </w:r>
      <w:r w:rsidR="00253B92" w:rsidRPr="005270B5">
        <w:rPr>
          <w:szCs w:val="22"/>
        </w:rPr>
        <w:t xml:space="preserve"> of the association</w:t>
      </w:r>
      <w:r w:rsidR="00434059" w:rsidRPr="005270B5">
        <w:rPr>
          <w:szCs w:val="22"/>
        </w:rPr>
        <w:t xml:space="preserve">. </w:t>
      </w:r>
      <w:r w:rsidR="005270B5">
        <w:rPr>
          <w:szCs w:val="22"/>
        </w:rPr>
        <w:t xml:space="preserve"> </w:t>
      </w:r>
      <w:r w:rsidRPr="005270B5">
        <w:rPr>
          <w:szCs w:val="22"/>
        </w:rPr>
        <w:t>In the Philippines, new opportunities were being explored by the beneficiary association with the trade fairs of the Department of Trade and Industry</w:t>
      </w:r>
      <w:r w:rsidR="00253B92" w:rsidRPr="005270B5">
        <w:rPr>
          <w:szCs w:val="22"/>
        </w:rPr>
        <w:t xml:space="preserve"> to display and market their products</w:t>
      </w:r>
      <w:r w:rsidRPr="005270B5">
        <w:rPr>
          <w:szCs w:val="22"/>
        </w:rPr>
        <w:t>.</w:t>
      </w:r>
      <w:r w:rsidR="00A220CB" w:rsidRPr="005270B5">
        <w:rPr>
          <w:szCs w:val="22"/>
        </w:rPr>
        <w:t xml:space="preserve"> </w:t>
      </w:r>
      <w:r w:rsidR="005270B5">
        <w:rPr>
          <w:szCs w:val="22"/>
        </w:rPr>
        <w:t xml:space="preserve"> </w:t>
      </w:r>
      <w:r w:rsidR="00A220CB" w:rsidRPr="005270B5">
        <w:rPr>
          <w:szCs w:val="22"/>
        </w:rPr>
        <w:t>In Tunisia, the local enterprises were exploring possibilities to establish and/or access commercial outlets to market their products</w:t>
      </w:r>
      <w:r w:rsidR="00434059" w:rsidRPr="005270B5">
        <w:rPr>
          <w:szCs w:val="22"/>
        </w:rPr>
        <w:t xml:space="preserve">. </w:t>
      </w:r>
      <w:r w:rsidR="002217A1" w:rsidRPr="005270B5">
        <w:rPr>
          <w:szCs w:val="22"/>
        </w:rPr>
        <w:t xml:space="preserve"> </w:t>
      </w:r>
      <w:r w:rsidR="002217A1" w:rsidRPr="005270B5">
        <w:rPr>
          <w:i/>
          <w:iCs/>
          <w:szCs w:val="22"/>
        </w:rPr>
        <w:t xml:space="preserve"> </w:t>
      </w:r>
    </w:p>
    <w:p w14:paraId="39C2BFF0" w14:textId="77777777" w:rsidR="00AD12F4" w:rsidRPr="00167964" w:rsidRDefault="00AD12F4" w:rsidP="007E0D25"/>
    <w:p w14:paraId="46836079" w14:textId="6AF79F72" w:rsidR="00ED3B50" w:rsidRPr="005270B5" w:rsidRDefault="00355D01" w:rsidP="005270B5">
      <w:pPr>
        <w:pStyle w:val="ListParagraph"/>
        <w:numPr>
          <w:ilvl w:val="0"/>
          <w:numId w:val="21"/>
        </w:numPr>
        <w:ind w:left="0" w:firstLine="0"/>
        <w:rPr>
          <w:szCs w:val="22"/>
        </w:rPr>
      </w:pPr>
      <w:r w:rsidRPr="005270B5">
        <w:rPr>
          <w:b/>
          <w:szCs w:val="22"/>
        </w:rPr>
        <w:t xml:space="preserve">Finding </w:t>
      </w:r>
      <w:r w:rsidR="00ED3B50" w:rsidRPr="005270B5">
        <w:rPr>
          <w:b/>
          <w:szCs w:val="22"/>
        </w:rPr>
        <w:t>1</w:t>
      </w:r>
      <w:r w:rsidR="00015A62" w:rsidRPr="005270B5">
        <w:rPr>
          <w:b/>
          <w:szCs w:val="22"/>
        </w:rPr>
        <w:t>4</w:t>
      </w:r>
      <w:r w:rsidR="008A55D9" w:rsidRPr="005270B5">
        <w:rPr>
          <w:b/>
          <w:szCs w:val="22"/>
        </w:rPr>
        <w:t>:</w:t>
      </w:r>
      <w:r w:rsidR="00E620DE" w:rsidRPr="005270B5">
        <w:rPr>
          <w:b/>
          <w:szCs w:val="22"/>
        </w:rPr>
        <w:t xml:space="preserve"> </w:t>
      </w:r>
      <w:r w:rsidR="00077463" w:rsidRPr="005270B5">
        <w:rPr>
          <w:szCs w:val="22"/>
        </w:rPr>
        <w:t xml:space="preserve"> </w:t>
      </w:r>
      <w:bookmarkStart w:id="54" w:name="_Hlk161390030"/>
      <w:r w:rsidR="005B5523" w:rsidRPr="005270B5">
        <w:rPr>
          <w:szCs w:val="22"/>
        </w:rPr>
        <w:t>Sustainability was supported by the involvement of economic development actors within the project</w:t>
      </w:r>
      <w:bookmarkEnd w:id="54"/>
      <w:r w:rsidR="005B5523" w:rsidRPr="005270B5">
        <w:rPr>
          <w:szCs w:val="22"/>
        </w:rPr>
        <w:t>;</w:t>
      </w:r>
      <w:r w:rsidR="00E311CC" w:rsidRPr="005270B5">
        <w:rPr>
          <w:szCs w:val="22"/>
        </w:rPr>
        <w:t xml:space="preserve"> s</w:t>
      </w:r>
      <w:r w:rsidR="0023544C" w:rsidRPr="005270B5">
        <w:rPr>
          <w:szCs w:val="22"/>
        </w:rPr>
        <w:t xml:space="preserve">uch actors could indeed play an important role in </w:t>
      </w:r>
      <w:r w:rsidR="002B70CC" w:rsidRPr="005270B5">
        <w:rPr>
          <w:szCs w:val="22"/>
        </w:rPr>
        <w:t xml:space="preserve">providing the </w:t>
      </w:r>
      <w:r w:rsidR="00E311CC" w:rsidRPr="005270B5">
        <w:rPr>
          <w:szCs w:val="22"/>
        </w:rPr>
        <w:t>much-needed</w:t>
      </w:r>
      <w:r w:rsidR="002B70CC" w:rsidRPr="005270B5">
        <w:rPr>
          <w:szCs w:val="22"/>
        </w:rPr>
        <w:t xml:space="preserve"> support to</w:t>
      </w:r>
      <w:r w:rsidR="0023544C" w:rsidRPr="005270B5">
        <w:rPr>
          <w:szCs w:val="22"/>
        </w:rPr>
        <w:t xml:space="preserve"> </w:t>
      </w:r>
      <w:r w:rsidR="00E311CC" w:rsidRPr="005270B5">
        <w:rPr>
          <w:szCs w:val="22"/>
        </w:rPr>
        <w:t>small and medium enterprises</w:t>
      </w:r>
      <w:r w:rsidR="0030500C">
        <w:rPr>
          <w:szCs w:val="22"/>
        </w:rPr>
        <w:t> </w:t>
      </w:r>
      <w:r w:rsidR="00E311CC" w:rsidRPr="005270B5">
        <w:rPr>
          <w:szCs w:val="22"/>
        </w:rPr>
        <w:t>(</w:t>
      </w:r>
      <w:r w:rsidR="0023544C" w:rsidRPr="005270B5">
        <w:rPr>
          <w:szCs w:val="22"/>
        </w:rPr>
        <w:t>SMEs</w:t>
      </w:r>
      <w:r w:rsidR="00E311CC" w:rsidRPr="005270B5">
        <w:rPr>
          <w:szCs w:val="22"/>
        </w:rPr>
        <w:t>)</w:t>
      </w:r>
      <w:r w:rsidR="0023544C" w:rsidRPr="005270B5">
        <w:rPr>
          <w:szCs w:val="22"/>
        </w:rPr>
        <w:t xml:space="preserve"> and associations in the beneficiary countries</w:t>
      </w:r>
      <w:r w:rsidR="00E311CC" w:rsidRPr="005270B5">
        <w:rPr>
          <w:szCs w:val="22"/>
        </w:rPr>
        <w:t>.</w:t>
      </w:r>
    </w:p>
    <w:p w14:paraId="1420A469" w14:textId="77777777" w:rsidR="002535B5" w:rsidRPr="007E0D25" w:rsidRDefault="002535B5" w:rsidP="007E0D25">
      <w:pPr>
        <w:rPr>
          <w:szCs w:val="22"/>
        </w:rPr>
      </w:pPr>
    </w:p>
    <w:p w14:paraId="3734AD86" w14:textId="5EDFCC08" w:rsidR="00C15C2F" w:rsidRPr="005270B5" w:rsidRDefault="002535B5" w:rsidP="005270B5">
      <w:pPr>
        <w:pStyle w:val="ListParagraph"/>
        <w:numPr>
          <w:ilvl w:val="0"/>
          <w:numId w:val="21"/>
        </w:numPr>
        <w:ind w:left="0" w:firstLine="0"/>
        <w:rPr>
          <w:szCs w:val="22"/>
        </w:rPr>
      </w:pPr>
      <w:r w:rsidRPr="005270B5">
        <w:rPr>
          <w:b/>
          <w:bCs/>
          <w:szCs w:val="22"/>
        </w:rPr>
        <w:t>Finding 1</w:t>
      </w:r>
      <w:r w:rsidR="00015A62" w:rsidRPr="005270B5">
        <w:rPr>
          <w:b/>
          <w:bCs/>
          <w:szCs w:val="22"/>
        </w:rPr>
        <w:t>5</w:t>
      </w:r>
      <w:r w:rsidRPr="005270B5">
        <w:rPr>
          <w:b/>
          <w:bCs/>
          <w:szCs w:val="22"/>
        </w:rPr>
        <w:t>:</w:t>
      </w:r>
      <w:r w:rsidRPr="005270B5">
        <w:rPr>
          <w:szCs w:val="22"/>
        </w:rPr>
        <w:t xml:space="preserve"> </w:t>
      </w:r>
      <w:r w:rsidR="00C52F90" w:rsidRPr="005270B5">
        <w:rPr>
          <w:szCs w:val="22"/>
        </w:rPr>
        <w:t xml:space="preserve"> </w:t>
      </w:r>
      <w:r w:rsidR="00C15C2F" w:rsidRPr="005270B5">
        <w:rPr>
          <w:szCs w:val="22"/>
        </w:rPr>
        <w:t>Sustainability was also impacted by the nature of the collective marks</w:t>
      </w:r>
      <w:r w:rsidR="009111DD" w:rsidRPr="005270B5">
        <w:rPr>
          <w:szCs w:val="22"/>
        </w:rPr>
        <w:t xml:space="preserve">, considering </w:t>
      </w:r>
      <w:r w:rsidR="00C15C2F" w:rsidRPr="005270B5">
        <w:rPr>
          <w:szCs w:val="22"/>
        </w:rPr>
        <w:t xml:space="preserve">that </w:t>
      </w:r>
      <w:r w:rsidR="009111DD" w:rsidRPr="005270B5">
        <w:rPr>
          <w:szCs w:val="22"/>
        </w:rPr>
        <w:t xml:space="preserve">they </w:t>
      </w:r>
      <w:r w:rsidR="0093688D" w:rsidRPr="005270B5">
        <w:rPr>
          <w:szCs w:val="22"/>
        </w:rPr>
        <w:t xml:space="preserve">are </w:t>
      </w:r>
      <w:r w:rsidR="00C15C2F" w:rsidRPr="005270B5">
        <w:rPr>
          <w:szCs w:val="22"/>
        </w:rPr>
        <w:t>required to be managed by an association.</w:t>
      </w:r>
      <w:r w:rsidR="00E311CC" w:rsidRPr="005270B5">
        <w:rPr>
          <w:szCs w:val="22"/>
        </w:rPr>
        <w:t xml:space="preserve"> </w:t>
      </w:r>
      <w:r w:rsidR="005270B5">
        <w:rPr>
          <w:szCs w:val="22"/>
        </w:rPr>
        <w:t xml:space="preserve"> </w:t>
      </w:r>
      <w:r w:rsidR="00C15C2F" w:rsidRPr="005270B5">
        <w:rPr>
          <w:szCs w:val="22"/>
        </w:rPr>
        <w:t xml:space="preserve">Interviewees reported that it was not always easy for small enterprises to work in a collective manner; this was facilitated where an association had existed </w:t>
      </w:r>
      <w:r w:rsidR="00A220CB" w:rsidRPr="005270B5">
        <w:rPr>
          <w:szCs w:val="22"/>
        </w:rPr>
        <w:t>for</w:t>
      </w:r>
      <w:r w:rsidR="00C15C2F" w:rsidRPr="005270B5">
        <w:rPr>
          <w:szCs w:val="22"/>
        </w:rPr>
        <w:t xml:space="preserve"> many years.</w:t>
      </w:r>
      <w:r w:rsidR="00943809" w:rsidRPr="005270B5">
        <w:rPr>
          <w:szCs w:val="22"/>
        </w:rPr>
        <w:t xml:space="preserve"> </w:t>
      </w:r>
      <w:r w:rsidR="005270B5">
        <w:rPr>
          <w:szCs w:val="22"/>
        </w:rPr>
        <w:t xml:space="preserve"> </w:t>
      </w:r>
      <w:r w:rsidR="00C15C2F" w:rsidRPr="005270B5">
        <w:rPr>
          <w:szCs w:val="22"/>
        </w:rPr>
        <w:t xml:space="preserve">In </w:t>
      </w:r>
      <w:r w:rsidR="00A220CB" w:rsidRPr="005270B5">
        <w:rPr>
          <w:szCs w:val="22"/>
        </w:rPr>
        <w:t xml:space="preserve">some </w:t>
      </w:r>
      <w:r w:rsidR="00C15C2F" w:rsidRPr="005270B5">
        <w:rPr>
          <w:szCs w:val="22"/>
        </w:rPr>
        <w:t>beneficiary countries,</w:t>
      </w:r>
      <w:r w:rsidR="00A220CB" w:rsidRPr="005270B5">
        <w:rPr>
          <w:szCs w:val="22"/>
        </w:rPr>
        <w:t xml:space="preserve"> where</w:t>
      </w:r>
      <w:r w:rsidR="00C15C2F" w:rsidRPr="005270B5">
        <w:rPr>
          <w:szCs w:val="22"/>
        </w:rPr>
        <w:t xml:space="preserve"> </w:t>
      </w:r>
      <w:r w:rsidR="00A220CB" w:rsidRPr="005270B5">
        <w:rPr>
          <w:szCs w:val="22"/>
        </w:rPr>
        <w:t>t</w:t>
      </w:r>
      <w:r w:rsidR="00C15C2F" w:rsidRPr="005270B5">
        <w:rPr>
          <w:szCs w:val="22"/>
        </w:rPr>
        <w:t>he association had to be established</w:t>
      </w:r>
      <w:r w:rsidR="00A220CB" w:rsidRPr="005270B5">
        <w:rPr>
          <w:szCs w:val="22"/>
        </w:rPr>
        <w:t xml:space="preserve"> and/or reinforced</w:t>
      </w:r>
      <w:r w:rsidR="00C15C2F" w:rsidRPr="005270B5">
        <w:rPr>
          <w:szCs w:val="22"/>
        </w:rPr>
        <w:t xml:space="preserve"> by the project</w:t>
      </w:r>
      <w:r w:rsidR="00A220CB" w:rsidRPr="005270B5">
        <w:rPr>
          <w:szCs w:val="22"/>
        </w:rPr>
        <w:t xml:space="preserve">, </w:t>
      </w:r>
      <w:r w:rsidR="00C15C2F" w:rsidRPr="005270B5">
        <w:rPr>
          <w:szCs w:val="22"/>
        </w:rPr>
        <w:t>there were challenges</w:t>
      </w:r>
      <w:r w:rsidR="00A220CB" w:rsidRPr="005270B5">
        <w:rPr>
          <w:szCs w:val="22"/>
        </w:rPr>
        <w:t xml:space="preserve"> reported</w:t>
      </w:r>
      <w:r w:rsidR="00C15C2F" w:rsidRPr="005270B5">
        <w:rPr>
          <w:szCs w:val="22"/>
        </w:rPr>
        <w:t xml:space="preserve"> in encouraging entrepreneurs to work together for a common good. </w:t>
      </w:r>
    </w:p>
    <w:p w14:paraId="7AF1BF20" w14:textId="77777777" w:rsidR="00C15C2F" w:rsidRPr="007E0D25" w:rsidRDefault="00C15C2F" w:rsidP="007E0D25">
      <w:pPr>
        <w:rPr>
          <w:szCs w:val="22"/>
        </w:rPr>
      </w:pPr>
    </w:p>
    <w:p w14:paraId="2C60AEDA" w14:textId="1B27815A" w:rsidR="002535B5" w:rsidRPr="005270B5" w:rsidRDefault="00C15C2F" w:rsidP="005270B5">
      <w:pPr>
        <w:pStyle w:val="ListParagraph"/>
        <w:numPr>
          <w:ilvl w:val="0"/>
          <w:numId w:val="21"/>
        </w:numPr>
        <w:ind w:left="0" w:firstLine="0"/>
        <w:rPr>
          <w:szCs w:val="22"/>
        </w:rPr>
      </w:pPr>
      <w:r w:rsidRPr="005270B5">
        <w:rPr>
          <w:b/>
          <w:bCs/>
          <w:szCs w:val="22"/>
        </w:rPr>
        <w:t>Finding 1</w:t>
      </w:r>
      <w:r w:rsidR="00015A62" w:rsidRPr="005270B5">
        <w:rPr>
          <w:b/>
          <w:bCs/>
          <w:szCs w:val="22"/>
        </w:rPr>
        <w:t>6</w:t>
      </w:r>
      <w:r w:rsidRPr="005270B5">
        <w:rPr>
          <w:b/>
          <w:bCs/>
          <w:szCs w:val="22"/>
        </w:rPr>
        <w:t>:</w:t>
      </w:r>
      <w:r w:rsidRPr="005270B5">
        <w:rPr>
          <w:szCs w:val="22"/>
        </w:rPr>
        <w:t xml:space="preserve"> </w:t>
      </w:r>
      <w:r w:rsidR="00C52F90" w:rsidRPr="005270B5">
        <w:rPr>
          <w:szCs w:val="22"/>
        </w:rPr>
        <w:t xml:space="preserve"> </w:t>
      </w:r>
      <w:r w:rsidRPr="005270B5">
        <w:rPr>
          <w:szCs w:val="22"/>
        </w:rPr>
        <w:t>The maturity of the beneficiary association</w:t>
      </w:r>
      <w:r w:rsidR="0093688D" w:rsidRPr="005270B5">
        <w:rPr>
          <w:szCs w:val="22"/>
        </w:rPr>
        <w:t xml:space="preserve"> </w:t>
      </w:r>
      <w:r w:rsidRPr="005270B5">
        <w:rPr>
          <w:szCs w:val="22"/>
        </w:rPr>
        <w:t>influenced their ability to manage the collective mark</w:t>
      </w:r>
      <w:r w:rsidR="0093688D" w:rsidRPr="005270B5">
        <w:rPr>
          <w:szCs w:val="22"/>
        </w:rPr>
        <w:t xml:space="preserve"> and the likelihood of its ongoing benefits</w:t>
      </w:r>
      <w:r w:rsidR="00434059" w:rsidRPr="005270B5">
        <w:rPr>
          <w:szCs w:val="22"/>
        </w:rPr>
        <w:t xml:space="preserve">. </w:t>
      </w:r>
      <w:r w:rsidR="005270B5">
        <w:rPr>
          <w:szCs w:val="22"/>
        </w:rPr>
        <w:t xml:space="preserve"> </w:t>
      </w:r>
      <w:r w:rsidR="0093688D" w:rsidRPr="005270B5">
        <w:rPr>
          <w:szCs w:val="22"/>
        </w:rPr>
        <w:t xml:space="preserve">The management of a collective mark required internal </w:t>
      </w:r>
      <w:r w:rsidR="00E9009A" w:rsidRPr="005270B5">
        <w:rPr>
          <w:szCs w:val="22"/>
        </w:rPr>
        <w:t>organization</w:t>
      </w:r>
      <w:r w:rsidR="0093688D" w:rsidRPr="005270B5">
        <w:rPr>
          <w:szCs w:val="22"/>
        </w:rPr>
        <w:t xml:space="preserve"> of the association that was not yet fully in place in all four beneficiary associations.</w:t>
      </w:r>
      <w:r w:rsidR="005270B5">
        <w:rPr>
          <w:szCs w:val="22"/>
        </w:rPr>
        <w:t xml:space="preserve"> </w:t>
      </w:r>
      <w:r w:rsidR="0093688D" w:rsidRPr="005270B5">
        <w:rPr>
          <w:szCs w:val="22"/>
        </w:rPr>
        <w:t xml:space="preserve"> </w:t>
      </w:r>
      <w:r w:rsidR="009111DD" w:rsidRPr="005270B5">
        <w:rPr>
          <w:szCs w:val="22"/>
        </w:rPr>
        <w:t>For the management of the collective marks, all beneficiary associations</w:t>
      </w:r>
      <w:r w:rsidR="00B9572B" w:rsidRPr="005270B5">
        <w:rPr>
          <w:szCs w:val="22"/>
        </w:rPr>
        <w:t xml:space="preserve"> were</w:t>
      </w:r>
      <w:r w:rsidR="009111DD" w:rsidRPr="005270B5">
        <w:rPr>
          <w:szCs w:val="22"/>
        </w:rPr>
        <w:t xml:space="preserve"> reported </w:t>
      </w:r>
      <w:r w:rsidR="00B9572B" w:rsidRPr="005270B5">
        <w:rPr>
          <w:szCs w:val="22"/>
        </w:rPr>
        <w:t xml:space="preserve">as </w:t>
      </w:r>
      <w:r w:rsidR="009111DD" w:rsidRPr="005270B5">
        <w:rPr>
          <w:szCs w:val="22"/>
        </w:rPr>
        <w:t xml:space="preserve">still needing to take additional steps, such as developing product specifications and/or putting in place compliance measures for food or other regulatory rules; this was necessary to be able to market a full range of products under the collective marks, according to interviewees. </w:t>
      </w:r>
    </w:p>
    <w:p w14:paraId="3918CEFC" w14:textId="77777777" w:rsidR="00ED3B50" w:rsidRDefault="00ED3B50" w:rsidP="007E0D25">
      <w:pPr>
        <w:rPr>
          <w:szCs w:val="22"/>
        </w:rPr>
      </w:pPr>
    </w:p>
    <w:p w14:paraId="779B3FB4" w14:textId="7E5349AF" w:rsidR="00FB5966" w:rsidRPr="005270B5" w:rsidRDefault="00355D01" w:rsidP="005270B5">
      <w:pPr>
        <w:pStyle w:val="ListParagraph"/>
        <w:numPr>
          <w:ilvl w:val="0"/>
          <w:numId w:val="21"/>
        </w:numPr>
        <w:ind w:left="0" w:firstLine="0"/>
        <w:rPr>
          <w:szCs w:val="22"/>
        </w:rPr>
      </w:pPr>
      <w:r w:rsidRPr="005270B5">
        <w:rPr>
          <w:b/>
          <w:szCs w:val="22"/>
        </w:rPr>
        <w:t xml:space="preserve">Finding </w:t>
      </w:r>
      <w:r w:rsidR="006963F2" w:rsidRPr="005270B5">
        <w:rPr>
          <w:b/>
          <w:szCs w:val="22"/>
        </w:rPr>
        <w:t>1</w:t>
      </w:r>
      <w:r w:rsidR="00015A62" w:rsidRPr="005270B5">
        <w:rPr>
          <w:b/>
          <w:szCs w:val="22"/>
        </w:rPr>
        <w:t>7</w:t>
      </w:r>
      <w:r w:rsidR="00F15C94" w:rsidRPr="005270B5">
        <w:rPr>
          <w:b/>
          <w:szCs w:val="22"/>
        </w:rPr>
        <w:t>:</w:t>
      </w:r>
      <w:r w:rsidR="00E620DE" w:rsidRPr="005270B5">
        <w:rPr>
          <w:b/>
          <w:szCs w:val="22"/>
        </w:rPr>
        <w:t xml:space="preserve"> </w:t>
      </w:r>
      <w:r w:rsidR="000A13FC" w:rsidRPr="005270B5">
        <w:rPr>
          <w:szCs w:val="22"/>
        </w:rPr>
        <w:t xml:space="preserve"> </w:t>
      </w:r>
      <w:r w:rsidR="00FE294F" w:rsidRPr="005270B5">
        <w:rPr>
          <w:szCs w:val="22"/>
        </w:rPr>
        <w:t>The project lacked an exit and/or handover strategy to increase the likelihood of its ongoing benefits</w:t>
      </w:r>
      <w:r w:rsidR="00434059" w:rsidRPr="005270B5">
        <w:rPr>
          <w:szCs w:val="22"/>
        </w:rPr>
        <w:t xml:space="preserve">. </w:t>
      </w:r>
      <w:r w:rsidR="005270B5">
        <w:rPr>
          <w:szCs w:val="22"/>
        </w:rPr>
        <w:t xml:space="preserve"> </w:t>
      </w:r>
      <w:r w:rsidR="00FE294F" w:rsidRPr="005270B5">
        <w:rPr>
          <w:szCs w:val="22"/>
        </w:rPr>
        <w:t>In both Brazil and Tunisia, the feedback from stakeholders was that they felt the</w:t>
      </w:r>
      <w:r w:rsidR="00B9572B" w:rsidRPr="005270B5">
        <w:rPr>
          <w:szCs w:val="22"/>
        </w:rPr>
        <w:t xml:space="preserve"> beneficiary associations </w:t>
      </w:r>
      <w:r w:rsidR="00FE294F" w:rsidRPr="005270B5">
        <w:rPr>
          <w:szCs w:val="22"/>
        </w:rPr>
        <w:t xml:space="preserve">required follow-up and support, and </w:t>
      </w:r>
      <w:r w:rsidR="00FB5966" w:rsidRPr="005270B5">
        <w:rPr>
          <w:szCs w:val="22"/>
        </w:rPr>
        <w:t>consequently</w:t>
      </w:r>
      <w:r w:rsidR="00FE294F" w:rsidRPr="005270B5">
        <w:rPr>
          <w:szCs w:val="22"/>
        </w:rPr>
        <w:t xml:space="preserve"> the project’s achievements were at risk of being reduced</w:t>
      </w:r>
      <w:r w:rsidR="00434059" w:rsidRPr="005270B5">
        <w:rPr>
          <w:szCs w:val="22"/>
        </w:rPr>
        <w:t xml:space="preserve">. </w:t>
      </w:r>
      <w:r w:rsidR="005270B5">
        <w:rPr>
          <w:szCs w:val="22"/>
        </w:rPr>
        <w:t xml:space="preserve"> </w:t>
      </w:r>
      <w:r w:rsidR="00FE294F" w:rsidRPr="005270B5">
        <w:rPr>
          <w:szCs w:val="22"/>
        </w:rPr>
        <w:t xml:space="preserve">The Philippines benefited from the follow-up of </w:t>
      </w:r>
      <w:r w:rsidR="00B9572B" w:rsidRPr="005270B5">
        <w:rPr>
          <w:szCs w:val="22"/>
        </w:rPr>
        <w:t xml:space="preserve">a </w:t>
      </w:r>
      <w:r w:rsidR="00FB5966" w:rsidRPr="005270B5">
        <w:rPr>
          <w:szCs w:val="22"/>
        </w:rPr>
        <w:t>staff member of t</w:t>
      </w:r>
      <w:r w:rsidR="00FE294F" w:rsidRPr="005270B5">
        <w:rPr>
          <w:szCs w:val="22"/>
        </w:rPr>
        <w:t>he national IP office</w:t>
      </w:r>
      <w:r w:rsidR="00FB5966" w:rsidRPr="005270B5">
        <w:rPr>
          <w:szCs w:val="22"/>
        </w:rPr>
        <w:t xml:space="preserve"> </w:t>
      </w:r>
      <w:r w:rsidR="00FE294F" w:rsidRPr="005270B5">
        <w:rPr>
          <w:szCs w:val="22"/>
        </w:rPr>
        <w:t xml:space="preserve">who </w:t>
      </w:r>
      <w:r w:rsidR="00FB5966" w:rsidRPr="005270B5">
        <w:rPr>
          <w:szCs w:val="22"/>
        </w:rPr>
        <w:t xml:space="preserve">was based in the same region </w:t>
      </w:r>
      <w:r w:rsidR="00B9572B" w:rsidRPr="005270B5">
        <w:rPr>
          <w:szCs w:val="22"/>
        </w:rPr>
        <w:t xml:space="preserve">(Bicol) </w:t>
      </w:r>
      <w:r w:rsidR="00FB5966" w:rsidRPr="005270B5">
        <w:rPr>
          <w:szCs w:val="22"/>
        </w:rPr>
        <w:t>as the beneficiary association</w:t>
      </w:r>
      <w:r w:rsidR="00434059" w:rsidRPr="005270B5">
        <w:rPr>
          <w:szCs w:val="22"/>
        </w:rPr>
        <w:t xml:space="preserve">. </w:t>
      </w:r>
      <w:r w:rsidR="005270B5">
        <w:rPr>
          <w:szCs w:val="22"/>
        </w:rPr>
        <w:t xml:space="preserve"> </w:t>
      </w:r>
      <w:r w:rsidR="00FB5966" w:rsidRPr="005270B5">
        <w:rPr>
          <w:szCs w:val="22"/>
        </w:rPr>
        <w:t xml:space="preserve">In Bolivia as the collective mark was launched in February 2024, it was too early to </w:t>
      </w:r>
      <w:r w:rsidR="00B9572B" w:rsidRPr="005270B5">
        <w:rPr>
          <w:szCs w:val="22"/>
        </w:rPr>
        <w:t>determine</w:t>
      </w:r>
      <w:r w:rsidR="00FB5966" w:rsidRPr="005270B5">
        <w:rPr>
          <w:szCs w:val="22"/>
        </w:rPr>
        <w:t xml:space="preserve"> any follow-up </w:t>
      </w:r>
      <w:r w:rsidR="009111DD" w:rsidRPr="005270B5">
        <w:rPr>
          <w:szCs w:val="22"/>
        </w:rPr>
        <w:t>need</w:t>
      </w:r>
      <w:r w:rsidR="00FB5966" w:rsidRPr="005270B5">
        <w:rPr>
          <w:szCs w:val="22"/>
        </w:rPr>
        <w:t>s</w:t>
      </w:r>
      <w:r w:rsidR="00434059" w:rsidRPr="005270B5">
        <w:rPr>
          <w:szCs w:val="22"/>
        </w:rPr>
        <w:t xml:space="preserve">. </w:t>
      </w:r>
      <w:r w:rsidR="005270B5">
        <w:rPr>
          <w:szCs w:val="22"/>
        </w:rPr>
        <w:t xml:space="preserve"> </w:t>
      </w:r>
      <w:r w:rsidR="00C5390D" w:rsidRPr="005270B5">
        <w:rPr>
          <w:szCs w:val="22"/>
        </w:rPr>
        <w:t xml:space="preserve">Extra follow-up and support </w:t>
      </w:r>
      <w:proofErr w:type="gramStart"/>
      <w:r w:rsidR="00C5390D" w:rsidRPr="005270B5">
        <w:rPr>
          <w:szCs w:val="22"/>
        </w:rPr>
        <w:t>was</w:t>
      </w:r>
      <w:proofErr w:type="gramEnd"/>
      <w:r w:rsidR="00C5390D" w:rsidRPr="005270B5">
        <w:rPr>
          <w:szCs w:val="22"/>
        </w:rPr>
        <w:t xml:space="preserve"> mainly needed in two areas according to interviewees:</w:t>
      </w:r>
      <w:r w:rsidR="0029110C" w:rsidRPr="005270B5">
        <w:rPr>
          <w:szCs w:val="22"/>
        </w:rPr>
        <w:t xml:space="preserve"> </w:t>
      </w:r>
      <w:r w:rsidR="00C5390D" w:rsidRPr="005270B5">
        <w:rPr>
          <w:szCs w:val="22"/>
        </w:rPr>
        <w:t xml:space="preserve"> the internal </w:t>
      </w:r>
      <w:r w:rsidR="00E9009A" w:rsidRPr="005270B5">
        <w:rPr>
          <w:szCs w:val="22"/>
        </w:rPr>
        <w:t>organization</w:t>
      </w:r>
      <w:r w:rsidR="00C5390D" w:rsidRPr="005270B5">
        <w:rPr>
          <w:szCs w:val="22"/>
        </w:rPr>
        <w:t xml:space="preserve"> and capacity of the associations and the marketing and promotion of products under the collective marks</w:t>
      </w:r>
      <w:r w:rsidR="00434059" w:rsidRPr="005270B5">
        <w:rPr>
          <w:szCs w:val="22"/>
        </w:rPr>
        <w:t xml:space="preserve">. </w:t>
      </w:r>
    </w:p>
    <w:p w14:paraId="19E7DEEB" w14:textId="77777777" w:rsidR="00FB5966" w:rsidRPr="007E0D25" w:rsidRDefault="00FB5966" w:rsidP="007E0D25">
      <w:pPr>
        <w:rPr>
          <w:szCs w:val="22"/>
        </w:rPr>
      </w:pPr>
    </w:p>
    <w:p w14:paraId="07C968E6" w14:textId="03A7A580" w:rsidR="000A13FC" w:rsidRPr="005270B5" w:rsidRDefault="00FB5966" w:rsidP="005270B5">
      <w:pPr>
        <w:pStyle w:val="ListParagraph"/>
        <w:numPr>
          <w:ilvl w:val="0"/>
          <w:numId w:val="21"/>
        </w:numPr>
        <w:ind w:left="0" w:firstLine="0"/>
        <w:rPr>
          <w:szCs w:val="22"/>
        </w:rPr>
      </w:pPr>
      <w:r w:rsidRPr="005270B5">
        <w:rPr>
          <w:b/>
          <w:bCs/>
          <w:szCs w:val="22"/>
        </w:rPr>
        <w:t>Finding 1</w:t>
      </w:r>
      <w:r w:rsidR="00015A62" w:rsidRPr="005270B5">
        <w:rPr>
          <w:b/>
          <w:bCs/>
          <w:szCs w:val="22"/>
        </w:rPr>
        <w:t>8</w:t>
      </w:r>
      <w:r w:rsidRPr="005270B5">
        <w:rPr>
          <w:b/>
          <w:bCs/>
          <w:szCs w:val="22"/>
        </w:rPr>
        <w:t>:</w:t>
      </w:r>
      <w:r w:rsidRPr="005270B5">
        <w:rPr>
          <w:szCs w:val="22"/>
        </w:rPr>
        <w:t xml:space="preserve">  </w:t>
      </w:r>
      <w:r w:rsidR="00C5390D" w:rsidRPr="005270B5">
        <w:rPr>
          <w:szCs w:val="22"/>
        </w:rPr>
        <w:t>An objective of the project was “</w:t>
      </w:r>
      <w:r w:rsidR="00C5390D" w:rsidRPr="005270B5">
        <w:rPr>
          <w:i/>
          <w:iCs/>
          <w:szCs w:val="22"/>
        </w:rPr>
        <w:t>strengthening of an institutional structure to support the identification, development and registration of collective marks</w:t>
      </w:r>
      <w:r w:rsidR="00C5390D" w:rsidRPr="005270B5">
        <w:rPr>
          <w:szCs w:val="22"/>
        </w:rPr>
        <w:t>”</w:t>
      </w:r>
      <w:r w:rsidR="005270B5">
        <w:rPr>
          <w:szCs w:val="22"/>
        </w:rPr>
        <w:t>,</w:t>
      </w:r>
      <w:r w:rsidR="00C5390D" w:rsidRPr="005270B5">
        <w:rPr>
          <w:szCs w:val="22"/>
        </w:rPr>
        <w:t xml:space="preserve"> described under Effectiveness, the project was successful in producing the</w:t>
      </w:r>
      <w:r w:rsidR="00B9572B" w:rsidRPr="005270B5">
        <w:rPr>
          <w:szCs w:val="22"/>
        </w:rPr>
        <w:t xml:space="preserve"> collective mark</w:t>
      </w:r>
      <w:r w:rsidR="00C5390D" w:rsidRPr="005270B5">
        <w:rPr>
          <w:szCs w:val="22"/>
        </w:rPr>
        <w:t xml:space="preserve"> guidelines for the national IP offices and training their staff</w:t>
      </w:r>
      <w:r w:rsidR="00434059" w:rsidRPr="005270B5">
        <w:rPr>
          <w:szCs w:val="22"/>
        </w:rPr>
        <w:t xml:space="preserve">. </w:t>
      </w:r>
      <w:r w:rsidR="005270B5">
        <w:rPr>
          <w:szCs w:val="22"/>
        </w:rPr>
        <w:t xml:space="preserve"> </w:t>
      </w:r>
      <w:r w:rsidR="00C5390D" w:rsidRPr="005270B5">
        <w:rPr>
          <w:szCs w:val="22"/>
        </w:rPr>
        <w:t>Further, the national IP offices reported that it had prompted internal reflection on how to further promote the usage of collective marks</w:t>
      </w:r>
      <w:r w:rsidR="00434059" w:rsidRPr="005270B5">
        <w:rPr>
          <w:szCs w:val="22"/>
        </w:rPr>
        <w:t xml:space="preserve">. </w:t>
      </w:r>
      <w:r w:rsidR="005270B5">
        <w:rPr>
          <w:szCs w:val="22"/>
        </w:rPr>
        <w:t xml:space="preserve"> </w:t>
      </w:r>
      <w:r w:rsidR="00C5390D" w:rsidRPr="005270B5">
        <w:rPr>
          <w:szCs w:val="22"/>
        </w:rPr>
        <w:t xml:space="preserve">However, there were no action plans or road maps available from the national IP offices that set out concretely how they planned to use the capacity and resources provided by the project to increase their promotion </w:t>
      </w:r>
      <w:r w:rsidR="00B9572B" w:rsidRPr="005270B5">
        <w:rPr>
          <w:szCs w:val="22"/>
        </w:rPr>
        <w:t>and</w:t>
      </w:r>
      <w:r w:rsidR="00C5390D" w:rsidRPr="005270B5">
        <w:rPr>
          <w:szCs w:val="22"/>
        </w:rPr>
        <w:t xml:space="preserve"> usage of collective marks. </w:t>
      </w:r>
    </w:p>
    <w:p w14:paraId="4AA33375" w14:textId="1A8551A3" w:rsidR="006963F2" w:rsidRDefault="006963F2" w:rsidP="007E0D25">
      <w:pPr>
        <w:rPr>
          <w:szCs w:val="22"/>
        </w:rPr>
      </w:pPr>
    </w:p>
    <w:p w14:paraId="72A45211" w14:textId="77777777" w:rsidR="006963F2" w:rsidRDefault="006963F2" w:rsidP="005270B5">
      <w:pPr>
        <w:pStyle w:val="Heading2"/>
        <w:keepNext/>
        <w:spacing w:before="240" w:after="240"/>
      </w:pPr>
      <w:bookmarkStart w:id="55" w:name="_Toc336032073"/>
      <w:bookmarkStart w:id="56" w:name="_Toc18392481"/>
      <w:r w:rsidRPr="00692329">
        <w:t>D. Implementation of Development Agenda (DA) Recommendations</w:t>
      </w:r>
      <w:bookmarkEnd w:id="55"/>
      <w:bookmarkEnd w:id="56"/>
      <w:r w:rsidRPr="00692329">
        <w:t xml:space="preserve"> </w:t>
      </w:r>
    </w:p>
    <w:p w14:paraId="24ED381C" w14:textId="6626B819" w:rsidR="006963F2" w:rsidRDefault="006963F2" w:rsidP="007E0D25">
      <w:pPr>
        <w:pStyle w:val="BodyText"/>
        <w:keepNext/>
        <w:spacing w:after="0"/>
        <w:rPr>
          <w:i/>
          <w:szCs w:val="22"/>
          <w:u w:val="single"/>
        </w:rPr>
      </w:pPr>
      <w:r w:rsidRPr="001E6A73">
        <w:rPr>
          <w:i/>
          <w:szCs w:val="22"/>
          <w:u w:val="single"/>
        </w:rPr>
        <w:t>The exten</w:t>
      </w:r>
      <w:r>
        <w:rPr>
          <w:i/>
          <w:szCs w:val="22"/>
          <w:u w:val="single"/>
        </w:rPr>
        <w:t xml:space="preserve">t to which the DA Recommendations 1 </w:t>
      </w:r>
      <w:r w:rsidR="006F4A97">
        <w:rPr>
          <w:i/>
          <w:szCs w:val="22"/>
          <w:u w:val="single"/>
        </w:rPr>
        <w:t xml:space="preserve">4, </w:t>
      </w:r>
      <w:r>
        <w:rPr>
          <w:i/>
          <w:szCs w:val="22"/>
          <w:u w:val="single"/>
        </w:rPr>
        <w:t xml:space="preserve">and </w:t>
      </w:r>
      <w:r w:rsidR="006F4A97">
        <w:rPr>
          <w:i/>
          <w:szCs w:val="22"/>
          <w:u w:val="single"/>
        </w:rPr>
        <w:t>10</w:t>
      </w:r>
      <w:r>
        <w:rPr>
          <w:i/>
          <w:szCs w:val="22"/>
          <w:u w:val="single"/>
        </w:rPr>
        <w:t xml:space="preserve"> have</w:t>
      </w:r>
      <w:r w:rsidRPr="001E6A73">
        <w:rPr>
          <w:i/>
          <w:szCs w:val="22"/>
          <w:u w:val="single"/>
        </w:rPr>
        <w:t xml:space="preserve"> been i</w:t>
      </w:r>
      <w:r>
        <w:rPr>
          <w:i/>
          <w:szCs w:val="22"/>
          <w:u w:val="single"/>
        </w:rPr>
        <w:t xml:space="preserve">mplemented through this </w:t>
      </w:r>
      <w:proofErr w:type="gramStart"/>
      <w:r>
        <w:rPr>
          <w:i/>
          <w:szCs w:val="22"/>
          <w:u w:val="single"/>
        </w:rPr>
        <w:t>project</w:t>
      </w:r>
      <w:proofErr w:type="gramEnd"/>
    </w:p>
    <w:p w14:paraId="2098C6C2" w14:textId="77777777" w:rsidR="006963F2" w:rsidRPr="007E0D25" w:rsidRDefault="006963F2" w:rsidP="007E0D25">
      <w:pPr>
        <w:keepNext/>
        <w:rPr>
          <w:szCs w:val="22"/>
        </w:rPr>
      </w:pPr>
    </w:p>
    <w:p w14:paraId="4779F5D7" w14:textId="33916B3D" w:rsidR="00C73623" w:rsidRPr="005270B5" w:rsidRDefault="00355D01" w:rsidP="005270B5">
      <w:pPr>
        <w:pStyle w:val="ListParagraph"/>
        <w:keepNext/>
        <w:numPr>
          <w:ilvl w:val="0"/>
          <w:numId w:val="21"/>
        </w:numPr>
        <w:ind w:left="0" w:firstLine="0"/>
        <w:rPr>
          <w:szCs w:val="22"/>
        </w:rPr>
      </w:pPr>
      <w:r w:rsidRPr="005270B5">
        <w:rPr>
          <w:b/>
          <w:szCs w:val="22"/>
        </w:rPr>
        <w:t>Finding</w:t>
      </w:r>
      <w:r w:rsidR="004A2CAA" w:rsidRPr="005270B5">
        <w:rPr>
          <w:b/>
          <w:szCs w:val="22"/>
        </w:rPr>
        <w:t xml:space="preserve"> </w:t>
      </w:r>
      <w:r w:rsidR="00C15C2F" w:rsidRPr="005270B5">
        <w:rPr>
          <w:b/>
          <w:szCs w:val="22"/>
        </w:rPr>
        <w:t>1</w:t>
      </w:r>
      <w:r w:rsidR="00015A62" w:rsidRPr="005270B5">
        <w:rPr>
          <w:b/>
          <w:szCs w:val="22"/>
        </w:rPr>
        <w:t>9</w:t>
      </w:r>
      <w:r w:rsidR="004A2CAA" w:rsidRPr="005270B5">
        <w:rPr>
          <w:b/>
          <w:szCs w:val="22"/>
        </w:rPr>
        <w:t>:</w:t>
      </w:r>
      <w:r w:rsidR="00F15C94" w:rsidRPr="005270B5">
        <w:rPr>
          <w:szCs w:val="22"/>
        </w:rPr>
        <w:t xml:space="preserve"> </w:t>
      </w:r>
      <w:r w:rsidR="007147EC" w:rsidRPr="005270B5">
        <w:rPr>
          <w:szCs w:val="22"/>
        </w:rPr>
        <w:t xml:space="preserve"> </w:t>
      </w:r>
      <w:r w:rsidR="00B9572B" w:rsidRPr="005270B5">
        <w:rPr>
          <w:szCs w:val="22"/>
        </w:rPr>
        <w:t>DA r</w:t>
      </w:r>
      <w:r w:rsidR="007147EC" w:rsidRPr="005270B5">
        <w:rPr>
          <w:szCs w:val="22"/>
        </w:rPr>
        <w:t>ecommendat</w:t>
      </w:r>
      <w:r w:rsidR="00B44FBC" w:rsidRPr="005270B5">
        <w:rPr>
          <w:szCs w:val="22"/>
        </w:rPr>
        <w:t xml:space="preserve">ion </w:t>
      </w:r>
      <w:r w:rsidR="00351D09" w:rsidRPr="005270B5">
        <w:rPr>
          <w:szCs w:val="22"/>
        </w:rPr>
        <w:t>1</w:t>
      </w:r>
      <w:r w:rsidR="007147EC" w:rsidRPr="005270B5">
        <w:rPr>
          <w:szCs w:val="22"/>
        </w:rPr>
        <w:t xml:space="preserve"> is </w:t>
      </w:r>
      <w:r w:rsidR="0089323A" w:rsidRPr="005270B5">
        <w:rPr>
          <w:szCs w:val="22"/>
        </w:rPr>
        <w:t>focused on WIPO’s</w:t>
      </w:r>
      <w:r w:rsidR="00351D09" w:rsidRPr="005270B5">
        <w:rPr>
          <w:szCs w:val="22"/>
        </w:rPr>
        <w:t xml:space="preserve"> technical assistance </w:t>
      </w:r>
      <w:r w:rsidR="0089323A" w:rsidRPr="005270B5">
        <w:rPr>
          <w:szCs w:val="22"/>
        </w:rPr>
        <w:t>being demand driven</w:t>
      </w:r>
      <w:r w:rsidR="009C5CF2" w:rsidRPr="005270B5">
        <w:rPr>
          <w:szCs w:val="22"/>
        </w:rPr>
        <w:t xml:space="preserve"> development-driven</w:t>
      </w:r>
      <w:r w:rsidR="0089323A" w:rsidRPr="005270B5">
        <w:rPr>
          <w:szCs w:val="22"/>
        </w:rPr>
        <w:t xml:space="preserve"> and transparent</w:t>
      </w:r>
      <w:r w:rsidR="00434059" w:rsidRPr="005270B5">
        <w:rPr>
          <w:szCs w:val="22"/>
        </w:rPr>
        <w:t xml:space="preserve">. </w:t>
      </w:r>
      <w:r w:rsidR="005270B5">
        <w:rPr>
          <w:szCs w:val="22"/>
        </w:rPr>
        <w:t xml:space="preserve"> </w:t>
      </w:r>
      <w:r w:rsidR="009C5CF2" w:rsidRPr="005270B5">
        <w:rPr>
          <w:szCs w:val="22"/>
        </w:rPr>
        <w:t xml:space="preserve">The project has </w:t>
      </w:r>
      <w:proofErr w:type="gramStart"/>
      <w:r w:rsidR="009C5CF2" w:rsidRPr="005270B5">
        <w:rPr>
          <w:szCs w:val="22"/>
        </w:rPr>
        <w:t>made a contribution</w:t>
      </w:r>
      <w:proofErr w:type="gramEnd"/>
      <w:r w:rsidR="009C5CF2" w:rsidRPr="005270B5">
        <w:rPr>
          <w:szCs w:val="22"/>
        </w:rPr>
        <w:t xml:space="preserve"> to this recommendation considering that project’s activities were focused on the economic development of community-based enterprises through their collective associations</w:t>
      </w:r>
      <w:r w:rsidR="00434059" w:rsidRPr="005270B5">
        <w:rPr>
          <w:szCs w:val="22"/>
        </w:rPr>
        <w:t xml:space="preserve">. </w:t>
      </w:r>
      <w:r w:rsidR="005270B5">
        <w:rPr>
          <w:szCs w:val="22"/>
        </w:rPr>
        <w:t xml:space="preserve"> </w:t>
      </w:r>
      <w:r w:rsidR="009C5CF2" w:rsidRPr="005270B5">
        <w:rPr>
          <w:szCs w:val="22"/>
        </w:rPr>
        <w:t xml:space="preserve">Further, the project adapted its approach and activities to be </w:t>
      </w:r>
      <w:proofErr w:type="gramStart"/>
      <w:r w:rsidR="009C5CF2" w:rsidRPr="005270B5">
        <w:rPr>
          <w:szCs w:val="22"/>
        </w:rPr>
        <w:t>country-specific</w:t>
      </w:r>
      <w:proofErr w:type="gramEnd"/>
      <w:r w:rsidR="009C5CF2" w:rsidRPr="005270B5">
        <w:rPr>
          <w:szCs w:val="22"/>
        </w:rPr>
        <w:t xml:space="preserve"> as proposed in </w:t>
      </w:r>
      <w:r w:rsidR="00B9572B" w:rsidRPr="005270B5">
        <w:rPr>
          <w:szCs w:val="22"/>
        </w:rPr>
        <w:t>DA r</w:t>
      </w:r>
      <w:r w:rsidR="009C5CF2" w:rsidRPr="005270B5">
        <w:rPr>
          <w:szCs w:val="22"/>
        </w:rPr>
        <w:t>ecommendation</w:t>
      </w:r>
      <w:r w:rsidR="0068577B">
        <w:rPr>
          <w:szCs w:val="22"/>
        </w:rPr>
        <w:t> </w:t>
      </w:r>
      <w:r w:rsidR="009C5CF2" w:rsidRPr="005270B5">
        <w:rPr>
          <w:szCs w:val="22"/>
        </w:rPr>
        <w:t xml:space="preserve">1. </w:t>
      </w:r>
    </w:p>
    <w:p w14:paraId="4F228FDD" w14:textId="77777777" w:rsidR="00CB19A0" w:rsidRDefault="00CB19A0" w:rsidP="007E0D25">
      <w:pPr>
        <w:rPr>
          <w:szCs w:val="22"/>
        </w:rPr>
      </w:pPr>
    </w:p>
    <w:p w14:paraId="2355A74B" w14:textId="2194D13B" w:rsidR="00951612" w:rsidRPr="005270B5" w:rsidRDefault="00CB19A0" w:rsidP="005270B5">
      <w:pPr>
        <w:pStyle w:val="ListParagraph"/>
        <w:numPr>
          <w:ilvl w:val="0"/>
          <w:numId w:val="21"/>
        </w:numPr>
        <w:ind w:left="0" w:firstLine="0"/>
        <w:rPr>
          <w:szCs w:val="22"/>
        </w:rPr>
      </w:pPr>
      <w:r w:rsidRPr="005270B5">
        <w:rPr>
          <w:b/>
          <w:szCs w:val="22"/>
        </w:rPr>
        <w:t xml:space="preserve">Finding </w:t>
      </w:r>
      <w:r w:rsidR="00015A62" w:rsidRPr="005270B5">
        <w:rPr>
          <w:b/>
          <w:szCs w:val="22"/>
        </w:rPr>
        <w:t>20</w:t>
      </w:r>
      <w:r w:rsidRPr="005270B5">
        <w:rPr>
          <w:b/>
          <w:szCs w:val="22"/>
        </w:rPr>
        <w:t>:</w:t>
      </w:r>
      <w:r w:rsidRPr="005270B5">
        <w:rPr>
          <w:szCs w:val="22"/>
        </w:rPr>
        <w:t xml:space="preserve"> </w:t>
      </w:r>
      <w:r w:rsidR="00C52F90" w:rsidRPr="005270B5">
        <w:rPr>
          <w:szCs w:val="22"/>
        </w:rPr>
        <w:t xml:space="preserve"> </w:t>
      </w:r>
      <w:r w:rsidR="00B9572B" w:rsidRPr="005270B5">
        <w:rPr>
          <w:szCs w:val="22"/>
        </w:rPr>
        <w:t>DA r</w:t>
      </w:r>
      <w:r w:rsidR="009C5CF2" w:rsidRPr="005270B5">
        <w:rPr>
          <w:szCs w:val="22"/>
        </w:rPr>
        <w:t xml:space="preserve">ecommendation 4 is focused on the needs of </w:t>
      </w:r>
      <w:r w:rsidR="00E311CC" w:rsidRPr="005270B5">
        <w:rPr>
          <w:szCs w:val="22"/>
        </w:rPr>
        <w:t>S</w:t>
      </w:r>
      <w:r w:rsidR="00C94C74" w:rsidRPr="005270B5">
        <w:rPr>
          <w:szCs w:val="22"/>
        </w:rPr>
        <w:t>MEs</w:t>
      </w:r>
      <w:r w:rsidR="009C5CF2" w:rsidRPr="005270B5">
        <w:rPr>
          <w:szCs w:val="22"/>
        </w:rPr>
        <w:t xml:space="preserve"> and institutions dealing with scientific research and cultural industries</w:t>
      </w:r>
      <w:r w:rsidR="00434059" w:rsidRPr="005270B5">
        <w:rPr>
          <w:szCs w:val="22"/>
        </w:rPr>
        <w:t>.</w:t>
      </w:r>
      <w:r w:rsidR="005270B5">
        <w:rPr>
          <w:szCs w:val="22"/>
        </w:rPr>
        <w:t xml:space="preserve"> </w:t>
      </w:r>
      <w:r w:rsidR="00434059" w:rsidRPr="005270B5">
        <w:rPr>
          <w:szCs w:val="22"/>
        </w:rPr>
        <w:t xml:space="preserve"> </w:t>
      </w:r>
      <w:r w:rsidR="009C5CF2" w:rsidRPr="005270B5">
        <w:rPr>
          <w:szCs w:val="22"/>
        </w:rPr>
        <w:t>In all countries, th</w:t>
      </w:r>
      <w:r w:rsidR="00805D47" w:rsidRPr="005270B5">
        <w:rPr>
          <w:szCs w:val="22"/>
        </w:rPr>
        <w:t>e project supported small community-based enterprises as described above</w:t>
      </w:r>
      <w:r w:rsidR="00434059" w:rsidRPr="005270B5">
        <w:rPr>
          <w:szCs w:val="22"/>
        </w:rPr>
        <w:t xml:space="preserve">. </w:t>
      </w:r>
      <w:r w:rsidR="005270B5">
        <w:rPr>
          <w:szCs w:val="22"/>
        </w:rPr>
        <w:t xml:space="preserve"> </w:t>
      </w:r>
      <w:r w:rsidR="00805D47" w:rsidRPr="005270B5">
        <w:rPr>
          <w:szCs w:val="22"/>
        </w:rPr>
        <w:t>Further, the en</w:t>
      </w:r>
      <w:r w:rsidR="009C5CF2" w:rsidRPr="005270B5">
        <w:rPr>
          <w:szCs w:val="22"/>
        </w:rPr>
        <w:t>terprises</w:t>
      </w:r>
      <w:r w:rsidR="00805D47" w:rsidRPr="005270B5">
        <w:rPr>
          <w:szCs w:val="22"/>
        </w:rPr>
        <w:t xml:space="preserve">, associations and </w:t>
      </w:r>
      <w:r w:rsidR="009C5CF2" w:rsidRPr="005270B5">
        <w:rPr>
          <w:szCs w:val="22"/>
        </w:rPr>
        <w:t xml:space="preserve">products </w:t>
      </w:r>
      <w:r w:rsidR="00805D47" w:rsidRPr="005270B5">
        <w:rPr>
          <w:szCs w:val="22"/>
        </w:rPr>
        <w:t xml:space="preserve">all have strong cultural connections </w:t>
      </w:r>
      <w:r w:rsidR="00B9572B" w:rsidRPr="005270B5">
        <w:rPr>
          <w:szCs w:val="22"/>
        </w:rPr>
        <w:t>within</w:t>
      </w:r>
      <w:r w:rsidR="00805D47" w:rsidRPr="005270B5">
        <w:rPr>
          <w:szCs w:val="22"/>
        </w:rPr>
        <w:t xml:space="preserve"> the</w:t>
      </w:r>
      <w:r w:rsidR="00B9572B" w:rsidRPr="005270B5">
        <w:rPr>
          <w:szCs w:val="22"/>
        </w:rPr>
        <w:t>ir local communities</w:t>
      </w:r>
      <w:r w:rsidR="00805D47" w:rsidRPr="005270B5">
        <w:rPr>
          <w:szCs w:val="22"/>
        </w:rPr>
        <w:t>.</w:t>
      </w:r>
    </w:p>
    <w:p w14:paraId="3CB17E4D" w14:textId="77777777" w:rsidR="00805D47" w:rsidRPr="007E0D25" w:rsidRDefault="00805D47" w:rsidP="007E0D25">
      <w:pPr>
        <w:rPr>
          <w:szCs w:val="22"/>
        </w:rPr>
      </w:pPr>
    </w:p>
    <w:p w14:paraId="1C77D84B" w14:textId="66D71790" w:rsidR="00805D47" w:rsidRPr="005270B5" w:rsidRDefault="00805D47" w:rsidP="005270B5">
      <w:pPr>
        <w:pStyle w:val="ListParagraph"/>
        <w:numPr>
          <w:ilvl w:val="0"/>
          <w:numId w:val="21"/>
        </w:numPr>
        <w:ind w:left="0" w:firstLine="0"/>
        <w:rPr>
          <w:szCs w:val="22"/>
        </w:rPr>
      </w:pPr>
      <w:r w:rsidRPr="005270B5">
        <w:rPr>
          <w:b/>
          <w:szCs w:val="22"/>
        </w:rPr>
        <w:t xml:space="preserve">Finding </w:t>
      </w:r>
      <w:r w:rsidR="00FB5966" w:rsidRPr="005270B5">
        <w:rPr>
          <w:b/>
          <w:szCs w:val="22"/>
        </w:rPr>
        <w:t>2</w:t>
      </w:r>
      <w:r w:rsidR="00015A62" w:rsidRPr="005270B5">
        <w:rPr>
          <w:b/>
          <w:szCs w:val="22"/>
        </w:rPr>
        <w:t>1</w:t>
      </w:r>
      <w:r w:rsidRPr="005270B5">
        <w:rPr>
          <w:b/>
          <w:szCs w:val="22"/>
        </w:rPr>
        <w:t>:</w:t>
      </w:r>
      <w:r w:rsidRPr="005270B5">
        <w:rPr>
          <w:szCs w:val="22"/>
        </w:rPr>
        <w:t xml:space="preserve"> </w:t>
      </w:r>
      <w:r w:rsidR="00C52F90" w:rsidRPr="005270B5">
        <w:rPr>
          <w:szCs w:val="22"/>
        </w:rPr>
        <w:t xml:space="preserve"> </w:t>
      </w:r>
      <w:r w:rsidR="00B9572B" w:rsidRPr="005270B5">
        <w:rPr>
          <w:szCs w:val="22"/>
        </w:rPr>
        <w:t>DA r</w:t>
      </w:r>
      <w:r w:rsidRPr="005270B5">
        <w:rPr>
          <w:szCs w:val="22"/>
        </w:rPr>
        <w:t>ecommendation 10 is focused on developing and improving national intellectual property institutional capacity</w:t>
      </w:r>
      <w:r w:rsidR="00434059" w:rsidRPr="005270B5">
        <w:rPr>
          <w:szCs w:val="22"/>
        </w:rPr>
        <w:t>.</w:t>
      </w:r>
      <w:r w:rsidR="005270B5">
        <w:rPr>
          <w:szCs w:val="22"/>
        </w:rPr>
        <w:t xml:space="preserve"> </w:t>
      </w:r>
      <w:r w:rsidR="00434059" w:rsidRPr="005270B5">
        <w:rPr>
          <w:szCs w:val="22"/>
        </w:rPr>
        <w:t xml:space="preserve"> </w:t>
      </w:r>
      <w:r w:rsidRPr="005270B5">
        <w:rPr>
          <w:szCs w:val="22"/>
        </w:rPr>
        <w:t xml:space="preserve">The project has </w:t>
      </w:r>
      <w:proofErr w:type="gramStart"/>
      <w:r w:rsidRPr="005270B5">
        <w:rPr>
          <w:szCs w:val="22"/>
        </w:rPr>
        <w:t>made a contribution</w:t>
      </w:r>
      <w:proofErr w:type="gramEnd"/>
      <w:r w:rsidRPr="005270B5">
        <w:rPr>
          <w:szCs w:val="22"/>
        </w:rPr>
        <w:t xml:space="preserve"> to this </w:t>
      </w:r>
      <w:r w:rsidR="00B9572B" w:rsidRPr="005270B5">
        <w:rPr>
          <w:szCs w:val="22"/>
        </w:rPr>
        <w:t xml:space="preserve">DA </w:t>
      </w:r>
      <w:r w:rsidRPr="005270B5">
        <w:rPr>
          <w:szCs w:val="22"/>
        </w:rPr>
        <w:t xml:space="preserve">recommendation considering its activities to support national IP offices in the development of their capacities to understand, promote and manage collective marks. </w:t>
      </w:r>
    </w:p>
    <w:p w14:paraId="27FFA05F" w14:textId="77777777" w:rsidR="00EC5FFF" w:rsidRPr="0026522C" w:rsidRDefault="00EC5FFF" w:rsidP="005270B5">
      <w:pPr>
        <w:pStyle w:val="Heading1"/>
        <w:spacing w:after="240"/>
        <w:rPr>
          <w:szCs w:val="22"/>
        </w:rPr>
      </w:pPr>
      <w:bookmarkStart w:id="57" w:name="_Toc18392482"/>
      <w:r>
        <w:t>V</w:t>
      </w:r>
      <w:r w:rsidRPr="0026522C">
        <w:t xml:space="preserve">. </w:t>
      </w:r>
      <w:r>
        <w:t>Conclusions and recommendations</w:t>
      </w:r>
      <w:bookmarkEnd w:id="57"/>
    </w:p>
    <w:p w14:paraId="74920B59" w14:textId="38ACD505" w:rsidR="005C58F1" w:rsidRDefault="005C58F1" w:rsidP="005270B5">
      <w:pPr>
        <w:pStyle w:val="BodyText"/>
        <w:numPr>
          <w:ilvl w:val="0"/>
          <w:numId w:val="21"/>
        </w:numPr>
        <w:spacing w:after="0"/>
        <w:ind w:left="0" w:firstLine="0"/>
      </w:pPr>
      <w:r w:rsidRPr="00715AB1">
        <w:rPr>
          <w:b/>
        </w:rPr>
        <w:t>Conclusion 1</w:t>
      </w:r>
      <w:r>
        <w:rPr>
          <w:b/>
        </w:rPr>
        <w:t xml:space="preserve"> (</w:t>
      </w:r>
      <w:r w:rsidRPr="002460AB">
        <w:rPr>
          <w:b/>
          <w:i/>
        </w:rPr>
        <w:t xml:space="preserve">Ref: </w:t>
      </w:r>
      <w:r w:rsidR="00C52F90">
        <w:rPr>
          <w:b/>
          <w:i/>
        </w:rPr>
        <w:t xml:space="preserve"> </w:t>
      </w:r>
      <w:r w:rsidRPr="002460AB">
        <w:rPr>
          <w:b/>
          <w:i/>
        </w:rPr>
        <w:t xml:space="preserve">Findings </w:t>
      </w:r>
      <w:r w:rsidR="00B11A10">
        <w:rPr>
          <w:b/>
          <w:i/>
        </w:rPr>
        <w:t>1</w:t>
      </w:r>
      <w:r>
        <w:rPr>
          <w:b/>
          <w:i/>
        </w:rPr>
        <w:t>-</w:t>
      </w:r>
      <w:proofErr w:type="gramStart"/>
      <w:r w:rsidR="00912257">
        <w:rPr>
          <w:b/>
          <w:i/>
        </w:rPr>
        <w:t>1</w:t>
      </w:r>
      <w:r w:rsidR="00973B88">
        <w:rPr>
          <w:b/>
          <w:i/>
        </w:rPr>
        <w:t>1</w:t>
      </w:r>
      <w:r w:rsidR="00912257">
        <w:rPr>
          <w:b/>
          <w:i/>
        </w:rPr>
        <w:t xml:space="preserve">; </w:t>
      </w:r>
      <w:r w:rsidR="0030500C">
        <w:rPr>
          <w:b/>
          <w:i/>
        </w:rPr>
        <w:t xml:space="preserve"> </w:t>
      </w:r>
      <w:r w:rsidR="00912257">
        <w:rPr>
          <w:b/>
          <w:i/>
        </w:rPr>
        <w:t>19</w:t>
      </w:r>
      <w:proofErr w:type="gramEnd"/>
      <w:r w:rsidR="00912257">
        <w:rPr>
          <w:b/>
          <w:i/>
        </w:rPr>
        <w:t>-21</w:t>
      </w:r>
      <w:r w:rsidRPr="00AA1752">
        <w:rPr>
          <w:b/>
        </w:rPr>
        <w:t>)</w:t>
      </w:r>
      <w:r w:rsidR="00434059">
        <w:t xml:space="preserve">. </w:t>
      </w:r>
      <w:r w:rsidR="008B68AA">
        <w:t xml:space="preserve"> </w:t>
      </w:r>
      <w:r w:rsidR="00B11A10">
        <w:t>The</w:t>
      </w:r>
      <w:r>
        <w:t xml:space="preserve"> project has </w:t>
      </w:r>
      <w:r w:rsidR="00B11A10">
        <w:t xml:space="preserve">successfully delivered </w:t>
      </w:r>
      <w:r w:rsidR="00912257">
        <w:t>all the project’s outputs in the four beneficiary countries</w:t>
      </w:r>
      <w:r w:rsidR="00434059">
        <w:t xml:space="preserve">. </w:t>
      </w:r>
      <w:r w:rsidR="008B68AA">
        <w:t xml:space="preserve"> </w:t>
      </w:r>
      <w:r w:rsidR="00912257">
        <w:t xml:space="preserve">This has supported the project in contributing to the DA recommendations and to progressing towards achieving its objective </w:t>
      </w:r>
      <w:r w:rsidR="00004FCB">
        <w:t>of developing</w:t>
      </w:r>
      <w:r w:rsidR="00912257" w:rsidRPr="00912257">
        <w:t xml:space="preserve"> a supporting and bolstering</w:t>
      </w:r>
      <w:r w:rsidR="00B9572B">
        <w:t xml:space="preserve"> a</w:t>
      </w:r>
      <w:r w:rsidR="00912257" w:rsidRPr="00912257">
        <w:t xml:space="preserve"> system to facilitate the registration of the collective marks of local enterprises </w:t>
      </w:r>
      <w:r w:rsidR="00912257">
        <w:t>for</w:t>
      </w:r>
      <w:r w:rsidR="00912257" w:rsidRPr="00912257">
        <w:t xml:space="preserve"> cross-cutting economic development</w:t>
      </w:r>
      <w:r w:rsidR="00434059">
        <w:t xml:space="preserve">. </w:t>
      </w:r>
      <w:r w:rsidR="008B68AA">
        <w:t xml:space="preserve"> </w:t>
      </w:r>
      <w:r w:rsidR="00004FCB">
        <w:t>Positive examples have already been seen of th</w:t>
      </w:r>
      <w:r w:rsidR="00C60408">
        <w:t xml:space="preserve">is through </w:t>
      </w:r>
      <w:r w:rsidR="00004FCB">
        <w:t>beneficiary associations bringing to market products under the collective mark as described above.</w:t>
      </w:r>
    </w:p>
    <w:p w14:paraId="523B53C7" w14:textId="77777777" w:rsidR="007E0D25" w:rsidRDefault="007E0D25" w:rsidP="007E0D25">
      <w:pPr>
        <w:pStyle w:val="BodyText"/>
        <w:spacing w:after="0"/>
      </w:pPr>
    </w:p>
    <w:p w14:paraId="21CA3ACA" w14:textId="45329D9B" w:rsidR="005C58F1" w:rsidRDefault="005C58F1" w:rsidP="008B68AA">
      <w:pPr>
        <w:pStyle w:val="BodyText"/>
        <w:numPr>
          <w:ilvl w:val="0"/>
          <w:numId w:val="21"/>
        </w:numPr>
        <w:spacing w:after="0"/>
        <w:ind w:left="0" w:firstLine="0"/>
      </w:pPr>
      <w:r w:rsidRPr="00715AB1">
        <w:rPr>
          <w:b/>
        </w:rPr>
        <w:t xml:space="preserve">Conclusion </w:t>
      </w:r>
      <w:r>
        <w:rPr>
          <w:b/>
        </w:rPr>
        <w:t>2 (</w:t>
      </w:r>
      <w:r w:rsidRPr="002460AB">
        <w:rPr>
          <w:b/>
          <w:i/>
        </w:rPr>
        <w:t xml:space="preserve">Ref: </w:t>
      </w:r>
      <w:r w:rsidR="00C52F90">
        <w:rPr>
          <w:b/>
          <w:i/>
        </w:rPr>
        <w:t xml:space="preserve"> </w:t>
      </w:r>
      <w:r w:rsidRPr="002460AB">
        <w:rPr>
          <w:b/>
          <w:i/>
        </w:rPr>
        <w:t xml:space="preserve">Findings </w:t>
      </w:r>
      <w:r w:rsidR="00912257">
        <w:rPr>
          <w:b/>
          <w:i/>
        </w:rPr>
        <w:t>1</w:t>
      </w:r>
      <w:r w:rsidR="00717204">
        <w:rPr>
          <w:b/>
          <w:i/>
        </w:rPr>
        <w:t>-</w:t>
      </w:r>
      <w:r w:rsidR="00912257">
        <w:rPr>
          <w:b/>
          <w:i/>
        </w:rPr>
        <w:t>6</w:t>
      </w:r>
      <w:r>
        <w:rPr>
          <w:b/>
        </w:rPr>
        <w:t>)</w:t>
      </w:r>
      <w:r w:rsidR="00434059">
        <w:t xml:space="preserve">. </w:t>
      </w:r>
      <w:r w:rsidR="008B68AA">
        <w:t xml:space="preserve"> </w:t>
      </w:r>
      <w:r>
        <w:t xml:space="preserve">The </w:t>
      </w:r>
      <w:r w:rsidR="009B0FEA">
        <w:t>project</w:t>
      </w:r>
      <w:r w:rsidR="00912257">
        <w:t xml:space="preserve"> was efficiently and effectively managed by the DACD, considering </w:t>
      </w:r>
      <w:r w:rsidR="0092178E">
        <w:t xml:space="preserve">some of the </w:t>
      </w:r>
      <w:r w:rsidR="00912257">
        <w:t>challenges of managing the project across four countries</w:t>
      </w:r>
      <w:r w:rsidR="00004FCB">
        <w:t xml:space="preserve"> as described above</w:t>
      </w:r>
      <w:r w:rsidR="00434059">
        <w:t xml:space="preserve">. </w:t>
      </w:r>
      <w:r w:rsidR="008B68AA">
        <w:t xml:space="preserve"> </w:t>
      </w:r>
      <w:r w:rsidR="00004FCB" w:rsidRPr="002B70CC">
        <w:t>The project could have benefited from simpler and adapted purchasing and procurement rules for country-level activities</w:t>
      </w:r>
      <w:r w:rsidR="00B9572B">
        <w:t xml:space="preserve">, in addition to providing </w:t>
      </w:r>
      <w:r w:rsidR="00004FCB">
        <w:t xml:space="preserve">opportunities for exchange between country-level project stakeholders. </w:t>
      </w:r>
    </w:p>
    <w:p w14:paraId="00CD0E8A" w14:textId="77777777" w:rsidR="007E0D25" w:rsidRDefault="007E0D25" w:rsidP="007E0D25">
      <w:pPr>
        <w:pStyle w:val="BodyText"/>
        <w:spacing w:after="0"/>
      </w:pPr>
    </w:p>
    <w:p w14:paraId="663E08C2" w14:textId="3E08663D" w:rsidR="00B52EFA" w:rsidRDefault="005C58F1" w:rsidP="008B68AA">
      <w:pPr>
        <w:pStyle w:val="BodyText"/>
        <w:numPr>
          <w:ilvl w:val="0"/>
          <w:numId w:val="21"/>
        </w:numPr>
        <w:spacing w:after="0"/>
        <w:ind w:left="0" w:firstLine="0"/>
      </w:pPr>
      <w:r w:rsidRPr="008733A6">
        <w:rPr>
          <w:b/>
        </w:rPr>
        <w:t>Conclusion 3 (</w:t>
      </w:r>
      <w:r w:rsidRPr="008733A6">
        <w:rPr>
          <w:b/>
          <w:i/>
        </w:rPr>
        <w:t>Ref:</w:t>
      </w:r>
      <w:r>
        <w:rPr>
          <w:b/>
          <w:i/>
        </w:rPr>
        <w:t xml:space="preserve"> </w:t>
      </w:r>
      <w:r w:rsidR="00C52F90">
        <w:rPr>
          <w:b/>
          <w:i/>
        </w:rPr>
        <w:t xml:space="preserve"> </w:t>
      </w:r>
      <w:r>
        <w:rPr>
          <w:b/>
          <w:i/>
        </w:rPr>
        <w:t xml:space="preserve">Findings </w:t>
      </w:r>
      <w:r w:rsidR="00912257">
        <w:rPr>
          <w:b/>
          <w:i/>
        </w:rPr>
        <w:t>12</w:t>
      </w:r>
      <w:r w:rsidR="00717204">
        <w:rPr>
          <w:b/>
          <w:i/>
        </w:rPr>
        <w:t>-1</w:t>
      </w:r>
      <w:r w:rsidR="00912257">
        <w:rPr>
          <w:b/>
          <w:i/>
        </w:rPr>
        <w:t>8</w:t>
      </w:r>
      <w:r w:rsidRPr="008733A6">
        <w:rPr>
          <w:b/>
        </w:rPr>
        <w:t>)</w:t>
      </w:r>
      <w:r w:rsidR="00434059">
        <w:t xml:space="preserve">. </w:t>
      </w:r>
      <w:r w:rsidR="008B68AA">
        <w:t xml:space="preserve"> </w:t>
      </w:r>
      <w:r w:rsidR="005E7422">
        <w:t xml:space="preserve">The </w:t>
      </w:r>
      <w:r w:rsidR="00717204">
        <w:t>likelihood of success for</w:t>
      </w:r>
      <w:r w:rsidR="002B33A0">
        <w:t xml:space="preserve"> the</w:t>
      </w:r>
      <w:r w:rsidR="00717204">
        <w:t xml:space="preserve"> project’s objectives will depend upon</w:t>
      </w:r>
      <w:r w:rsidR="00004FCB">
        <w:t xml:space="preserve"> </w:t>
      </w:r>
      <w:proofErr w:type="gramStart"/>
      <w:r w:rsidR="00004FCB">
        <w:t>a number of</w:t>
      </w:r>
      <w:proofErr w:type="gramEnd"/>
      <w:r w:rsidR="00004FCB">
        <w:t xml:space="preserve"> aspects</w:t>
      </w:r>
      <w:r w:rsidR="00434059">
        <w:t xml:space="preserve">. </w:t>
      </w:r>
      <w:r w:rsidR="008B68AA">
        <w:t xml:space="preserve"> </w:t>
      </w:r>
      <w:r w:rsidR="00004FCB">
        <w:t xml:space="preserve">Firstly, the beneficiary associations </w:t>
      </w:r>
      <w:r w:rsidR="00B9572B">
        <w:t xml:space="preserve">must have the </w:t>
      </w:r>
      <w:r w:rsidR="00004FCB">
        <w:t>capacity to use and manage the collective mark</w:t>
      </w:r>
      <w:r w:rsidR="00434059">
        <w:t xml:space="preserve">. </w:t>
      </w:r>
      <w:r w:rsidR="008B68AA">
        <w:t xml:space="preserve"> </w:t>
      </w:r>
      <w:r w:rsidR="00004FCB">
        <w:t xml:space="preserve">Secondly, the beneficiary association </w:t>
      </w:r>
      <w:r w:rsidR="00B9572B">
        <w:t>must have the capacity and support to promote</w:t>
      </w:r>
      <w:r w:rsidR="00004FCB">
        <w:t xml:space="preserve"> and market</w:t>
      </w:r>
      <w:r w:rsidR="00B9572B">
        <w:t xml:space="preserve"> </w:t>
      </w:r>
      <w:r w:rsidR="00004FCB">
        <w:t>their products under the collective mark</w:t>
      </w:r>
      <w:r w:rsidR="00434059">
        <w:t xml:space="preserve">. </w:t>
      </w:r>
      <w:r w:rsidR="008B68AA">
        <w:t xml:space="preserve"> </w:t>
      </w:r>
      <w:r w:rsidR="00004FCB">
        <w:t>Economic development actors were well placed to provide this support</w:t>
      </w:r>
      <w:r w:rsidR="00434059">
        <w:t xml:space="preserve">. </w:t>
      </w:r>
      <w:r w:rsidR="008B68AA">
        <w:t xml:space="preserve"> </w:t>
      </w:r>
      <w:r w:rsidR="00C60408">
        <w:t>Finally, the national IP offices needed to have plans in place to build on the project’s benefits to promote further the use of collective marks in their countries</w:t>
      </w:r>
      <w:r w:rsidR="00434059">
        <w:t xml:space="preserve">. </w:t>
      </w:r>
      <w:r w:rsidR="008B68AA">
        <w:t xml:space="preserve"> </w:t>
      </w:r>
      <w:r w:rsidR="002B33A0">
        <w:t xml:space="preserve">In all these areas, the beneficiary countries still have progress to be made and would need further support from Member States, </w:t>
      </w:r>
      <w:proofErr w:type="gramStart"/>
      <w:r w:rsidR="002B33A0">
        <w:t>WIPO</w:t>
      </w:r>
      <w:proofErr w:type="gramEnd"/>
      <w:r w:rsidR="002B33A0">
        <w:t xml:space="preserve"> and in-country stakeholders</w:t>
      </w:r>
      <w:r w:rsidR="00B9572B">
        <w:t>, as reflected in the following recommendations</w:t>
      </w:r>
      <w:r w:rsidR="00434059">
        <w:t xml:space="preserve">. </w:t>
      </w:r>
    </w:p>
    <w:p w14:paraId="34DA8C4C" w14:textId="77777777" w:rsidR="00514100" w:rsidRDefault="00514100" w:rsidP="007E0D25">
      <w:pPr>
        <w:pStyle w:val="BodyText"/>
        <w:spacing w:after="0"/>
      </w:pPr>
    </w:p>
    <w:p w14:paraId="0AE1BF58" w14:textId="3DCD563C" w:rsidR="002B33A0" w:rsidRDefault="005C58F1" w:rsidP="008B68AA">
      <w:pPr>
        <w:pStyle w:val="BodyText"/>
        <w:numPr>
          <w:ilvl w:val="0"/>
          <w:numId w:val="21"/>
        </w:numPr>
        <w:spacing w:after="0"/>
        <w:ind w:left="0" w:firstLine="0"/>
      </w:pPr>
      <w:r w:rsidRPr="00353FDF">
        <w:rPr>
          <w:b/>
        </w:rPr>
        <w:t xml:space="preserve">Recommendation 1 </w:t>
      </w:r>
      <w:r w:rsidRPr="00353FDF">
        <w:rPr>
          <w:b/>
          <w:i/>
        </w:rPr>
        <w:t xml:space="preserve">(Ref: </w:t>
      </w:r>
      <w:r w:rsidR="00C52F90">
        <w:rPr>
          <w:b/>
          <w:i/>
        </w:rPr>
        <w:t xml:space="preserve"> </w:t>
      </w:r>
      <w:r w:rsidRPr="00353FDF">
        <w:rPr>
          <w:b/>
          <w:i/>
        </w:rPr>
        <w:t xml:space="preserve">Conclusion </w:t>
      </w:r>
      <w:r w:rsidR="00C60408">
        <w:rPr>
          <w:b/>
          <w:i/>
        </w:rPr>
        <w:t>2</w:t>
      </w:r>
      <w:r w:rsidRPr="00353FDF">
        <w:rPr>
          <w:b/>
          <w:i/>
        </w:rPr>
        <w:t xml:space="preserve">, Findings </w:t>
      </w:r>
      <w:r w:rsidR="00A47353">
        <w:rPr>
          <w:b/>
          <w:i/>
        </w:rPr>
        <w:t>1-</w:t>
      </w:r>
      <w:r w:rsidR="00C60408">
        <w:rPr>
          <w:b/>
          <w:i/>
        </w:rPr>
        <w:t>6</w:t>
      </w:r>
      <w:r w:rsidRPr="00353FDF">
        <w:rPr>
          <w:b/>
          <w:i/>
        </w:rPr>
        <w:t>)</w:t>
      </w:r>
      <w:r w:rsidR="00434059">
        <w:rPr>
          <w:i/>
        </w:rPr>
        <w:t xml:space="preserve">. </w:t>
      </w:r>
      <w:r w:rsidR="008B68AA">
        <w:rPr>
          <w:i/>
        </w:rPr>
        <w:t xml:space="preserve"> </w:t>
      </w:r>
      <w:r w:rsidR="00C60408">
        <w:t>To facilitate the implementation of future DA projects, DACD are encouraged to discuss with the Central Services Division an adaption of purchasing and procurement rules for country-level activities, w</w:t>
      </w:r>
      <w:r w:rsidR="002B33A0">
        <w:t>hile respecting WIPO’s existing oversight</w:t>
      </w:r>
      <w:r w:rsidR="00B9572B">
        <w:t xml:space="preserve"> and regulatory</w:t>
      </w:r>
      <w:r w:rsidR="002B33A0">
        <w:t xml:space="preserve"> </w:t>
      </w:r>
      <w:r w:rsidR="00B9572B">
        <w:t>framework.</w:t>
      </w:r>
    </w:p>
    <w:p w14:paraId="11764792" w14:textId="77777777" w:rsidR="002B33A0" w:rsidRDefault="002B33A0" w:rsidP="007E0D25"/>
    <w:p w14:paraId="1DB70149" w14:textId="1AB7BDCA" w:rsidR="009B3EF1" w:rsidRDefault="002B33A0" w:rsidP="008B68AA">
      <w:pPr>
        <w:pStyle w:val="BodyText"/>
        <w:numPr>
          <w:ilvl w:val="0"/>
          <w:numId w:val="21"/>
        </w:numPr>
        <w:spacing w:after="0"/>
        <w:ind w:left="0" w:firstLine="0"/>
      </w:pPr>
      <w:r w:rsidRPr="00353FDF">
        <w:rPr>
          <w:b/>
        </w:rPr>
        <w:t xml:space="preserve">Recommendation </w:t>
      </w:r>
      <w:r>
        <w:rPr>
          <w:b/>
        </w:rPr>
        <w:t>2</w:t>
      </w:r>
      <w:r w:rsidRPr="00353FDF">
        <w:rPr>
          <w:b/>
        </w:rPr>
        <w:t xml:space="preserve"> </w:t>
      </w:r>
      <w:r w:rsidRPr="00353FDF">
        <w:rPr>
          <w:b/>
          <w:i/>
        </w:rPr>
        <w:t>(Ref:</w:t>
      </w:r>
      <w:r w:rsidR="00C52F90">
        <w:rPr>
          <w:b/>
          <w:i/>
        </w:rPr>
        <w:t xml:space="preserve"> </w:t>
      </w:r>
      <w:r w:rsidRPr="00353FDF">
        <w:rPr>
          <w:b/>
          <w:i/>
        </w:rPr>
        <w:t xml:space="preserve"> Conclusion </w:t>
      </w:r>
      <w:r>
        <w:rPr>
          <w:b/>
          <w:i/>
        </w:rPr>
        <w:t>2</w:t>
      </w:r>
      <w:r w:rsidRPr="00353FDF">
        <w:rPr>
          <w:b/>
          <w:i/>
        </w:rPr>
        <w:t xml:space="preserve">, Findings </w:t>
      </w:r>
      <w:r>
        <w:rPr>
          <w:b/>
          <w:i/>
        </w:rPr>
        <w:t>1-6</w:t>
      </w:r>
      <w:r w:rsidRPr="00353FDF">
        <w:rPr>
          <w:b/>
          <w:i/>
        </w:rPr>
        <w:t>)</w:t>
      </w:r>
      <w:r w:rsidR="00434059">
        <w:rPr>
          <w:i/>
        </w:rPr>
        <w:t>.</w:t>
      </w:r>
      <w:r w:rsidR="008B68AA">
        <w:rPr>
          <w:i/>
        </w:rPr>
        <w:t xml:space="preserve"> </w:t>
      </w:r>
      <w:r w:rsidR="00434059">
        <w:rPr>
          <w:i/>
        </w:rPr>
        <w:t xml:space="preserve"> </w:t>
      </w:r>
      <w:r>
        <w:t xml:space="preserve">For future similar </w:t>
      </w:r>
      <w:r w:rsidR="002267CA">
        <w:t xml:space="preserve">DA </w:t>
      </w:r>
      <w:r>
        <w:t>projects with multiple country implementation, Member States</w:t>
      </w:r>
      <w:r w:rsidR="00A830AB">
        <w:t xml:space="preserve"> </w:t>
      </w:r>
      <w:r>
        <w:t xml:space="preserve">and </w:t>
      </w:r>
      <w:r w:rsidR="0030500C">
        <w:t xml:space="preserve">the </w:t>
      </w:r>
      <w:r>
        <w:t xml:space="preserve">DACD are encouraged within their project design to include (and budget) activities </w:t>
      </w:r>
      <w:r w:rsidRPr="007163B8">
        <w:t>for learning-exchanges between country-level stakeholders, such as facilitated online webinars between countries</w:t>
      </w:r>
      <w:r w:rsidR="00434059">
        <w:t xml:space="preserve">. </w:t>
      </w:r>
      <w:r w:rsidR="00031360">
        <w:br/>
      </w:r>
    </w:p>
    <w:p w14:paraId="1640E95D" w14:textId="687CA841" w:rsidR="00DD2178" w:rsidRDefault="00A14328" w:rsidP="008B68AA">
      <w:pPr>
        <w:pStyle w:val="BodyText"/>
        <w:numPr>
          <w:ilvl w:val="0"/>
          <w:numId w:val="21"/>
        </w:numPr>
        <w:spacing w:after="0"/>
        <w:ind w:left="0" w:firstLine="0"/>
      </w:pPr>
      <w:r w:rsidRPr="006B7CC2">
        <w:rPr>
          <w:b/>
        </w:rPr>
        <w:t xml:space="preserve">Recommendation </w:t>
      </w:r>
      <w:r w:rsidR="002267CA">
        <w:rPr>
          <w:b/>
        </w:rPr>
        <w:t>3</w:t>
      </w:r>
      <w:r w:rsidRPr="006B7CC2">
        <w:rPr>
          <w:b/>
        </w:rPr>
        <w:t xml:space="preserve"> </w:t>
      </w:r>
      <w:r>
        <w:rPr>
          <w:b/>
          <w:i/>
        </w:rPr>
        <w:t xml:space="preserve">(Ref: </w:t>
      </w:r>
      <w:r w:rsidR="00C52F90">
        <w:rPr>
          <w:b/>
          <w:i/>
        </w:rPr>
        <w:t xml:space="preserve"> </w:t>
      </w:r>
      <w:r>
        <w:rPr>
          <w:b/>
          <w:i/>
        </w:rPr>
        <w:t xml:space="preserve">Conclusion </w:t>
      </w:r>
      <w:r w:rsidR="002267CA">
        <w:rPr>
          <w:b/>
          <w:i/>
        </w:rPr>
        <w:t>1</w:t>
      </w:r>
      <w:r w:rsidR="0092178E">
        <w:rPr>
          <w:b/>
          <w:i/>
        </w:rPr>
        <w:t xml:space="preserve"> </w:t>
      </w:r>
      <w:r w:rsidR="00C52F90">
        <w:rPr>
          <w:b/>
          <w:i/>
        </w:rPr>
        <w:t>and</w:t>
      </w:r>
      <w:r w:rsidR="0092178E">
        <w:rPr>
          <w:b/>
          <w:i/>
        </w:rPr>
        <w:t xml:space="preserve"> 3</w:t>
      </w:r>
      <w:r>
        <w:rPr>
          <w:b/>
          <w:i/>
        </w:rPr>
        <w:t xml:space="preserve">, Findings </w:t>
      </w:r>
      <w:r w:rsidR="002267CA">
        <w:rPr>
          <w:b/>
          <w:i/>
        </w:rPr>
        <w:t>1</w:t>
      </w:r>
      <w:r>
        <w:rPr>
          <w:b/>
          <w:i/>
        </w:rPr>
        <w:t>-1</w:t>
      </w:r>
      <w:r w:rsidR="002267CA">
        <w:rPr>
          <w:b/>
          <w:i/>
        </w:rPr>
        <w:t>8</w:t>
      </w:r>
      <w:r w:rsidRPr="006B7CC2">
        <w:rPr>
          <w:b/>
        </w:rPr>
        <w:t>)</w:t>
      </w:r>
      <w:r w:rsidR="00434059">
        <w:t xml:space="preserve">. </w:t>
      </w:r>
      <w:r w:rsidR="008B68AA">
        <w:t xml:space="preserve"> </w:t>
      </w:r>
      <w:r w:rsidR="002267CA">
        <w:t xml:space="preserve">For future DA projects that aim to </w:t>
      </w:r>
      <w:r w:rsidR="0092178E">
        <w:t xml:space="preserve">contribute to </w:t>
      </w:r>
      <w:r w:rsidR="002267CA">
        <w:t>economic</w:t>
      </w:r>
      <w:r w:rsidR="0092178E">
        <w:t xml:space="preserve"> </w:t>
      </w:r>
      <w:r w:rsidR="002267CA">
        <w:t>development at the country-level,</w:t>
      </w:r>
      <w:r w:rsidR="00307561">
        <w:t xml:space="preserve"> Member States and</w:t>
      </w:r>
      <w:r w:rsidR="002267CA">
        <w:t xml:space="preserve"> </w:t>
      </w:r>
      <w:r w:rsidR="0030500C">
        <w:t xml:space="preserve">the </w:t>
      </w:r>
      <w:r w:rsidR="0092178E">
        <w:t xml:space="preserve">DACD are encouraged to include </w:t>
      </w:r>
      <w:r w:rsidR="002267CA">
        <w:t xml:space="preserve">economic development actors </w:t>
      </w:r>
      <w:r w:rsidR="0092178E">
        <w:t xml:space="preserve">at the country (or provincial) level </w:t>
      </w:r>
      <w:r w:rsidR="002267CA">
        <w:t>within the project team (and stakeholders)</w:t>
      </w:r>
      <w:r w:rsidR="0092178E">
        <w:t xml:space="preserve"> and/or within the project design</w:t>
      </w:r>
      <w:r w:rsidR="00434059">
        <w:t xml:space="preserve">. </w:t>
      </w:r>
      <w:r w:rsidR="002267CA">
        <w:t xml:space="preserve"> </w:t>
      </w:r>
    </w:p>
    <w:p w14:paraId="0B6F8B69" w14:textId="77777777" w:rsidR="008B68AA" w:rsidRDefault="008B68AA" w:rsidP="008B68AA">
      <w:pPr>
        <w:pStyle w:val="BodyText"/>
        <w:spacing w:after="0"/>
      </w:pPr>
    </w:p>
    <w:p w14:paraId="508B0B1C" w14:textId="2B305F1B" w:rsidR="00CB30F1" w:rsidRPr="008B68AA" w:rsidRDefault="009B3EF1" w:rsidP="008B68AA">
      <w:pPr>
        <w:pStyle w:val="BodyText"/>
        <w:numPr>
          <w:ilvl w:val="0"/>
          <w:numId w:val="21"/>
        </w:numPr>
        <w:spacing w:after="0"/>
        <w:ind w:left="0" w:firstLine="0"/>
      </w:pPr>
      <w:r w:rsidRPr="008B68AA">
        <w:rPr>
          <w:b/>
        </w:rPr>
        <w:t xml:space="preserve">Recommendation </w:t>
      </w:r>
      <w:r w:rsidR="002267CA" w:rsidRPr="008B68AA">
        <w:rPr>
          <w:b/>
        </w:rPr>
        <w:t>4</w:t>
      </w:r>
      <w:r w:rsidRPr="008B68AA">
        <w:rPr>
          <w:b/>
        </w:rPr>
        <w:t xml:space="preserve"> </w:t>
      </w:r>
      <w:r w:rsidRPr="008B68AA">
        <w:rPr>
          <w:b/>
          <w:i/>
        </w:rPr>
        <w:t xml:space="preserve">(Ref: </w:t>
      </w:r>
      <w:r w:rsidR="00C52F90" w:rsidRPr="008B68AA">
        <w:rPr>
          <w:b/>
          <w:i/>
        </w:rPr>
        <w:t xml:space="preserve"> </w:t>
      </w:r>
      <w:r w:rsidRPr="008B68AA">
        <w:rPr>
          <w:b/>
          <w:i/>
        </w:rPr>
        <w:t xml:space="preserve">Conclusion </w:t>
      </w:r>
      <w:r w:rsidR="0092178E" w:rsidRPr="008B68AA">
        <w:rPr>
          <w:b/>
          <w:i/>
        </w:rPr>
        <w:t>3</w:t>
      </w:r>
      <w:r w:rsidRPr="008B68AA">
        <w:rPr>
          <w:b/>
          <w:i/>
        </w:rPr>
        <w:t xml:space="preserve">, Findings </w:t>
      </w:r>
      <w:r w:rsidR="0092178E" w:rsidRPr="008B68AA">
        <w:rPr>
          <w:b/>
          <w:i/>
        </w:rPr>
        <w:t>12</w:t>
      </w:r>
      <w:r w:rsidRPr="008B68AA">
        <w:rPr>
          <w:b/>
          <w:i/>
        </w:rPr>
        <w:t>-1</w:t>
      </w:r>
      <w:r w:rsidR="0092178E" w:rsidRPr="008B68AA">
        <w:rPr>
          <w:b/>
          <w:i/>
        </w:rPr>
        <w:t>8</w:t>
      </w:r>
      <w:r w:rsidRPr="008B68AA">
        <w:rPr>
          <w:b/>
        </w:rPr>
        <w:t>)</w:t>
      </w:r>
      <w:r w:rsidR="00434059">
        <w:t xml:space="preserve">. </w:t>
      </w:r>
      <w:r w:rsidR="00AF7279">
        <w:t xml:space="preserve"> </w:t>
      </w:r>
      <w:r w:rsidR="0092178E">
        <w:t xml:space="preserve">For future DA projects that aim to </w:t>
      </w:r>
      <w:r w:rsidR="00B9572B">
        <w:t xml:space="preserve">build the capacity of </w:t>
      </w:r>
      <w:r w:rsidR="0092178E">
        <w:t>local enterprises</w:t>
      </w:r>
      <w:r w:rsidR="00B9572B">
        <w:t xml:space="preserve">, </w:t>
      </w:r>
      <w:r w:rsidR="0092178E">
        <w:t xml:space="preserve">associations </w:t>
      </w:r>
      <w:r w:rsidR="00B9572B">
        <w:t>and/or</w:t>
      </w:r>
      <w:r w:rsidR="0092178E">
        <w:t xml:space="preserve"> national IP offices, Member </w:t>
      </w:r>
      <w:r w:rsidR="00B9572B">
        <w:t>S</w:t>
      </w:r>
      <w:r w:rsidR="0092178E">
        <w:t>tate</w:t>
      </w:r>
      <w:r w:rsidR="00B9572B">
        <w:t>s</w:t>
      </w:r>
      <w:r w:rsidR="0092178E">
        <w:t xml:space="preserve"> and the DACD are encouraged </w:t>
      </w:r>
      <w:r w:rsidR="0092178E" w:rsidRPr="007163B8">
        <w:t xml:space="preserve">to include in project proposals activities (and budgets) for hand-over and follow-up plans. </w:t>
      </w:r>
    </w:p>
    <w:p w14:paraId="4B1B0FF7" w14:textId="77777777" w:rsidR="007E0D25" w:rsidRPr="007163B8" w:rsidRDefault="007E0D25" w:rsidP="007E0D25">
      <w:pPr>
        <w:pStyle w:val="BodyText"/>
        <w:spacing w:after="0"/>
      </w:pPr>
    </w:p>
    <w:p w14:paraId="7C3C5F11" w14:textId="07FAB920" w:rsidR="00CF6C5D" w:rsidRDefault="005C58F1" w:rsidP="008B68AA">
      <w:pPr>
        <w:pStyle w:val="BodyText"/>
        <w:numPr>
          <w:ilvl w:val="0"/>
          <w:numId w:val="21"/>
        </w:numPr>
        <w:spacing w:after="0"/>
        <w:ind w:left="0" w:firstLine="0"/>
      </w:pPr>
      <w:r w:rsidRPr="006B7CC2">
        <w:rPr>
          <w:b/>
        </w:rPr>
        <w:t xml:space="preserve">Recommendation </w:t>
      </w:r>
      <w:r w:rsidR="0092178E">
        <w:rPr>
          <w:b/>
        </w:rPr>
        <w:t>5</w:t>
      </w:r>
      <w:r w:rsidRPr="006B7CC2">
        <w:rPr>
          <w:b/>
        </w:rPr>
        <w:t xml:space="preserve"> </w:t>
      </w:r>
      <w:r>
        <w:rPr>
          <w:b/>
          <w:i/>
        </w:rPr>
        <w:t xml:space="preserve">(Ref: </w:t>
      </w:r>
      <w:r w:rsidR="00C52F90">
        <w:rPr>
          <w:b/>
          <w:i/>
        </w:rPr>
        <w:t xml:space="preserve"> </w:t>
      </w:r>
      <w:r>
        <w:rPr>
          <w:b/>
          <w:i/>
        </w:rPr>
        <w:t xml:space="preserve">Conclusion </w:t>
      </w:r>
      <w:r w:rsidR="0092178E">
        <w:rPr>
          <w:b/>
          <w:i/>
        </w:rPr>
        <w:t>3</w:t>
      </w:r>
      <w:r>
        <w:rPr>
          <w:b/>
          <w:i/>
        </w:rPr>
        <w:t xml:space="preserve">, Findings </w:t>
      </w:r>
      <w:r w:rsidR="0092178E">
        <w:rPr>
          <w:b/>
          <w:i/>
        </w:rPr>
        <w:t>12</w:t>
      </w:r>
      <w:r>
        <w:rPr>
          <w:b/>
          <w:i/>
        </w:rPr>
        <w:t>-</w:t>
      </w:r>
      <w:r w:rsidR="009B3EF1">
        <w:rPr>
          <w:b/>
          <w:i/>
        </w:rPr>
        <w:t>1</w:t>
      </w:r>
      <w:r w:rsidR="0092178E">
        <w:rPr>
          <w:b/>
          <w:i/>
        </w:rPr>
        <w:t>8</w:t>
      </w:r>
      <w:r w:rsidRPr="006B7CC2">
        <w:rPr>
          <w:b/>
        </w:rPr>
        <w:t>)</w:t>
      </w:r>
      <w:r w:rsidR="00434059">
        <w:t xml:space="preserve">. </w:t>
      </w:r>
      <w:r w:rsidR="008B68AA">
        <w:t xml:space="preserve"> </w:t>
      </w:r>
      <w:r w:rsidR="0092178E">
        <w:t>To ensure that the benefits of the project are sustained, it is suggested t</w:t>
      </w:r>
      <w:r w:rsidR="008B2211">
        <w:t>hat</w:t>
      </w:r>
      <w:r w:rsidR="0092178E">
        <w:t xml:space="preserve"> </w:t>
      </w:r>
      <w:r w:rsidR="008B2211">
        <w:t>the beneficiary countries</w:t>
      </w:r>
      <w:r w:rsidR="0092178E">
        <w:t xml:space="preserve"> consider </w:t>
      </w:r>
      <w:r w:rsidR="007E0D25">
        <w:t xml:space="preserve">and undertake </w:t>
      </w:r>
      <w:r w:rsidR="0092178E">
        <w:t xml:space="preserve">a targeted </w:t>
      </w:r>
      <w:r w:rsidR="007E0D25">
        <w:t>set of activities</w:t>
      </w:r>
      <w:r w:rsidR="0092178E">
        <w:t xml:space="preserve">, including the following proposed activities: </w:t>
      </w:r>
    </w:p>
    <w:p w14:paraId="7079836F" w14:textId="77777777" w:rsidR="007E0D25" w:rsidRDefault="007E0D25" w:rsidP="007E0D25">
      <w:pPr>
        <w:pStyle w:val="BodyText"/>
        <w:spacing w:after="0"/>
      </w:pPr>
    </w:p>
    <w:p w14:paraId="23D44103" w14:textId="58BC2FCC" w:rsidR="00677097" w:rsidRPr="007E0D25" w:rsidRDefault="00677097" w:rsidP="00CD2AFC">
      <w:pPr>
        <w:pStyle w:val="BodyText"/>
        <w:numPr>
          <w:ilvl w:val="0"/>
          <w:numId w:val="25"/>
        </w:numPr>
        <w:spacing w:after="0"/>
        <w:ind w:left="1440" w:hanging="720"/>
      </w:pPr>
      <w:r w:rsidRPr="00677097">
        <w:rPr>
          <w:bCs/>
        </w:rPr>
        <w:t xml:space="preserve">Support to the beneficiary associations in building their internal </w:t>
      </w:r>
      <w:r w:rsidR="00E9009A" w:rsidRPr="00677097">
        <w:rPr>
          <w:bCs/>
        </w:rPr>
        <w:t>organization</w:t>
      </w:r>
      <w:r w:rsidRPr="00677097">
        <w:rPr>
          <w:bCs/>
        </w:rPr>
        <w:t xml:space="preserve"> capacity to manage the collective mark</w:t>
      </w:r>
      <w:r>
        <w:rPr>
          <w:bCs/>
        </w:rPr>
        <w:t>s</w:t>
      </w:r>
      <w:r w:rsidRPr="00677097">
        <w:rPr>
          <w:bCs/>
        </w:rPr>
        <w:t xml:space="preserve">. </w:t>
      </w:r>
    </w:p>
    <w:p w14:paraId="607E3154" w14:textId="77777777" w:rsidR="007E0D25" w:rsidRPr="00B9572B" w:rsidRDefault="007E0D25" w:rsidP="00CD2AFC">
      <w:pPr>
        <w:pStyle w:val="BodyText"/>
        <w:spacing w:after="0"/>
        <w:ind w:left="1440" w:hanging="720"/>
      </w:pPr>
    </w:p>
    <w:p w14:paraId="76826247" w14:textId="6741C306" w:rsidR="00B9572B" w:rsidRPr="007E0D25" w:rsidRDefault="00B9572B" w:rsidP="00CD2AFC">
      <w:pPr>
        <w:pStyle w:val="BodyText"/>
        <w:numPr>
          <w:ilvl w:val="0"/>
          <w:numId w:val="25"/>
        </w:numPr>
        <w:spacing w:after="0"/>
        <w:ind w:left="1440" w:hanging="720"/>
      </w:pPr>
      <w:r>
        <w:rPr>
          <w:bCs/>
        </w:rPr>
        <w:t xml:space="preserve">Support to the beneficiary associations to strengthen their regulatory guidelines and specifications </w:t>
      </w:r>
      <w:proofErr w:type="gramStart"/>
      <w:r>
        <w:rPr>
          <w:bCs/>
        </w:rPr>
        <w:t>in order to</w:t>
      </w:r>
      <w:proofErr w:type="gramEnd"/>
      <w:r>
        <w:rPr>
          <w:bCs/>
        </w:rPr>
        <w:t xml:space="preserve"> be able to market a full range of products under the collective marks.</w:t>
      </w:r>
    </w:p>
    <w:p w14:paraId="5D809DBA" w14:textId="77777777" w:rsidR="007E0D25" w:rsidRPr="00677097" w:rsidRDefault="007E0D25" w:rsidP="00CD2AFC">
      <w:pPr>
        <w:pStyle w:val="BodyText"/>
        <w:spacing w:after="0"/>
        <w:ind w:left="1440" w:hanging="720"/>
      </w:pPr>
    </w:p>
    <w:p w14:paraId="01B10FBC" w14:textId="1FB8471B" w:rsidR="00412478" w:rsidRDefault="00677097" w:rsidP="00CD2AFC">
      <w:pPr>
        <w:pStyle w:val="BodyText"/>
        <w:numPr>
          <w:ilvl w:val="0"/>
          <w:numId w:val="25"/>
        </w:numPr>
        <w:spacing w:after="0"/>
        <w:ind w:left="1440" w:hanging="720"/>
      </w:pPr>
      <w:r>
        <w:t xml:space="preserve">Support to the beneficiary associations to market and promote products under the collective marks in collaboration with national (or provincial) economic development actors. </w:t>
      </w:r>
    </w:p>
    <w:p w14:paraId="78ED441A" w14:textId="77777777" w:rsidR="007E0D25" w:rsidRDefault="007E0D25" w:rsidP="00CD2AFC">
      <w:pPr>
        <w:pStyle w:val="BodyText"/>
        <w:spacing w:after="0"/>
        <w:ind w:left="1440" w:hanging="720"/>
      </w:pPr>
    </w:p>
    <w:p w14:paraId="5945E854" w14:textId="7C4FE9EF" w:rsidR="00677097" w:rsidRDefault="00677097" w:rsidP="00CD2AFC">
      <w:pPr>
        <w:pStyle w:val="BodyText"/>
        <w:numPr>
          <w:ilvl w:val="0"/>
          <w:numId w:val="25"/>
        </w:numPr>
        <w:spacing w:after="0"/>
        <w:ind w:left="1440" w:hanging="720"/>
      </w:pPr>
      <w:r>
        <w:t>Support to the national IP offices to put in place action plans / road maps to actively promote the use of collective marks in their countries</w:t>
      </w:r>
      <w:r w:rsidR="009B10BE">
        <w:t>.</w:t>
      </w:r>
      <w:r>
        <w:t xml:space="preserve"> </w:t>
      </w:r>
    </w:p>
    <w:p w14:paraId="0A9CC385" w14:textId="77777777" w:rsidR="007E0D25" w:rsidRDefault="007E0D25" w:rsidP="00CD2AFC">
      <w:pPr>
        <w:pStyle w:val="BodyText"/>
        <w:spacing w:after="0"/>
        <w:ind w:left="1440" w:hanging="720"/>
      </w:pPr>
    </w:p>
    <w:p w14:paraId="030BFC46" w14:textId="770BD9F5" w:rsidR="00677097" w:rsidRDefault="00677097" w:rsidP="00CD2AFC">
      <w:pPr>
        <w:pStyle w:val="BodyText"/>
        <w:numPr>
          <w:ilvl w:val="0"/>
          <w:numId w:val="25"/>
        </w:numPr>
        <w:spacing w:after="0"/>
        <w:ind w:left="1440" w:hanging="720"/>
      </w:pPr>
      <w:r>
        <w:t xml:space="preserve">Include the monitoring of the outcome indicator of the original </w:t>
      </w:r>
      <w:r w:rsidR="00B9572B">
        <w:t>p</w:t>
      </w:r>
      <w:r>
        <w:t xml:space="preserve">roject </w:t>
      </w:r>
      <w:r w:rsidR="00B9572B">
        <w:t>p</w:t>
      </w:r>
      <w:r>
        <w:t>roposal (</w:t>
      </w:r>
      <w:proofErr w:type="gramStart"/>
      <w:r>
        <w:t>i.e.</w:t>
      </w:r>
      <w:proofErr w:type="gramEnd"/>
      <w:r>
        <w:t xml:space="preserve"> </w:t>
      </w:r>
      <w:r w:rsidRPr="00E74AE5">
        <w:rPr>
          <w:i/>
          <w:iCs/>
        </w:rPr>
        <w:t>Additional collective marks have been registered within five years from the completion of the project in each beneficiary country</w:t>
      </w:r>
      <w:r>
        <w:t>).</w:t>
      </w:r>
    </w:p>
    <w:p w14:paraId="19811F40" w14:textId="2E23DFCF" w:rsidR="00CF6C5D" w:rsidRPr="000C68C0" w:rsidRDefault="00CF6C5D" w:rsidP="009B10BE">
      <w:pPr>
        <w:pStyle w:val="Endofdocument"/>
        <w:spacing w:before="720" w:line="240" w:lineRule="auto"/>
        <w:ind w:left="5083"/>
        <w:rPr>
          <w:lang w:val="en-AU"/>
        </w:rPr>
      </w:pPr>
      <w:r>
        <w:t>[Appendix I follows]</w:t>
      </w:r>
    </w:p>
    <w:p w14:paraId="09988EA1" w14:textId="77777777" w:rsidR="00CF6C5D" w:rsidRDefault="00CF6C5D" w:rsidP="00FB6E4B">
      <w:pPr>
        <w:pStyle w:val="Endofdocument"/>
        <w:ind w:left="5080"/>
        <w:sectPr w:rsidR="00CF6C5D" w:rsidSect="00852FB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p>
    <w:p w14:paraId="0A511C9B" w14:textId="77777777" w:rsidR="00FB6E4B" w:rsidRPr="00C01E7C" w:rsidRDefault="00150FAF" w:rsidP="00915F20">
      <w:pPr>
        <w:pStyle w:val="Heading1"/>
        <w:rPr>
          <w:lang w:val="en-GB"/>
        </w:rPr>
      </w:pPr>
      <w:bookmarkStart w:id="61" w:name="_Toc336032075"/>
      <w:bookmarkStart w:id="62" w:name="_Toc18392483"/>
      <w:r>
        <w:t>Appendix I</w:t>
      </w:r>
      <w:r w:rsidR="00FB6E4B" w:rsidRPr="00C01E7C">
        <w:t xml:space="preserve">: </w:t>
      </w:r>
      <w:r w:rsidR="00DF0B51">
        <w:t xml:space="preserve"> </w:t>
      </w:r>
      <w:r w:rsidR="00FB6E4B" w:rsidRPr="00C01E7C">
        <w:t>Persons interviewed/consulted</w:t>
      </w:r>
      <w:bookmarkEnd w:id="61"/>
      <w:bookmarkEnd w:id="62"/>
    </w:p>
    <w:p w14:paraId="64C312AA" w14:textId="77777777" w:rsidR="00FB6E4B" w:rsidRPr="00F01E3D" w:rsidRDefault="00FB6E4B" w:rsidP="00FB6E4B">
      <w:pPr>
        <w:rPr>
          <w:szCs w:val="22"/>
          <w:lang w:val="en-GB"/>
        </w:rPr>
      </w:pPr>
    </w:p>
    <w:p w14:paraId="2AAFF1FB" w14:textId="77777777" w:rsidR="00FB6E4B" w:rsidRPr="00A922EB" w:rsidRDefault="00DF0B51" w:rsidP="00FB6E4B">
      <w:pPr>
        <w:rPr>
          <w:b/>
          <w:szCs w:val="22"/>
        </w:rPr>
      </w:pPr>
      <w:r>
        <w:rPr>
          <w:b/>
          <w:szCs w:val="22"/>
        </w:rPr>
        <w:t>WIPO S</w:t>
      </w:r>
      <w:r w:rsidR="00FB6E4B" w:rsidRPr="00A922EB">
        <w:rPr>
          <w:b/>
          <w:szCs w:val="22"/>
        </w:rPr>
        <w:t xml:space="preserve">taff: </w:t>
      </w:r>
    </w:p>
    <w:p w14:paraId="3AE2E514" w14:textId="77777777" w:rsidR="00554AEE" w:rsidRDefault="00554AEE" w:rsidP="00554AEE"/>
    <w:p w14:paraId="7D41C905" w14:textId="77777777" w:rsidR="007E0D25" w:rsidRPr="007E0D25" w:rsidRDefault="007E0D25" w:rsidP="007E0D25">
      <w:pPr>
        <w:rPr>
          <w:szCs w:val="22"/>
        </w:rPr>
      </w:pPr>
      <w:r w:rsidRPr="007E0D25">
        <w:rPr>
          <w:szCs w:val="22"/>
        </w:rPr>
        <w:t xml:space="preserve">Mr. Andrew Ong, Director, Division for </w:t>
      </w:r>
      <w:proofErr w:type="gramStart"/>
      <w:r w:rsidRPr="007E0D25">
        <w:rPr>
          <w:szCs w:val="22"/>
        </w:rPr>
        <w:t>Asia</w:t>
      </w:r>
      <w:proofErr w:type="gramEnd"/>
      <w:r w:rsidRPr="007E0D25">
        <w:rPr>
          <w:szCs w:val="22"/>
        </w:rPr>
        <w:t xml:space="preserve"> and the Pacific, RNDS</w:t>
      </w:r>
    </w:p>
    <w:p w14:paraId="5FC9B79B" w14:textId="77777777" w:rsidR="007E0D25" w:rsidRPr="007E0D25" w:rsidRDefault="007E0D25" w:rsidP="007E0D25">
      <w:pPr>
        <w:rPr>
          <w:szCs w:val="22"/>
        </w:rPr>
      </w:pPr>
    </w:p>
    <w:p w14:paraId="057076DB" w14:textId="77777777" w:rsidR="007E0D25" w:rsidRDefault="007E0D25" w:rsidP="007E0D25">
      <w:pPr>
        <w:rPr>
          <w:szCs w:val="22"/>
        </w:rPr>
      </w:pPr>
      <w:r w:rsidRPr="007E0D25">
        <w:rPr>
          <w:szCs w:val="22"/>
        </w:rPr>
        <w:t xml:space="preserve">Mr. </w:t>
      </w:r>
      <w:proofErr w:type="spellStart"/>
      <w:r w:rsidRPr="007E0D25">
        <w:rPr>
          <w:szCs w:val="22"/>
        </w:rPr>
        <w:t>M’Hamed</w:t>
      </w:r>
      <w:proofErr w:type="spellEnd"/>
      <w:r w:rsidRPr="007E0D25">
        <w:rPr>
          <w:szCs w:val="22"/>
        </w:rPr>
        <w:t xml:space="preserve"> Sidi El </w:t>
      </w:r>
      <w:proofErr w:type="spellStart"/>
      <w:r w:rsidRPr="007E0D25">
        <w:rPr>
          <w:szCs w:val="22"/>
        </w:rPr>
        <w:t>Khir</w:t>
      </w:r>
      <w:proofErr w:type="spellEnd"/>
      <w:r w:rsidRPr="007E0D25">
        <w:rPr>
          <w:szCs w:val="22"/>
        </w:rPr>
        <w:t>, Senior Counsellor, Division for Arab Countries, RNDS</w:t>
      </w:r>
    </w:p>
    <w:p w14:paraId="015CD191" w14:textId="77777777" w:rsidR="007E0D25" w:rsidRDefault="007E0D25" w:rsidP="007E0D25">
      <w:pPr>
        <w:rPr>
          <w:szCs w:val="22"/>
        </w:rPr>
      </w:pPr>
    </w:p>
    <w:p w14:paraId="76EBE320" w14:textId="6E289803" w:rsidR="008E3A39" w:rsidRDefault="00DA483B" w:rsidP="007E0D25">
      <w:pPr>
        <w:rPr>
          <w:szCs w:val="22"/>
        </w:rPr>
      </w:pPr>
      <w:r>
        <w:rPr>
          <w:szCs w:val="22"/>
        </w:rPr>
        <w:t xml:space="preserve">Mr. </w:t>
      </w:r>
      <w:r w:rsidR="008E3A39" w:rsidRPr="00FB7DC6">
        <w:rPr>
          <w:szCs w:val="22"/>
        </w:rPr>
        <w:t xml:space="preserve">Georges </w:t>
      </w:r>
      <w:proofErr w:type="spellStart"/>
      <w:r w:rsidR="008E3A39" w:rsidRPr="00FB7DC6">
        <w:rPr>
          <w:szCs w:val="22"/>
        </w:rPr>
        <w:t>Ghandour</w:t>
      </w:r>
      <w:proofErr w:type="spellEnd"/>
      <w:r w:rsidR="008E3A39" w:rsidRPr="00FB7DC6">
        <w:rPr>
          <w:szCs w:val="22"/>
        </w:rPr>
        <w:t xml:space="preserve">, Senior </w:t>
      </w:r>
      <w:r w:rsidR="007E0D25">
        <w:rPr>
          <w:szCs w:val="22"/>
        </w:rPr>
        <w:t>Counsellor</w:t>
      </w:r>
      <w:r w:rsidR="008E3A39" w:rsidRPr="00FB7DC6">
        <w:rPr>
          <w:szCs w:val="22"/>
        </w:rPr>
        <w:t xml:space="preserve">, </w:t>
      </w:r>
      <w:r w:rsidR="00677097">
        <w:rPr>
          <w:szCs w:val="22"/>
        </w:rPr>
        <w:t>DACD</w:t>
      </w:r>
      <w:r w:rsidR="008E3A39" w:rsidRPr="00FB7DC6">
        <w:rPr>
          <w:szCs w:val="22"/>
        </w:rPr>
        <w:t>,</w:t>
      </w:r>
      <w:r w:rsidR="00677097">
        <w:rPr>
          <w:szCs w:val="22"/>
        </w:rPr>
        <w:t xml:space="preserve"> RNDS</w:t>
      </w:r>
    </w:p>
    <w:p w14:paraId="0851CDFE" w14:textId="77777777" w:rsidR="00DA483B" w:rsidRDefault="00DA483B" w:rsidP="00FB7DC6">
      <w:pPr>
        <w:rPr>
          <w:szCs w:val="22"/>
        </w:rPr>
      </w:pPr>
    </w:p>
    <w:p w14:paraId="7C3B8970" w14:textId="77777777" w:rsidR="00DA483B" w:rsidRDefault="00DA483B" w:rsidP="00DA483B">
      <w:pPr>
        <w:rPr>
          <w:szCs w:val="22"/>
        </w:rPr>
      </w:pPr>
      <w:r w:rsidRPr="00DA483B">
        <w:rPr>
          <w:szCs w:val="22"/>
        </w:rPr>
        <w:t>Ms. Mary Hayrapetyan,</w:t>
      </w:r>
      <w:r>
        <w:rPr>
          <w:szCs w:val="22"/>
        </w:rPr>
        <w:t xml:space="preserve"> </w:t>
      </w:r>
      <w:r w:rsidRPr="00814D1D">
        <w:rPr>
          <w:szCs w:val="22"/>
          <w:lang w:val="en-GB"/>
        </w:rPr>
        <w:t xml:space="preserve">Associate Program Officer, </w:t>
      </w:r>
      <w:r>
        <w:rPr>
          <w:szCs w:val="22"/>
        </w:rPr>
        <w:t>DACD</w:t>
      </w:r>
      <w:r w:rsidRPr="00FB7DC6">
        <w:rPr>
          <w:szCs w:val="22"/>
        </w:rPr>
        <w:t>,</w:t>
      </w:r>
      <w:r>
        <w:rPr>
          <w:szCs w:val="22"/>
        </w:rPr>
        <w:t xml:space="preserve"> RNDS</w:t>
      </w:r>
    </w:p>
    <w:p w14:paraId="54C09919" w14:textId="7E2C9214" w:rsidR="00803157" w:rsidRPr="00FB7DC6" w:rsidRDefault="00803157" w:rsidP="00FB7DC6">
      <w:pPr>
        <w:rPr>
          <w:szCs w:val="22"/>
          <w:lang w:val="en-GB"/>
        </w:rPr>
      </w:pPr>
    </w:p>
    <w:p w14:paraId="79275678" w14:textId="3CCCE98D" w:rsidR="002A2A6D" w:rsidRDefault="00EC7302" w:rsidP="00FB7DC6">
      <w:pPr>
        <w:rPr>
          <w:szCs w:val="22"/>
        </w:rPr>
      </w:pPr>
      <w:r w:rsidRPr="00814D1D">
        <w:rPr>
          <w:lang w:val="en-GB"/>
        </w:rPr>
        <w:t>Ms. Christina Martinez Limon</w:t>
      </w:r>
      <w:r w:rsidR="002A2A6D" w:rsidRPr="00814D1D">
        <w:rPr>
          <w:lang w:val="en-GB"/>
        </w:rPr>
        <w:t>,</w:t>
      </w:r>
      <w:r w:rsidR="002A2A6D" w:rsidRPr="00814D1D">
        <w:rPr>
          <w:szCs w:val="22"/>
          <w:lang w:val="en-GB"/>
        </w:rPr>
        <w:t xml:space="preserve"> </w:t>
      </w:r>
      <w:r w:rsidR="00677097">
        <w:rPr>
          <w:szCs w:val="22"/>
          <w:lang w:val="en-GB"/>
        </w:rPr>
        <w:t xml:space="preserve">(former) </w:t>
      </w:r>
      <w:r w:rsidR="002A2A6D" w:rsidRPr="00814D1D">
        <w:rPr>
          <w:szCs w:val="22"/>
          <w:lang w:val="en-GB"/>
        </w:rPr>
        <w:t xml:space="preserve">Associate Program Officer, </w:t>
      </w:r>
      <w:r w:rsidR="00677097">
        <w:rPr>
          <w:szCs w:val="22"/>
        </w:rPr>
        <w:t>DACD</w:t>
      </w:r>
      <w:r w:rsidR="00677097" w:rsidRPr="00FB7DC6">
        <w:rPr>
          <w:szCs w:val="22"/>
        </w:rPr>
        <w:t>,</w:t>
      </w:r>
      <w:r w:rsidR="00677097">
        <w:rPr>
          <w:szCs w:val="22"/>
        </w:rPr>
        <w:t xml:space="preserve"> RNDS</w:t>
      </w:r>
    </w:p>
    <w:p w14:paraId="1E3719AE" w14:textId="77777777" w:rsidR="00DA483B" w:rsidRDefault="00DA483B" w:rsidP="00FB7DC6">
      <w:pPr>
        <w:rPr>
          <w:szCs w:val="22"/>
        </w:rPr>
      </w:pPr>
    </w:p>
    <w:p w14:paraId="2F5AD16D" w14:textId="3F14DB28" w:rsidR="00677097" w:rsidRPr="00FB7DC6" w:rsidRDefault="00DA483B" w:rsidP="00FB7DC6">
      <w:pPr>
        <w:rPr>
          <w:szCs w:val="22"/>
        </w:rPr>
      </w:pPr>
      <w:r w:rsidRPr="00DA483B">
        <w:rPr>
          <w:szCs w:val="22"/>
        </w:rPr>
        <w:t xml:space="preserve">Ms. Jessyca Van </w:t>
      </w:r>
      <w:proofErr w:type="spellStart"/>
      <w:r w:rsidRPr="00DA483B">
        <w:rPr>
          <w:szCs w:val="22"/>
        </w:rPr>
        <w:t>Weelde</w:t>
      </w:r>
      <w:proofErr w:type="spellEnd"/>
      <w:r>
        <w:rPr>
          <w:szCs w:val="22"/>
        </w:rPr>
        <w:t xml:space="preserve">, </w:t>
      </w:r>
      <w:r w:rsidRPr="00DA483B">
        <w:rPr>
          <w:szCs w:val="22"/>
        </w:rPr>
        <w:t>Associate Program Officer, DACD, RNDS</w:t>
      </w:r>
    </w:p>
    <w:p w14:paraId="77344901" w14:textId="77777777" w:rsidR="00554AEE" w:rsidRDefault="00554AEE" w:rsidP="00FB6E4B">
      <w:pPr>
        <w:rPr>
          <w:szCs w:val="22"/>
          <w:lang w:val="en-GB"/>
        </w:rPr>
      </w:pPr>
    </w:p>
    <w:p w14:paraId="0F342E0C" w14:textId="77777777" w:rsidR="007E0D25" w:rsidRPr="00803157" w:rsidRDefault="007E0D25" w:rsidP="00FB6E4B">
      <w:pPr>
        <w:rPr>
          <w:szCs w:val="22"/>
          <w:lang w:val="en-GB"/>
        </w:rPr>
      </w:pPr>
    </w:p>
    <w:p w14:paraId="2BE19C22" w14:textId="77777777" w:rsidR="00FB6E4B" w:rsidRPr="00356EA3" w:rsidRDefault="00FB6E4B" w:rsidP="00FB6E4B">
      <w:pPr>
        <w:rPr>
          <w:b/>
          <w:szCs w:val="22"/>
          <w:lang w:val="en-GB"/>
        </w:rPr>
      </w:pPr>
      <w:r w:rsidRPr="00356EA3">
        <w:rPr>
          <w:b/>
          <w:szCs w:val="22"/>
          <w:lang w:val="en-GB"/>
        </w:rPr>
        <w:t xml:space="preserve">External: </w:t>
      </w:r>
    </w:p>
    <w:p w14:paraId="4FCB98CB" w14:textId="77777777" w:rsidR="00FB7DC6" w:rsidRDefault="00FB7DC6" w:rsidP="00340711">
      <w:pPr>
        <w:rPr>
          <w:szCs w:val="22"/>
          <w:lang w:val="en-GB"/>
        </w:rPr>
      </w:pPr>
    </w:p>
    <w:p w14:paraId="012838D9" w14:textId="68EB855C" w:rsidR="009C4570" w:rsidRPr="009C4570" w:rsidRDefault="00B853CE" w:rsidP="009C4570">
      <w:pPr>
        <w:rPr>
          <w:b/>
          <w:bCs/>
          <w:i/>
          <w:iCs/>
          <w:szCs w:val="22"/>
          <w:lang w:val="en-GB"/>
        </w:rPr>
      </w:pPr>
      <w:proofErr w:type="spellStart"/>
      <w:r w:rsidRPr="00B853CE">
        <w:rPr>
          <w:b/>
          <w:bCs/>
          <w:i/>
          <w:iCs/>
          <w:szCs w:val="22"/>
          <w:lang w:val="en-GB"/>
        </w:rPr>
        <w:t>Plurinational</w:t>
      </w:r>
      <w:proofErr w:type="spellEnd"/>
      <w:r w:rsidRPr="00B853CE">
        <w:rPr>
          <w:b/>
          <w:bCs/>
          <w:i/>
          <w:iCs/>
          <w:szCs w:val="22"/>
          <w:lang w:val="en-GB"/>
        </w:rPr>
        <w:t xml:space="preserve"> State of Bolivia </w:t>
      </w:r>
    </w:p>
    <w:p w14:paraId="7F199001" w14:textId="77777777" w:rsidR="009C4570" w:rsidRPr="009C4570" w:rsidRDefault="009C4570" w:rsidP="009C4570">
      <w:pPr>
        <w:rPr>
          <w:szCs w:val="22"/>
          <w:lang w:val="en-GB"/>
        </w:rPr>
      </w:pPr>
    </w:p>
    <w:p w14:paraId="12B678E5" w14:textId="77777777" w:rsidR="009C4570" w:rsidRPr="009C4570" w:rsidRDefault="009C4570" w:rsidP="009C4570">
      <w:pPr>
        <w:rPr>
          <w:szCs w:val="22"/>
          <w:lang w:val="en-GB"/>
        </w:rPr>
      </w:pPr>
      <w:r w:rsidRPr="009C4570">
        <w:rPr>
          <w:szCs w:val="22"/>
          <w:lang w:val="en-GB"/>
        </w:rPr>
        <w:t>Ms. Patricia Gamboa, international consultant, Peru</w:t>
      </w:r>
    </w:p>
    <w:p w14:paraId="7D4891E0" w14:textId="77777777" w:rsidR="009C4570" w:rsidRPr="009C4570" w:rsidRDefault="009C4570" w:rsidP="009C4570">
      <w:pPr>
        <w:rPr>
          <w:szCs w:val="22"/>
          <w:lang w:val="en-GB"/>
        </w:rPr>
      </w:pPr>
    </w:p>
    <w:p w14:paraId="6411306A" w14:textId="214F1A7A" w:rsidR="009C4570" w:rsidRPr="009C4570" w:rsidRDefault="009C4570" w:rsidP="009C4570">
      <w:pPr>
        <w:rPr>
          <w:szCs w:val="22"/>
          <w:lang w:val="en-GB"/>
        </w:rPr>
      </w:pPr>
      <w:r w:rsidRPr="009C4570">
        <w:rPr>
          <w:szCs w:val="22"/>
          <w:lang w:val="en-GB"/>
        </w:rPr>
        <w:t xml:space="preserve">Ms. </w:t>
      </w:r>
      <w:proofErr w:type="spellStart"/>
      <w:r w:rsidRPr="009C4570">
        <w:rPr>
          <w:szCs w:val="22"/>
          <w:lang w:val="en-GB"/>
        </w:rPr>
        <w:t>Yhosimia</w:t>
      </w:r>
      <w:proofErr w:type="spellEnd"/>
      <w:r w:rsidRPr="009C4570">
        <w:rPr>
          <w:szCs w:val="22"/>
          <w:lang w:val="en-GB"/>
        </w:rPr>
        <w:t xml:space="preserve"> </w:t>
      </w:r>
      <w:proofErr w:type="spellStart"/>
      <w:r w:rsidRPr="009C4570">
        <w:rPr>
          <w:szCs w:val="22"/>
          <w:lang w:val="en-GB"/>
        </w:rPr>
        <w:t>Panique</w:t>
      </w:r>
      <w:proofErr w:type="spellEnd"/>
      <w:r w:rsidRPr="009C4570">
        <w:rPr>
          <w:szCs w:val="22"/>
          <w:lang w:val="en-GB"/>
        </w:rPr>
        <w:t xml:space="preserve">, national </w:t>
      </w:r>
      <w:r w:rsidR="00AB78F2">
        <w:rPr>
          <w:szCs w:val="22"/>
          <w:lang w:val="en-GB"/>
        </w:rPr>
        <w:t xml:space="preserve">legal </w:t>
      </w:r>
      <w:r w:rsidRPr="009C4570">
        <w:rPr>
          <w:szCs w:val="22"/>
          <w:lang w:val="en-GB"/>
        </w:rPr>
        <w:t xml:space="preserve">consultant  </w:t>
      </w:r>
    </w:p>
    <w:p w14:paraId="027B3E09" w14:textId="77777777" w:rsidR="009C4570" w:rsidRPr="009C4570" w:rsidRDefault="009C4570" w:rsidP="009C4570">
      <w:pPr>
        <w:rPr>
          <w:szCs w:val="22"/>
          <w:lang w:val="en-GB"/>
        </w:rPr>
      </w:pPr>
    </w:p>
    <w:p w14:paraId="4D07857C" w14:textId="2AB4BFEA" w:rsidR="009C4570" w:rsidRPr="009C4570" w:rsidRDefault="009C4570" w:rsidP="009C4570">
      <w:pPr>
        <w:rPr>
          <w:szCs w:val="22"/>
          <w:lang w:val="en-GB"/>
        </w:rPr>
      </w:pPr>
      <w:r w:rsidRPr="009C4570">
        <w:rPr>
          <w:szCs w:val="22"/>
          <w:lang w:val="en-GB"/>
        </w:rPr>
        <w:t xml:space="preserve">Mr. Nelson </w:t>
      </w:r>
      <w:proofErr w:type="spellStart"/>
      <w:r w:rsidRPr="009C4570">
        <w:rPr>
          <w:szCs w:val="22"/>
          <w:lang w:val="en-GB"/>
        </w:rPr>
        <w:t>Yarby</w:t>
      </w:r>
      <w:proofErr w:type="spellEnd"/>
      <w:r w:rsidRPr="009C4570">
        <w:rPr>
          <w:szCs w:val="22"/>
          <w:lang w:val="en-GB"/>
        </w:rPr>
        <w:t>, Director of the Regional Agricultural Service, EMPODERA program, Ministry of Rural Development and Land</w:t>
      </w:r>
    </w:p>
    <w:p w14:paraId="5F50FF9B" w14:textId="77777777" w:rsidR="007E0D25" w:rsidRPr="009C4570" w:rsidRDefault="007E0D25" w:rsidP="009C4570">
      <w:pPr>
        <w:rPr>
          <w:szCs w:val="22"/>
          <w:lang w:val="en-GB"/>
        </w:rPr>
      </w:pPr>
    </w:p>
    <w:p w14:paraId="60EFA831" w14:textId="77777777" w:rsidR="009C4570" w:rsidRPr="009C4570" w:rsidRDefault="009C4570" w:rsidP="009C4570">
      <w:pPr>
        <w:rPr>
          <w:b/>
          <w:bCs/>
          <w:i/>
          <w:iCs/>
          <w:szCs w:val="22"/>
          <w:lang w:val="en-GB"/>
        </w:rPr>
      </w:pPr>
      <w:r w:rsidRPr="009C4570">
        <w:rPr>
          <w:b/>
          <w:bCs/>
          <w:i/>
          <w:iCs/>
          <w:szCs w:val="22"/>
          <w:lang w:val="en-GB"/>
        </w:rPr>
        <w:t xml:space="preserve">Brazil </w:t>
      </w:r>
    </w:p>
    <w:p w14:paraId="651455BC" w14:textId="77777777" w:rsidR="009C4570" w:rsidRPr="009C4570" w:rsidRDefault="009C4570" w:rsidP="009C4570">
      <w:pPr>
        <w:rPr>
          <w:szCs w:val="22"/>
          <w:lang w:val="en-GB"/>
        </w:rPr>
      </w:pPr>
    </w:p>
    <w:p w14:paraId="582A09C0" w14:textId="77777777" w:rsidR="009C4570" w:rsidRPr="009C4570" w:rsidRDefault="009C4570" w:rsidP="009C4570">
      <w:pPr>
        <w:rPr>
          <w:szCs w:val="22"/>
          <w:lang w:val="en-GB"/>
        </w:rPr>
      </w:pPr>
      <w:r w:rsidRPr="009C4570">
        <w:rPr>
          <w:szCs w:val="22"/>
          <w:lang w:val="en-GB"/>
        </w:rPr>
        <w:t>Mr. Anselmo Buss, national consultant</w:t>
      </w:r>
    </w:p>
    <w:p w14:paraId="5FC4FFA3" w14:textId="77777777" w:rsidR="009C4570" w:rsidRPr="009C4570" w:rsidRDefault="009C4570" w:rsidP="009C4570">
      <w:pPr>
        <w:rPr>
          <w:szCs w:val="22"/>
          <w:lang w:val="en-GB"/>
        </w:rPr>
      </w:pPr>
    </w:p>
    <w:p w14:paraId="238FF7D8" w14:textId="052815DE" w:rsidR="009C4570" w:rsidRPr="009C4570" w:rsidRDefault="009C4570" w:rsidP="009C4570">
      <w:pPr>
        <w:rPr>
          <w:szCs w:val="22"/>
          <w:lang w:val="en-GB"/>
        </w:rPr>
      </w:pPr>
      <w:r w:rsidRPr="009C4570">
        <w:rPr>
          <w:szCs w:val="22"/>
          <w:lang w:val="en-GB"/>
        </w:rPr>
        <w:t xml:space="preserve">Mr. Henri Lopes, IP Division, Ministry of Foreign Affairs </w:t>
      </w:r>
    </w:p>
    <w:p w14:paraId="6523D4F6" w14:textId="77777777" w:rsidR="009C4570" w:rsidRPr="009C4570" w:rsidRDefault="009C4570" w:rsidP="009C4570">
      <w:pPr>
        <w:rPr>
          <w:szCs w:val="22"/>
          <w:lang w:val="en-GB"/>
        </w:rPr>
      </w:pPr>
    </w:p>
    <w:p w14:paraId="2AADC3C0" w14:textId="55D42803" w:rsidR="009C4570" w:rsidRPr="009C4570" w:rsidRDefault="009C4570" w:rsidP="009C4570">
      <w:pPr>
        <w:rPr>
          <w:szCs w:val="22"/>
          <w:lang w:val="en-GB"/>
        </w:rPr>
      </w:pPr>
      <w:r w:rsidRPr="009C4570">
        <w:rPr>
          <w:szCs w:val="22"/>
          <w:lang w:val="en-GB"/>
        </w:rPr>
        <w:t>Mr. Bruno Rohde, Coordination of International Relations, national IP Office (INPI)</w:t>
      </w:r>
    </w:p>
    <w:p w14:paraId="673B632E" w14:textId="77777777" w:rsidR="009C4570" w:rsidRPr="009C4570" w:rsidRDefault="009C4570" w:rsidP="009C4570">
      <w:pPr>
        <w:rPr>
          <w:szCs w:val="22"/>
          <w:lang w:val="en-GB"/>
        </w:rPr>
      </w:pPr>
      <w:r w:rsidRPr="009C4570">
        <w:rPr>
          <w:szCs w:val="22"/>
          <w:lang w:val="en-GB"/>
        </w:rPr>
        <w:t xml:space="preserve"> </w:t>
      </w:r>
    </w:p>
    <w:p w14:paraId="6C58D205" w14:textId="2725D069" w:rsidR="009C4570" w:rsidRPr="009C4570" w:rsidRDefault="009C4570" w:rsidP="009C4570">
      <w:pPr>
        <w:rPr>
          <w:szCs w:val="22"/>
          <w:lang w:val="en-GB"/>
        </w:rPr>
      </w:pPr>
      <w:r w:rsidRPr="009C4570">
        <w:rPr>
          <w:szCs w:val="22"/>
          <w:lang w:val="en-GB"/>
        </w:rPr>
        <w:t>Mr. Leonardo dos Reis Santana,</w:t>
      </w:r>
      <w:r>
        <w:rPr>
          <w:szCs w:val="22"/>
          <w:lang w:val="en-GB"/>
        </w:rPr>
        <w:t xml:space="preserve"> </w:t>
      </w:r>
      <w:r w:rsidRPr="009C4570">
        <w:rPr>
          <w:szCs w:val="22"/>
          <w:lang w:val="en-GB"/>
        </w:rPr>
        <w:t xml:space="preserve">IP Division, Ministry of Foreign Affairs </w:t>
      </w:r>
    </w:p>
    <w:p w14:paraId="5F83B438" w14:textId="77777777" w:rsidR="007E0D25" w:rsidRPr="009C4570" w:rsidRDefault="007E0D25" w:rsidP="009C4570">
      <w:pPr>
        <w:rPr>
          <w:szCs w:val="22"/>
          <w:lang w:val="en-GB"/>
        </w:rPr>
      </w:pPr>
    </w:p>
    <w:p w14:paraId="6642BC25" w14:textId="77777777" w:rsidR="009C4570" w:rsidRPr="009C4570" w:rsidRDefault="009C4570" w:rsidP="009C4570">
      <w:pPr>
        <w:rPr>
          <w:b/>
          <w:bCs/>
          <w:i/>
          <w:iCs/>
          <w:szCs w:val="22"/>
          <w:lang w:val="en-GB"/>
        </w:rPr>
      </w:pPr>
      <w:r w:rsidRPr="009C4570">
        <w:rPr>
          <w:b/>
          <w:bCs/>
          <w:i/>
          <w:iCs/>
          <w:szCs w:val="22"/>
          <w:lang w:val="en-GB"/>
        </w:rPr>
        <w:t xml:space="preserve">The Philippines </w:t>
      </w:r>
    </w:p>
    <w:p w14:paraId="2938C5D0" w14:textId="77777777" w:rsidR="009C4570" w:rsidRPr="009C4570" w:rsidRDefault="009C4570" w:rsidP="009C4570">
      <w:pPr>
        <w:rPr>
          <w:szCs w:val="22"/>
          <w:lang w:val="en-GB"/>
        </w:rPr>
      </w:pPr>
    </w:p>
    <w:p w14:paraId="02098566" w14:textId="2FEBCE42" w:rsidR="009C4570" w:rsidRPr="009C4570" w:rsidRDefault="009C4570" w:rsidP="009C4570">
      <w:pPr>
        <w:rPr>
          <w:szCs w:val="22"/>
          <w:lang w:val="en-GB"/>
        </w:rPr>
      </w:pPr>
      <w:r w:rsidRPr="009C4570">
        <w:rPr>
          <w:szCs w:val="22"/>
          <w:lang w:val="en-GB"/>
        </w:rPr>
        <w:t>Mr</w:t>
      </w:r>
      <w:r w:rsidR="000850D0">
        <w:rPr>
          <w:szCs w:val="22"/>
          <w:lang w:val="en-GB"/>
        </w:rPr>
        <w:t>.</w:t>
      </w:r>
      <w:r w:rsidRPr="009C4570">
        <w:rPr>
          <w:szCs w:val="22"/>
          <w:lang w:val="en-GB"/>
        </w:rPr>
        <w:t xml:space="preserve"> Aldrin Mendoza, national consultant </w:t>
      </w:r>
    </w:p>
    <w:p w14:paraId="424F3C72" w14:textId="77777777" w:rsidR="009C4570" w:rsidRPr="009C4570" w:rsidRDefault="009C4570" w:rsidP="009C4570">
      <w:pPr>
        <w:rPr>
          <w:szCs w:val="22"/>
          <w:lang w:val="en-GB"/>
        </w:rPr>
      </w:pPr>
    </w:p>
    <w:p w14:paraId="74CEC990" w14:textId="77777777" w:rsidR="009C4570" w:rsidRPr="009C4570" w:rsidRDefault="009C4570" w:rsidP="009C4570">
      <w:pPr>
        <w:rPr>
          <w:szCs w:val="22"/>
          <w:lang w:val="en-GB"/>
        </w:rPr>
      </w:pPr>
      <w:r w:rsidRPr="009C4570">
        <w:rPr>
          <w:szCs w:val="22"/>
          <w:lang w:val="en-GB"/>
        </w:rPr>
        <w:t xml:space="preserve">Ms. Nona </w:t>
      </w:r>
      <w:proofErr w:type="spellStart"/>
      <w:r w:rsidRPr="009C4570">
        <w:rPr>
          <w:szCs w:val="22"/>
          <w:lang w:val="en-GB"/>
        </w:rPr>
        <w:t>Nicerio</w:t>
      </w:r>
      <w:proofErr w:type="spellEnd"/>
      <w:r w:rsidRPr="009C4570">
        <w:rPr>
          <w:szCs w:val="22"/>
          <w:lang w:val="en-GB"/>
        </w:rPr>
        <w:t xml:space="preserve">, BIKOL </w:t>
      </w:r>
      <w:proofErr w:type="spellStart"/>
      <w:r w:rsidRPr="009C4570">
        <w:rPr>
          <w:szCs w:val="22"/>
          <w:lang w:val="en-GB"/>
        </w:rPr>
        <w:t>asssociation</w:t>
      </w:r>
      <w:proofErr w:type="spellEnd"/>
    </w:p>
    <w:p w14:paraId="3C179C96" w14:textId="77777777" w:rsidR="009C4570" w:rsidRPr="009C4570" w:rsidRDefault="009C4570" w:rsidP="009C4570">
      <w:pPr>
        <w:rPr>
          <w:szCs w:val="22"/>
          <w:lang w:val="en-GB"/>
        </w:rPr>
      </w:pPr>
    </w:p>
    <w:p w14:paraId="70DF0952" w14:textId="77777777" w:rsidR="009C4570" w:rsidRPr="009C4570" w:rsidRDefault="009C4570" w:rsidP="009C4570">
      <w:pPr>
        <w:rPr>
          <w:szCs w:val="22"/>
          <w:lang w:val="en-GB"/>
        </w:rPr>
      </w:pPr>
      <w:r w:rsidRPr="009C4570">
        <w:rPr>
          <w:szCs w:val="22"/>
          <w:lang w:val="en-GB"/>
        </w:rPr>
        <w:t>Mr. Niño Torre, national IP office (IPOPHL)</w:t>
      </w:r>
    </w:p>
    <w:p w14:paraId="75F82BBC" w14:textId="77777777" w:rsidR="009B10BE" w:rsidRPr="009C4570" w:rsidRDefault="009B10BE" w:rsidP="009C4570">
      <w:pPr>
        <w:rPr>
          <w:szCs w:val="22"/>
          <w:lang w:val="en-GB"/>
        </w:rPr>
      </w:pPr>
    </w:p>
    <w:p w14:paraId="24978F28" w14:textId="77777777" w:rsidR="009C4570" w:rsidRPr="009C4570" w:rsidRDefault="009C4570" w:rsidP="009C4570">
      <w:pPr>
        <w:rPr>
          <w:b/>
          <w:bCs/>
          <w:i/>
          <w:iCs/>
          <w:szCs w:val="22"/>
          <w:lang w:val="en-GB"/>
        </w:rPr>
      </w:pPr>
      <w:r w:rsidRPr="009C4570">
        <w:rPr>
          <w:b/>
          <w:bCs/>
          <w:i/>
          <w:iCs/>
          <w:szCs w:val="22"/>
          <w:lang w:val="en-GB"/>
        </w:rPr>
        <w:t xml:space="preserve">Tunisia </w:t>
      </w:r>
    </w:p>
    <w:p w14:paraId="655BACDF" w14:textId="77777777" w:rsidR="009C4570" w:rsidRPr="009C4570" w:rsidRDefault="009C4570" w:rsidP="009C4570">
      <w:pPr>
        <w:rPr>
          <w:szCs w:val="22"/>
          <w:lang w:val="en-GB"/>
        </w:rPr>
      </w:pPr>
    </w:p>
    <w:p w14:paraId="0903E1D3" w14:textId="77777777" w:rsidR="009C4570" w:rsidRDefault="009C4570" w:rsidP="009C4570">
      <w:pPr>
        <w:rPr>
          <w:szCs w:val="22"/>
          <w:lang w:val="en-GB"/>
        </w:rPr>
      </w:pPr>
      <w:r w:rsidRPr="009C4570">
        <w:rPr>
          <w:szCs w:val="22"/>
          <w:lang w:val="en-GB"/>
        </w:rPr>
        <w:t xml:space="preserve">Ms. Audrey </w:t>
      </w:r>
      <w:proofErr w:type="spellStart"/>
      <w:r w:rsidRPr="009C4570">
        <w:rPr>
          <w:szCs w:val="22"/>
          <w:lang w:val="en-GB"/>
        </w:rPr>
        <w:t>Aubard</w:t>
      </w:r>
      <w:proofErr w:type="spellEnd"/>
      <w:r w:rsidRPr="009C4570">
        <w:rPr>
          <w:szCs w:val="22"/>
          <w:lang w:val="en-GB"/>
        </w:rPr>
        <w:t>, international consultant, France</w:t>
      </w:r>
    </w:p>
    <w:p w14:paraId="0E6125DA" w14:textId="77777777" w:rsidR="00C2308E" w:rsidRPr="009C4570" w:rsidRDefault="00C2308E" w:rsidP="009C4570">
      <w:pPr>
        <w:rPr>
          <w:szCs w:val="22"/>
          <w:lang w:val="en-GB"/>
        </w:rPr>
      </w:pPr>
    </w:p>
    <w:p w14:paraId="5CD3E9EE" w14:textId="77777777" w:rsidR="009C4570" w:rsidRDefault="009C4570" w:rsidP="009C4570">
      <w:pPr>
        <w:rPr>
          <w:szCs w:val="22"/>
          <w:lang w:val="en-GB"/>
        </w:rPr>
      </w:pPr>
      <w:r w:rsidRPr="009C4570">
        <w:rPr>
          <w:szCs w:val="22"/>
          <w:lang w:val="en-GB"/>
        </w:rPr>
        <w:t xml:space="preserve">Ms. </w:t>
      </w:r>
      <w:proofErr w:type="spellStart"/>
      <w:r w:rsidRPr="009C4570">
        <w:rPr>
          <w:szCs w:val="22"/>
          <w:lang w:val="en-GB"/>
        </w:rPr>
        <w:t>Wafa</w:t>
      </w:r>
      <w:proofErr w:type="spellEnd"/>
      <w:r w:rsidRPr="009C4570">
        <w:rPr>
          <w:szCs w:val="22"/>
          <w:lang w:val="en-GB"/>
        </w:rPr>
        <w:t xml:space="preserve"> Ben Hamida, national consultant</w:t>
      </w:r>
    </w:p>
    <w:p w14:paraId="526C5F55" w14:textId="77777777" w:rsidR="00C2308E" w:rsidRPr="009C4570" w:rsidRDefault="00C2308E" w:rsidP="009C4570">
      <w:pPr>
        <w:rPr>
          <w:szCs w:val="22"/>
          <w:lang w:val="en-GB"/>
        </w:rPr>
      </w:pPr>
    </w:p>
    <w:p w14:paraId="5BB180E7" w14:textId="77777777" w:rsidR="009C4570" w:rsidRPr="009C4570" w:rsidRDefault="009C4570" w:rsidP="009C4570">
      <w:pPr>
        <w:rPr>
          <w:szCs w:val="22"/>
          <w:lang w:val="en-GB"/>
        </w:rPr>
      </w:pPr>
      <w:r w:rsidRPr="009C4570">
        <w:rPr>
          <w:szCs w:val="22"/>
          <w:lang w:val="en-GB"/>
        </w:rPr>
        <w:t xml:space="preserve">Ms </w:t>
      </w:r>
      <w:proofErr w:type="spellStart"/>
      <w:r w:rsidRPr="009C4570">
        <w:rPr>
          <w:szCs w:val="22"/>
          <w:lang w:val="en-GB"/>
        </w:rPr>
        <w:t>Zeineb</w:t>
      </w:r>
      <w:proofErr w:type="spellEnd"/>
      <w:r w:rsidRPr="009C4570">
        <w:rPr>
          <w:szCs w:val="22"/>
          <w:lang w:val="en-GB"/>
        </w:rPr>
        <w:t xml:space="preserve"> </w:t>
      </w:r>
      <w:proofErr w:type="spellStart"/>
      <w:r w:rsidRPr="009C4570">
        <w:rPr>
          <w:szCs w:val="22"/>
          <w:lang w:val="en-GB"/>
        </w:rPr>
        <w:t>Letaief</w:t>
      </w:r>
      <w:proofErr w:type="spellEnd"/>
      <w:r w:rsidRPr="009C4570">
        <w:rPr>
          <w:szCs w:val="22"/>
          <w:lang w:val="en-GB"/>
        </w:rPr>
        <w:t xml:space="preserve">, First Secretary, Permanent Mission of Tunisia, Geneva </w:t>
      </w:r>
    </w:p>
    <w:p w14:paraId="43AAFF8D" w14:textId="77777777" w:rsidR="009C4570" w:rsidRPr="009C4570" w:rsidRDefault="009C4570" w:rsidP="009C4570">
      <w:pPr>
        <w:rPr>
          <w:szCs w:val="22"/>
          <w:lang w:val="en-GB"/>
        </w:rPr>
      </w:pPr>
    </w:p>
    <w:p w14:paraId="121A91B4" w14:textId="77777777" w:rsidR="009C4570" w:rsidRPr="009C4570" w:rsidRDefault="009C4570" w:rsidP="009C4570">
      <w:pPr>
        <w:rPr>
          <w:szCs w:val="22"/>
          <w:lang w:val="en-GB"/>
        </w:rPr>
      </w:pPr>
      <w:r w:rsidRPr="009C4570">
        <w:rPr>
          <w:szCs w:val="22"/>
          <w:lang w:val="en-GB"/>
        </w:rPr>
        <w:t xml:space="preserve">Ms. </w:t>
      </w:r>
      <w:proofErr w:type="spellStart"/>
      <w:r w:rsidRPr="009C4570">
        <w:rPr>
          <w:szCs w:val="22"/>
          <w:lang w:val="en-GB"/>
        </w:rPr>
        <w:t>Intissar</w:t>
      </w:r>
      <w:proofErr w:type="spellEnd"/>
      <w:r w:rsidRPr="009C4570">
        <w:rPr>
          <w:szCs w:val="22"/>
          <w:lang w:val="en-GB"/>
        </w:rPr>
        <w:t xml:space="preserve"> </w:t>
      </w:r>
      <w:proofErr w:type="spellStart"/>
      <w:r w:rsidRPr="009C4570">
        <w:rPr>
          <w:szCs w:val="22"/>
          <w:lang w:val="en-GB"/>
        </w:rPr>
        <w:t>Mersni</w:t>
      </w:r>
      <w:proofErr w:type="spellEnd"/>
      <w:r w:rsidRPr="009C4570">
        <w:rPr>
          <w:szCs w:val="22"/>
          <w:lang w:val="en-GB"/>
        </w:rPr>
        <w:t>, president, APROG association</w:t>
      </w:r>
    </w:p>
    <w:p w14:paraId="26A5E4D0" w14:textId="77777777" w:rsidR="00915F20" w:rsidRDefault="005D46B7" w:rsidP="00EE4145">
      <w:pPr>
        <w:pStyle w:val="Endofdocument"/>
        <w:spacing w:before="720" w:line="240" w:lineRule="auto"/>
        <w:ind w:left="5083"/>
      </w:pPr>
      <w:r>
        <w:t>[Appendix II follows]</w:t>
      </w:r>
    </w:p>
    <w:p w14:paraId="4547D967" w14:textId="77777777" w:rsidR="00915F20" w:rsidRPr="00915F20" w:rsidRDefault="00915F20" w:rsidP="00915F20">
      <w:pPr>
        <w:rPr>
          <w:lang w:eastAsia="en-US"/>
        </w:rPr>
      </w:pPr>
    </w:p>
    <w:p w14:paraId="706C1616" w14:textId="77777777" w:rsidR="00FB6E4B" w:rsidRPr="00554AEE" w:rsidRDefault="002A3A3E" w:rsidP="00915F20">
      <w:pPr>
        <w:pStyle w:val="Heading1"/>
        <w:rPr>
          <w:lang w:val="en-GB"/>
        </w:rPr>
      </w:pPr>
      <w:bookmarkStart w:id="63" w:name="_Toc336032076"/>
      <w:r w:rsidRPr="00554AEE">
        <w:rPr>
          <w:lang w:val="en-GB"/>
        </w:rPr>
        <w:br w:type="page"/>
      </w:r>
      <w:bookmarkStart w:id="64" w:name="_Toc18392484"/>
      <w:r w:rsidR="00150FAF" w:rsidRPr="00554AEE">
        <w:rPr>
          <w:lang w:val="en-GB"/>
        </w:rPr>
        <w:t>Appendix II</w:t>
      </w:r>
      <w:r w:rsidR="00692329" w:rsidRPr="00554AEE">
        <w:rPr>
          <w:lang w:val="en-GB"/>
        </w:rPr>
        <w:t xml:space="preserve">: </w:t>
      </w:r>
      <w:r w:rsidR="00E36D73" w:rsidRPr="00554AEE">
        <w:rPr>
          <w:lang w:val="en-GB"/>
        </w:rPr>
        <w:t xml:space="preserve"> </w:t>
      </w:r>
      <w:r w:rsidR="00150FAF" w:rsidRPr="00554AEE">
        <w:rPr>
          <w:lang w:val="en-GB"/>
        </w:rPr>
        <w:t>D</w:t>
      </w:r>
      <w:r w:rsidR="00FB6E4B" w:rsidRPr="00554AEE">
        <w:rPr>
          <w:lang w:val="en-GB"/>
        </w:rPr>
        <w:t>ocuments consulted</w:t>
      </w:r>
      <w:bookmarkEnd w:id="63"/>
      <w:bookmarkEnd w:id="64"/>
    </w:p>
    <w:p w14:paraId="7D9849BE" w14:textId="77777777" w:rsidR="001059FC" w:rsidRPr="00554AEE" w:rsidRDefault="001059FC" w:rsidP="001059FC">
      <w:pPr>
        <w:rPr>
          <w:lang w:val="en-GB"/>
        </w:rPr>
      </w:pPr>
    </w:p>
    <w:p w14:paraId="20D81CBC" w14:textId="21DA286B" w:rsidR="004B6F2D" w:rsidRDefault="004B6F2D" w:rsidP="000D1120">
      <w:pPr>
        <w:rPr>
          <w:szCs w:val="22"/>
        </w:rPr>
      </w:pPr>
      <w:r w:rsidRPr="004B6F2D">
        <w:t>WIPO (201</w:t>
      </w:r>
      <w:r w:rsidR="00412478">
        <w:t>9</w:t>
      </w:r>
      <w:r w:rsidRPr="004B6F2D">
        <w:t>),</w:t>
      </w:r>
      <w:r w:rsidR="00D2107D">
        <w:t xml:space="preserve"> CDIP,</w:t>
      </w:r>
      <w:r w:rsidR="000D1120">
        <w:t xml:space="preserve"> </w:t>
      </w:r>
      <w:r w:rsidR="00104D6F">
        <w:rPr>
          <w:i/>
          <w:iCs/>
        </w:rPr>
        <w:t xml:space="preserve">Revised Project </w:t>
      </w:r>
      <w:r w:rsidR="000D1120" w:rsidRPr="000D1120">
        <w:rPr>
          <w:i/>
          <w:iCs/>
        </w:rPr>
        <w:t>Proposal</w:t>
      </w:r>
      <w:r w:rsidR="00104D6F">
        <w:rPr>
          <w:i/>
          <w:iCs/>
        </w:rPr>
        <w:t xml:space="preserve"> for the</w:t>
      </w:r>
      <w:r w:rsidR="000D1120" w:rsidRPr="000D1120">
        <w:rPr>
          <w:i/>
          <w:iCs/>
        </w:rPr>
        <w:t xml:space="preserve"> </w:t>
      </w:r>
      <w:r w:rsidR="00104D6F" w:rsidRPr="00104D6F">
        <w:rPr>
          <w:i/>
          <w:iCs/>
        </w:rPr>
        <w:t>Registration of the Collective Marks of Local Enterprises as a Cross-Cutting Economic Development Issue</w:t>
      </w:r>
      <w:r w:rsidR="00104D6F">
        <w:rPr>
          <w:i/>
          <w:iCs/>
        </w:rPr>
        <w:t xml:space="preserve"> submitted by the </w:t>
      </w:r>
      <w:proofErr w:type="spellStart"/>
      <w:r w:rsidR="00104D6F" w:rsidRPr="00104D6F">
        <w:rPr>
          <w:i/>
          <w:iCs/>
        </w:rPr>
        <w:t>Plurinational</w:t>
      </w:r>
      <w:proofErr w:type="spellEnd"/>
      <w:r w:rsidR="00104D6F" w:rsidRPr="00104D6F">
        <w:rPr>
          <w:i/>
          <w:iCs/>
        </w:rPr>
        <w:t xml:space="preserve"> State of Bolivia</w:t>
      </w:r>
      <w:r w:rsidR="000D1120">
        <w:t xml:space="preserve">, </w:t>
      </w:r>
      <w:r w:rsidR="00104D6F" w:rsidRPr="00104D6F">
        <w:rPr>
          <w:szCs w:val="22"/>
        </w:rPr>
        <w:t>CDIP/24/9</w:t>
      </w:r>
      <w:r w:rsidR="00D2107D">
        <w:rPr>
          <w:szCs w:val="22"/>
        </w:rPr>
        <w:t>.</w:t>
      </w:r>
    </w:p>
    <w:p w14:paraId="2D7141E9" w14:textId="6CFA4934" w:rsidR="00375381" w:rsidRDefault="00375381" w:rsidP="000D1120">
      <w:pPr>
        <w:rPr>
          <w:szCs w:val="22"/>
        </w:rPr>
      </w:pPr>
    </w:p>
    <w:p w14:paraId="4890AD66" w14:textId="4DED4404" w:rsidR="00D2107D" w:rsidRDefault="00D2107D" w:rsidP="00D2107D">
      <w:pPr>
        <w:rPr>
          <w:szCs w:val="22"/>
        </w:rPr>
      </w:pPr>
      <w:r>
        <w:rPr>
          <w:szCs w:val="22"/>
        </w:rPr>
        <w:t>WIPO (20</w:t>
      </w:r>
      <w:r w:rsidR="00412478">
        <w:rPr>
          <w:szCs w:val="22"/>
        </w:rPr>
        <w:t>21</w:t>
      </w:r>
      <w:r w:rsidR="00104D6F">
        <w:rPr>
          <w:szCs w:val="22"/>
        </w:rPr>
        <w:t>-2023</w:t>
      </w:r>
      <w:r>
        <w:rPr>
          <w:szCs w:val="22"/>
        </w:rPr>
        <w:t xml:space="preserve">), CDIP, </w:t>
      </w:r>
      <w:r w:rsidR="00104D6F" w:rsidRPr="00104D6F">
        <w:rPr>
          <w:szCs w:val="22"/>
        </w:rPr>
        <w:t>26</w:t>
      </w:r>
      <w:r w:rsidR="00C8646A" w:rsidRPr="00C8646A">
        <w:rPr>
          <w:szCs w:val="22"/>
          <w:vertAlign w:val="superscript"/>
        </w:rPr>
        <w:t>t</w:t>
      </w:r>
      <w:r w:rsidR="00104D6F" w:rsidRPr="00C8646A">
        <w:rPr>
          <w:szCs w:val="22"/>
          <w:vertAlign w:val="superscript"/>
        </w:rPr>
        <w:t>h</w:t>
      </w:r>
      <w:r w:rsidR="00104D6F" w:rsidRPr="00104D6F">
        <w:rPr>
          <w:szCs w:val="22"/>
        </w:rPr>
        <w:t>, 29</w:t>
      </w:r>
      <w:r w:rsidR="00104D6F" w:rsidRPr="00C8646A">
        <w:rPr>
          <w:szCs w:val="22"/>
          <w:vertAlign w:val="superscript"/>
        </w:rPr>
        <w:t>th</w:t>
      </w:r>
      <w:r w:rsidR="00104D6F" w:rsidRPr="00104D6F">
        <w:rPr>
          <w:szCs w:val="22"/>
        </w:rPr>
        <w:t>, 30</w:t>
      </w:r>
      <w:r w:rsidR="00C8646A" w:rsidRPr="00C8646A">
        <w:rPr>
          <w:szCs w:val="22"/>
          <w:vertAlign w:val="superscript"/>
        </w:rPr>
        <w:t>th</w:t>
      </w:r>
      <w:r w:rsidR="00104D6F" w:rsidRPr="00104D6F">
        <w:rPr>
          <w:szCs w:val="22"/>
        </w:rPr>
        <w:t>, 31</w:t>
      </w:r>
      <w:r w:rsidR="00C8646A" w:rsidRPr="00C8646A">
        <w:rPr>
          <w:szCs w:val="22"/>
          <w:vertAlign w:val="superscript"/>
        </w:rPr>
        <w:t>st</w:t>
      </w:r>
      <w:r w:rsidR="00C8646A">
        <w:rPr>
          <w:szCs w:val="22"/>
        </w:rPr>
        <w:t xml:space="preserve"> </w:t>
      </w:r>
      <w:r w:rsidR="00104D6F" w:rsidRPr="00104D6F">
        <w:rPr>
          <w:szCs w:val="22"/>
        </w:rPr>
        <w:t>Sessions</w:t>
      </w:r>
      <w:r w:rsidRPr="00104D6F">
        <w:rPr>
          <w:szCs w:val="22"/>
        </w:rPr>
        <w:t>.</w:t>
      </w:r>
      <w:r w:rsidR="00104D6F" w:rsidRPr="00104D6F">
        <w:rPr>
          <w:i/>
          <w:szCs w:val="22"/>
        </w:rPr>
        <w:t xml:space="preserve"> </w:t>
      </w:r>
      <w:r w:rsidR="00104D6F">
        <w:rPr>
          <w:i/>
          <w:szCs w:val="22"/>
        </w:rPr>
        <w:t>Pr</w:t>
      </w:r>
      <w:r w:rsidR="00104D6F" w:rsidRPr="00B007C0">
        <w:rPr>
          <w:i/>
          <w:szCs w:val="22"/>
        </w:rPr>
        <w:t>ogress Reports</w:t>
      </w:r>
      <w:r w:rsidR="00104D6F">
        <w:rPr>
          <w:szCs w:val="22"/>
        </w:rPr>
        <w:t xml:space="preserve">. </w:t>
      </w:r>
    </w:p>
    <w:p w14:paraId="067AF0C6" w14:textId="35738597" w:rsidR="00375381" w:rsidRDefault="00375381" w:rsidP="00D2107D">
      <w:pPr>
        <w:rPr>
          <w:szCs w:val="22"/>
        </w:rPr>
      </w:pPr>
    </w:p>
    <w:p w14:paraId="7A0C3102" w14:textId="7F95F00B" w:rsidR="006F794E" w:rsidRDefault="006F794E" w:rsidP="006F794E">
      <w:pPr>
        <w:rPr>
          <w:szCs w:val="22"/>
        </w:rPr>
      </w:pPr>
      <w:r>
        <w:rPr>
          <w:szCs w:val="22"/>
        </w:rPr>
        <w:t>WIPO (202</w:t>
      </w:r>
      <w:r w:rsidR="00104D6F">
        <w:rPr>
          <w:szCs w:val="22"/>
        </w:rPr>
        <w:t>4</w:t>
      </w:r>
      <w:r>
        <w:rPr>
          <w:szCs w:val="22"/>
        </w:rPr>
        <w:t xml:space="preserve">), CDIP, </w:t>
      </w:r>
      <w:r w:rsidR="00C8646A">
        <w:rPr>
          <w:szCs w:val="22"/>
        </w:rPr>
        <w:t>32</w:t>
      </w:r>
      <w:r w:rsidR="00C8646A" w:rsidRPr="00C8646A">
        <w:rPr>
          <w:szCs w:val="22"/>
          <w:vertAlign w:val="superscript"/>
        </w:rPr>
        <w:t>nd</w:t>
      </w:r>
      <w:r w:rsidR="00C8646A">
        <w:rPr>
          <w:szCs w:val="22"/>
        </w:rPr>
        <w:t xml:space="preserve"> </w:t>
      </w:r>
      <w:r w:rsidRPr="006F794E">
        <w:rPr>
          <w:szCs w:val="22"/>
        </w:rPr>
        <w:t>Session</w:t>
      </w:r>
      <w:r>
        <w:rPr>
          <w:szCs w:val="22"/>
        </w:rPr>
        <w:t xml:space="preserve">, </w:t>
      </w:r>
      <w:r w:rsidRPr="00375381">
        <w:rPr>
          <w:i/>
          <w:iCs/>
          <w:szCs w:val="22"/>
        </w:rPr>
        <w:t xml:space="preserve">Completion Report of Project </w:t>
      </w:r>
      <w:r w:rsidR="00C8646A" w:rsidRPr="00C8646A">
        <w:rPr>
          <w:i/>
          <w:iCs/>
          <w:szCs w:val="22"/>
        </w:rPr>
        <w:t>for the Registration of the Collective Marks of Local Enterprises as a Cross-Cutting Economic Development Issue</w:t>
      </w:r>
      <w:r>
        <w:rPr>
          <w:szCs w:val="22"/>
        </w:rPr>
        <w:t>, CDIP/</w:t>
      </w:r>
      <w:r w:rsidR="007E0D25">
        <w:rPr>
          <w:szCs w:val="22"/>
        </w:rPr>
        <w:t>32</w:t>
      </w:r>
      <w:r w:rsidR="00375381">
        <w:rPr>
          <w:szCs w:val="22"/>
        </w:rPr>
        <w:t>/</w:t>
      </w:r>
      <w:r w:rsidR="007E0D25">
        <w:rPr>
          <w:szCs w:val="22"/>
        </w:rPr>
        <w:t>10</w:t>
      </w:r>
      <w:r w:rsidR="00375381">
        <w:rPr>
          <w:szCs w:val="22"/>
        </w:rPr>
        <w:t>.</w:t>
      </w:r>
    </w:p>
    <w:p w14:paraId="3757EA84" w14:textId="77777777" w:rsidR="00540BD5" w:rsidRDefault="00540BD5" w:rsidP="00540BD5">
      <w:pPr>
        <w:rPr>
          <w:szCs w:val="22"/>
        </w:rPr>
      </w:pPr>
    </w:p>
    <w:p w14:paraId="03ED2109" w14:textId="495DE6AE" w:rsidR="00C8646A" w:rsidRDefault="00C8646A" w:rsidP="00540BD5">
      <w:pPr>
        <w:rPr>
          <w:szCs w:val="22"/>
        </w:rPr>
      </w:pPr>
      <w:r>
        <w:rPr>
          <w:szCs w:val="22"/>
        </w:rPr>
        <w:t xml:space="preserve">WIPO &amp; National IP Office (Bolivia, Brazil, the </w:t>
      </w:r>
      <w:proofErr w:type="gramStart"/>
      <w:r>
        <w:rPr>
          <w:szCs w:val="22"/>
        </w:rPr>
        <w:t>Philippines</w:t>
      </w:r>
      <w:proofErr w:type="gramEnd"/>
      <w:r>
        <w:rPr>
          <w:szCs w:val="22"/>
        </w:rPr>
        <w:t xml:space="preserve"> and Tunisia) (2022-23), </w:t>
      </w:r>
      <w:r w:rsidRPr="00C8646A">
        <w:rPr>
          <w:i/>
          <w:iCs/>
          <w:szCs w:val="22"/>
        </w:rPr>
        <w:t>Guidelines and leaflet for usage of collective marks</w:t>
      </w:r>
      <w:r>
        <w:rPr>
          <w:szCs w:val="22"/>
        </w:rPr>
        <w:t xml:space="preserve"> (various).</w:t>
      </w:r>
    </w:p>
    <w:p w14:paraId="48EDDC1E" w14:textId="77777777" w:rsidR="00C8646A" w:rsidRDefault="00C8646A" w:rsidP="00540BD5">
      <w:pPr>
        <w:rPr>
          <w:szCs w:val="22"/>
        </w:rPr>
      </w:pPr>
    </w:p>
    <w:p w14:paraId="03B42F5B" w14:textId="19648CEA" w:rsidR="00C8646A" w:rsidRDefault="00C8646A" w:rsidP="00540BD5">
      <w:pPr>
        <w:rPr>
          <w:szCs w:val="22"/>
        </w:rPr>
      </w:pPr>
      <w:r>
        <w:rPr>
          <w:szCs w:val="22"/>
        </w:rPr>
        <w:t>WIPO Project webpage on collective marks:</w:t>
      </w:r>
      <w:r w:rsidR="007E0D25">
        <w:rPr>
          <w:szCs w:val="22"/>
        </w:rPr>
        <w:t xml:space="preserve"> </w:t>
      </w:r>
      <w:r>
        <w:rPr>
          <w:szCs w:val="22"/>
        </w:rPr>
        <w:t xml:space="preserve"> </w:t>
      </w:r>
      <w:hyperlink r:id="rId26" w:history="1">
        <w:r w:rsidRPr="00831008">
          <w:rPr>
            <w:rStyle w:val="Hyperlink"/>
            <w:rFonts w:cs="Arial"/>
            <w:szCs w:val="22"/>
          </w:rPr>
          <w:t>https://www.wipo.int/collective-marks/en/index.html</w:t>
        </w:r>
      </w:hyperlink>
    </w:p>
    <w:p w14:paraId="7CFD3972" w14:textId="77777777" w:rsidR="0017331F" w:rsidRDefault="0017331F" w:rsidP="009B10BE">
      <w:pPr>
        <w:pStyle w:val="Endofdocument"/>
        <w:spacing w:before="720" w:line="240" w:lineRule="auto"/>
        <w:ind w:left="5083"/>
        <w:sectPr w:rsidR="0017331F" w:rsidSect="00852FBB">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r>
        <w:t>[Appendix III follows]</w:t>
      </w:r>
    </w:p>
    <w:p w14:paraId="1991CF7D" w14:textId="77777777" w:rsidR="00FB6E4B" w:rsidRPr="00C81CD7" w:rsidRDefault="00150FAF" w:rsidP="00915F20">
      <w:pPr>
        <w:pStyle w:val="Heading1"/>
      </w:pPr>
      <w:bookmarkStart w:id="68" w:name="_Toc336032077"/>
      <w:bookmarkStart w:id="69" w:name="_Toc18392485"/>
      <w:r>
        <w:t>A</w:t>
      </w:r>
      <w:r w:rsidR="00476727" w:rsidRPr="00C81CD7">
        <w:t xml:space="preserve">ppendix </w:t>
      </w:r>
      <w:r w:rsidR="00692329">
        <w:t>III</w:t>
      </w:r>
      <w:r w:rsidR="00FB6E4B" w:rsidRPr="00C81CD7">
        <w:t xml:space="preserve">: </w:t>
      </w:r>
      <w:r w:rsidR="00097361" w:rsidRPr="00C81CD7">
        <w:t xml:space="preserve"> </w:t>
      </w:r>
      <w:r>
        <w:t>I</w:t>
      </w:r>
      <w:r w:rsidR="00F4659E" w:rsidRPr="00C81CD7">
        <w:t>nception report</w:t>
      </w:r>
      <w:bookmarkEnd w:id="68"/>
      <w:bookmarkEnd w:id="69"/>
    </w:p>
    <w:p w14:paraId="09D1B8AB" w14:textId="77777777" w:rsidR="00C81CD7" w:rsidRPr="0034105E" w:rsidRDefault="00026673" w:rsidP="000275E3">
      <w:pPr>
        <w:pStyle w:val="Reporttext"/>
        <w:spacing w:before="240" w:after="240"/>
        <w:ind w:firstLine="0"/>
        <w:rPr>
          <w:rFonts w:ascii="Arial" w:hAnsi="Arial" w:cs="Arial"/>
          <w:b/>
        </w:rPr>
      </w:pPr>
      <w:r>
        <w:rPr>
          <w:rFonts w:ascii="Arial" w:hAnsi="Arial" w:cs="Arial"/>
          <w:b/>
        </w:rPr>
        <w:t>1.</w:t>
      </w:r>
      <w:r>
        <w:rPr>
          <w:rFonts w:ascii="Arial" w:hAnsi="Arial" w:cs="Arial"/>
          <w:b/>
        </w:rPr>
        <w:tab/>
      </w:r>
      <w:r w:rsidR="00C81CD7" w:rsidRPr="0034105E">
        <w:rPr>
          <w:rFonts w:ascii="Arial" w:hAnsi="Arial" w:cs="Arial"/>
          <w:b/>
        </w:rPr>
        <w:t>Introduction</w:t>
      </w:r>
    </w:p>
    <w:p w14:paraId="41FAF54C" w14:textId="4DF26521" w:rsidR="00707099" w:rsidRPr="0059206C" w:rsidRDefault="00C8646A" w:rsidP="00707099">
      <w:pPr>
        <w:autoSpaceDE w:val="0"/>
        <w:autoSpaceDN w:val="0"/>
        <w:adjustRightInd w:val="0"/>
      </w:pPr>
      <w:r w:rsidRPr="00C8646A">
        <w:t>This document is an inception report for the evaluation of the DA project on the Registration of the Collective Marks of Local Enterprises as a Cross-Cutting Economic Development Issue</w:t>
      </w:r>
      <w:r w:rsidR="00434059">
        <w:t xml:space="preserve">. </w:t>
      </w:r>
      <w:r w:rsidRPr="00C8646A">
        <w:t>This document outlines the purpose, objectives, strategy, methodology and work plan of the evaluation</w:t>
      </w:r>
      <w:r w:rsidR="00434059">
        <w:t xml:space="preserve">. </w:t>
      </w:r>
      <w:r w:rsidR="000275E3">
        <w:t xml:space="preserve"> </w:t>
      </w:r>
      <w:r w:rsidRPr="00C8646A">
        <w:t>The final report will be based on this inception report, pending approval from WIPO.</w:t>
      </w:r>
    </w:p>
    <w:p w14:paraId="517B8E32" w14:textId="77777777" w:rsidR="00C81CD7" w:rsidRDefault="00026673" w:rsidP="000275E3">
      <w:pPr>
        <w:spacing w:before="240" w:after="240"/>
        <w:rPr>
          <w:b/>
        </w:rPr>
      </w:pPr>
      <w:r>
        <w:rPr>
          <w:b/>
        </w:rPr>
        <w:t>2.</w:t>
      </w:r>
      <w:r>
        <w:rPr>
          <w:b/>
        </w:rPr>
        <w:tab/>
      </w:r>
      <w:r w:rsidR="00733963">
        <w:rPr>
          <w:b/>
        </w:rPr>
        <w:t xml:space="preserve">Purpose and Objectives </w:t>
      </w:r>
    </w:p>
    <w:p w14:paraId="27A04CFE" w14:textId="671E7B07" w:rsidR="00C8646A" w:rsidRDefault="00C8646A" w:rsidP="00C8646A">
      <w:pPr>
        <w:spacing w:line="240" w:lineRule="atLeast"/>
      </w:pPr>
      <w:r>
        <w:t>The main purpose of this evaluation is to assess implementation of the project and its overall performance</w:t>
      </w:r>
      <w:r w:rsidR="00434059">
        <w:t xml:space="preserve">. </w:t>
      </w:r>
      <w:r w:rsidR="000275E3">
        <w:t xml:space="preserve"> </w:t>
      </w:r>
      <w:r w:rsidRPr="00A84854">
        <w:t>This will feed into the decision-making process of the Committee on Development and Intellectual Property (CDIP).</w:t>
      </w:r>
    </w:p>
    <w:p w14:paraId="4BB66691" w14:textId="77777777" w:rsidR="00C8646A" w:rsidRDefault="00C8646A" w:rsidP="00C8646A">
      <w:pPr>
        <w:spacing w:line="240" w:lineRule="atLeast"/>
        <w:jc w:val="both"/>
      </w:pPr>
    </w:p>
    <w:p w14:paraId="4FFE1EAC" w14:textId="77777777" w:rsidR="00C8646A" w:rsidRDefault="00C8646A" w:rsidP="00C8646A">
      <w:pPr>
        <w:spacing w:line="240" w:lineRule="atLeast"/>
        <w:jc w:val="both"/>
      </w:pPr>
      <w:r>
        <w:t xml:space="preserve">The main objective of this evaluation is two-fold:  </w:t>
      </w:r>
    </w:p>
    <w:p w14:paraId="62EB9CCD" w14:textId="77777777" w:rsidR="00C8646A" w:rsidRDefault="00C8646A" w:rsidP="00C8646A">
      <w:pPr>
        <w:spacing w:line="240" w:lineRule="atLeast"/>
        <w:jc w:val="both"/>
      </w:pPr>
    </w:p>
    <w:p w14:paraId="03EB4908" w14:textId="508F31B0" w:rsidR="00C8646A" w:rsidRDefault="00C8646A" w:rsidP="008344ED">
      <w:pPr>
        <w:pStyle w:val="ListParagraph"/>
        <w:numPr>
          <w:ilvl w:val="0"/>
          <w:numId w:val="14"/>
        </w:numPr>
        <w:spacing w:line="240" w:lineRule="atLeast"/>
        <w:ind w:left="1440" w:hanging="720"/>
        <w:rPr>
          <w:rFonts w:cs="Arial"/>
        </w:rPr>
      </w:pPr>
      <w:r w:rsidRPr="00E76042">
        <w:rPr>
          <w:rFonts w:cs="Arial"/>
        </w:rPr>
        <w:t>Learning from experiences during project implementation:  what worked well and what did not work well for the benefit of continuing activities in this field</w:t>
      </w:r>
      <w:r w:rsidR="00434059">
        <w:rPr>
          <w:rFonts w:cs="Arial"/>
        </w:rPr>
        <w:t xml:space="preserve">. </w:t>
      </w:r>
      <w:r w:rsidR="009B10BE">
        <w:rPr>
          <w:rFonts w:cs="Arial"/>
        </w:rPr>
        <w:t xml:space="preserve"> </w:t>
      </w:r>
      <w:r w:rsidRPr="00E76042">
        <w:rPr>
          <w:rFonts w:cs="Arial"/>
        </w:rPr>
        <w:t>This includes assessing the project design framework, project management, including monitoring and reporting tools, as well as measuring and reporting on the results achieved to date and assessing the likelihood of sustainability of results achieved; and</w:t>
      </w:r>
    </w:p>
    <w:p w14:paraId="745D623D" w14:textId="77777777" w:rsidR="00C8646A" w:rsidRDefault="00C8646A" w:rsidP="00CE4888">
      <w:pPr>
        <w:pStyle w:val="ListParagraph"/>
        <w:spacing w:line="240" w:lineRule="atLeast"/>
        <w:ind w:left="1440" w:hanging="720"/>
        <w:jc w:val="both"/>
        <w:rPr>
          <w:rFonts w:cs="Arial"/>
        </w:rPr>
      </w:pPr>
    </w:p>
    <w:p w14:paraId="2604C029" w14:textId="2D9EE811" w:rsidR="00C8646A" w:rsidRDefault="00C8646A" w:rsidP="008344ED">
      <w:pPr>
        <w:pStyle w:val="ListParagraph"/>
        <w:numPr>
          <w:ilvl w:val="0"/>
          <w:numId w:val="14"/>
        </w:numPr>
        <w:spacing w:line="240" w:lineRule="atLeast"/>
        <w:ind w:left="1440" w:hanging="720"/>
      </w:pPr>
      <w:r w:rsidRPr="00E76042">
        <w:rPr>
          <w:rFonts w:cs="Arial"/>
        </w:rPr>
        <w:t xml:space="preserve">Providing evidence-based evaluative information to support the CDIP’s </w:t>
      </w:r>
      <w:r w:rsidRPr="00E76042">
        <w:t>decision-making process</w:t>
      </w:r>
      <w:r w:rsidR="00434059">
        <w:t xml:space="preserve">. </w:t>
      </w:r>
    </w:p>
    <w:p w14:paraId="1F4CABC7" w14:textId="77777777" w:rsidR="00C8646A" w:rsidRDefault="00C8646A" w:rsidP="00C8646A">
      <w:pPr>
        <w:spacing w:line="240" w:lineRule="atLeast"/>
        <w:jc w:val="both"/>
      </w:pPr>
    </w:p>
    <w:p w14:paraId="10947426" w14:textId="77777777" w:rsidR="00C8646A" w:rsidRDefault="00C8646A" w:rsidP="00C8646A">
      <w:pPr>
        <w:pStyle w:val="ONUME"/>
        <w:numPr>
          <w:ilvl w:val="0"/>
          <w:numId w:val="0"/>
        </w:numPr>
      </w:pPr>
      <w:r w:rsidRPr="00E1400C">
        <w:t>In particular, the evaluation will assess the extent to which the project has been instrumenta</w:t>
      </w:r>
      <w:r>
        <w:t xml:space="preserve">l in: </w:t>
      </w:r>
    </w:p>
    <w:p w14:paraId="2A3891F9" w14:textId="77777777" w:rsidR="00C8646A" w:rsidRPr="00E76042" w:rsidRDefault="00C8646A" w:rsidP="003E7D62">
      <w:pPr>
        <w:pStyle w:val="ONUME"/>
        <w:numPr>
          <w:ilvl w:val="0"/>
          <w:numId w:val="0"/>
        </w:numPr>
        <w:ind w:left="1440" w:hanging="720"/>
      </w:pPr>
      <w:r w:rsidRPr="00E76042">
        <w:t>(a)</w:t>
      </w:r>
      <w:r w:rsidRPr="00E76042">
        <w:tab/>
        <w:t>Identification of potential products that could benefit from a collective mark and selection of the final product.</w:t>
      </w:r>
    </w:p>
    <w:p w14:paraId="5744D1D3" w14:textId="77777777" w:rsidR="00C8646A" w:rsidRPr="00E76042" w:rsidRDefault="00C8646A" w:rsidP="003E7D62">
      <w:pPr>
        <w:pStyle w:val="ONUME"/>
        <w:numPr>
          <w:ilvl w:val="0"/>
          <w:numId w:val="0"/>
        </w:numPr>
        <w:ind w:left="1440" w:hanging="720"/>
      </w:pPr>
      <w:r w:rsidRPr="00E76042">
        <w:t>(b)</w:t>
      </w:r>
      <w:r w:rsidRPr="00E76042">
        <w:tab/>
        <w:t>Development, registration, and launch of the collective mark.</w:t>
      </w:r>
    </w:p>
    <w:p w14:paraId="063279BA" w14:textId="77777777" w:rsidR="00C8646A" w:rsidRDefault="00C8646A" w:rsidP="003E7D62">
      <w:pPr>
        <w:pStyle w:val="ONUME"/>
        <w:numPr>
          <w:ilvl w:val="0"/>
          <w:numId w:val="0"/>
        </w:numPr>
        <w:spacing w:after="0"/>
        <w:ind w:left="1440" w:hanging="720"/>
      </w:pPr>
      <w:r w:rsidRPr="00E76042">
        <w:t>(c)</w:t>
      </w:r>
      <w:r w:rsidRPr="00E76042">
        <w:tab/>
        <w:t>Delivery of capacity building and awareness-raising activities.</w:t>
      </w:r>
    </w:p>
    <w:p w14:paraId="25FB9E5E" w14:textId="77777777" w:rsidR="00C81CD7" w:rsidRPr="0034105E" w:rsidRDefault="00BE141D" w:rsidP="009B10BE">
      <w:pPr>
        <w:spacing w:before="240" w:after="240"/>
        <w:rPr>
          <w:b/>
        </w:rPr>
      </w:pPr>
      <w:r>
        <w:rPr>
          <w:b/>
        </w:rPr>
        <w:t>3.</w:t>
      </w:r>
      <w:r>
        <w:rPr>
          <w:b/>
        </w:rPr>
        <w:tab/>
      </w:r>
      <w:r w:rsidR="00733963">
        <w:rPr>
          <w:b/>
        </w:rPr>
        <w:t>Evaluation Strategy</w:t>
      </w:r>
    </w:p>
    <w:p w14:paraId="1B23CB64" w14:textId="77777777" w:rsidR="00707099" w:rsidRDefault="00707099" w:rsidP="003E7D62">
      <w:pPr>
        <w:numPr>
          <w:ilvl w:val="0"/>
          <w:numId w:val="10"/>
        </w:numPr>
        <w:spacing w:line="240" w:lineRule="atLeast"/>
        <w:ind w:left="1440" w:hanging="720"/>
      </w:pPr>
      <w:r w:rsidRPr="00496A8A">
        <w:t>T</w:t>
      </w:r>
      <w:r>
        <w:t xml:space="preserve">he evaluation will take a participatory approach and involve all relevant stakeholders in the different steps of the evaluation, as far as feasible. </w:t>
      </w:r>
    </w:p>
    <w:p w14:paraId="473E6E21" w14:textId="77777777" w:rsidR="00707099" w:rsidRDefault="00707099" w:rsidP="003E7D62">
      <w:pPr>
        <w:spacing w:line="240" w:lineRule="atLeast"/>
        <w:ind w:left="1440" w:hanging="720"/>
      </w:pPr>
    </w:p>
    <w:p w14:paraId="4113C7AC" w14:textId="77777777" w:rsidR="00707099" w:rsidRDefault="00707099" w:rsidP="003E7D62">
      <w:pPr>
        <w:numPr>
          <w:ilvl w:val="0"/>
          <w:numId w:val="10"/>
        </w:numPr>
        <w:spacing w:line="240" w:lineRule="atLeast"/>
        <w:ind w:left="1440" w:hanging="720"/>
      </w:pPr>
      <w:r>
        <w:t>The i</w:t>
      </w:r>
      <w:r w:rsidRPr="00496A8A">
        <w:t xml:space="preserve">nformation and data will be gathered from multiple </w:t>
      </w:r>
      <w:r>
        <w:t>sources</w:t>
      </w:r>
      <w:r w:rsidRPr="00496A8A">
        <w:t xml:space="preserve"> using different research methods </w:t>
      </w:r>
      <w:proofErr w:type="gramStart"/>
      <w:r w:rsidRPr="00496A8A">
        <w:t>in or</w:t>
      </w:r>
      <w:r>
        <w:t>der to</w:t>
      </w:r>
      <w:proofErr w:type="gramEnd"/>
      <w:r>
        <w:t xml:space="preserve"> be able to triangulate an</w:t>
      </w:r>
      <w:r w:rsidRPr="00496A8A">
        <w:t>d cross-reference the results drawn</w:t>
      </w:r>
      <w:r>
        <w:t xml:space="preserve">. </w:t>
      </w:r>
    </w:p>
    <w:p w14:paraId="2EDFE99A" w14:textId="77777777" w:rsidR="00707099" w:rsidRDefault="00707099" w:rsidP="003E7D62">
      <w:pPr>
        <w:spacing w:line="240" w:lineRule="atLeast"/>
        <w:ind w:left="1440" w:hanging="720"/>
      </w:pPr>
    </w:p>
    <w:p w14:paraId="5F1183CC" w14:textId="138988E2" w:rsidR="00707099" w:rsidRDefault="00707099" w:rsidP="003E7D62">
      <w:pPr>
        <w:numPr>
          <w:ilvl w:val="0"/>
          <w:numId w:val="10"/>
        </w:numPr>
        <w:spacing w:line="240" w:lineRule="atLeast"/>
        <w:ind w:left="1440" w:hanging="720"/>
      </w:pPr>
      <w:r>
        <w:t>The evaluation will find a balance between questions of project design (“what worked”) and questions of effectiveness (“what was achieved”)</w:t>
      </w:r>
      <w:r w:rsidR="00434059">
        <w:t xml:space="preserve">. </w:t>
      </w:r>
      <w:r w:rsidR="00CE4888">
        <w:t xml:space="preserve"> </w:t>
      </w:r>
      <w:r>
        <w:t>This will directly support meeting the above-mentioned objectives</w:t>
      </w:r>
      <w:r w:rsidR="00434059">
        <w:t xml:space="preserve">. </w:t>
      </w:r>
    </w:p>
    <w:p w14:paraId="1296DD01" w14:textId="77777777" w:rsidR="009B10BE" w:rsidRDefault="009B10BE" w:rsidP="00CE4888"/>
    <w:p w14:paraId="749EFE83" w14:textId="77777777" w:rsidR="009B10BE" w:rsidRDefault="009B10BE" w:rsidP="009B10BE">
      <w:pPr>
        <w:spacing w:line="240" w:lineRule="atLeast"/>
      </w:pPr>
    </w:p>
    <w:p w14:paraId="374DB9E0" w14:textId="77777777" w:rsidR="009B10BE" w:rsidRDefault="009B10BE" w:rsidP="009B10BE">
      <w:pPr>
        <w:spacing w:line="240" w:lineRule="atLeast"/>
      </w:pPr>
    </w:p>
    <w:p w14:paraId="347D637F" w14:textId="77777777" w:rsidR="009B10BE" w:rsidRDefault="009B10BE" w:rsidP="009B10BE">
      <w:pPr>
        <w:spacing w:line="240" w:lineRule="atLeast"/>
      </w:pPr>
    </w:p>
    <w:p w14:paraId="5615C7BC" w14:textId="77777777" w:rsidR="009B10BE" w:rsidRDefault="009B10BE" w:rsidP="009B10BE">
      <w:pPr>
        <w:spacing w:line="240" w:lineRule="atLeast"/>
      </w:pPr>
    </w:p>
    <w:p w14:paraId="33E73D21" w14:textId="77777777" w:rsidR="009B10BE" w:rsidRDefault="009B10BE" w:rsidP="009B10BE">
      <w:pPr>
        <w:spacing w:line="240" w:lineRule="atLeast"/>
      </w:pPr>
    </w:p>
    <w:p w14:paraId="26F8487A" w14:textId="77777777" w:rsidR="00C81CD7" w:rsidRPr="0034105E" w:rsidRDefault="00C81CD7" w:rsidP="009B10BE">
      <w:pPr>
        <w:spacing w:before="240" w:after="240"/>
        <w:rPr>
          <w:b/>
        </w:rPr>
      </w:pPr>
      <w:r w:rsidRPr="0034105E">
        <w:rPr>
          <w:b/>
        </w:rPr>
        <w:t xml:space="preserve">4. </w:t>
      </w:r>
      <w:r w:rsidR="00A22008">
        <w:rPr>
          <w:b/>
        </w:rPr>
        <w:tab/>
      </w:r>
      <w:r w:rsidR="00733963">
        <w:rPr>
          <w:b/>
        </w:rPr>
        <w:t xml:space="preserve">Evaluation Framework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220"/>
        <w:gridCol w:w="1673"/>
        <w:gridCol w:w="2093"/>
      </w:tblGrid>
      <w:tr w:rsidR="00C8646A" w:rsidRPr="00D26EED" w14:paraId="2DE94E94" w14:textId="77777777" w:rsidTr="008344ED">
        <w:trPr>
          <w:trHeight w:val="242"/>
        </w:trPr>
        <w:tc>
          <w:tcPr>
            <w:tcW w:w="1797" w:type="pct"/>
            <w:tcBorders>
              <w:bottom w:val="single" w:sz="4" w:space="0" w:color="auto"/>
            </w:tcBorders>
          </w:tcPr>
          <w:p w14:paraId="4F4ECA4A" w14:textId="77777777" w:rsidR="00C8646A" w:rsidRPr="00A868C3" w:rsidRDefault="00C8646A" w:rsidP="009B10BE">
            <w:pPr>
              <w:spacing w:line="240" w:lineRule="atLeast"/>
              <w:rPr>
                <w:b/>
                <w:sz w:val="20"/>
              </w:rPr>
            </w:pPr>
            <w:r w:rsidRPr="00A868C3">
              <w:rPr>
                <w:b/>
                <w:sz w:val="20"/>
              </w:rPr>
              <w:t>Theme and questions</w:t>
            </w:r>
          </w:p>
        </w:tc>
        <w:tc>
          <w:tcPr>
            <w:tcW w:w="1188" w:type="pct"/>
            <w:tcBorders>
              <w:bottom w:val="single" w:sz="4" w:space="0" w:color="auto"/>
            </w:tcBorders>
          </w:tcPr>
          <w:p w14:paraId="1CB351C0" w14:textId="77777777" w:rsidR="00C8646A" w:rsidRPr="00A868C3" w:rsidRDefault="00C8646A" w:rsidP="009B10BE">
            <w:pPr>
              <w:spacing w:line="240" w:lineRule="atLeast"/>
              <w:rPr>
                <w:b/>
                <w:sz w:val="20"/>
              </w:rPr>
            </w:pPr>
            <w:r>
              <w:rPr>
                <w:b/>
                <w:sz w:val="20"/>
              </w:rPr>
              <w:t>Proposed indicators</w:t>
            </w:r>
          </w:p>
        </w:tc>
        <w:tc>
          <w:tcPr>
            <w:tcW w:w="895" w:type="pct"/>
            <w:tcBorders>
              <w:bottom w:val="single" w:sz="4" w:space="0" w:color="auto"/>
            </w:tcBorders>
          </w:tcPr>
          <w:p w14:paraId="2653F690" w14:textId="77777777" w:rsidR="00C8646A" w:rsidRPr="00A868C3" w:rsidRDefault="00C8646A" w:rsidP="009B10BE">
            <w:pPr>
              <w:spacing w:line="240" w:lineRule="atLeast"/>
              <w:rPr>
                <w:b/>
                <w:sz w:val="20"/>
              </w:rPr>
            </w:pPr>
            <w:r w:rsidRPr="00A868C3">
              <w:rPr>
                <w:b/>
                <w:sz w:val="20"/>
              </w:rPr>
              <w:t>Data collection tools</w:t>
            </w:r>
          </w:p>
        </w:tc>
        <w:tc>
          <w:tcPr>
            <w:tcW w:w="1120" w:type="pct"/>
            <w:tcBorders>
              <w:bottom w:val="single" w:sz="4" w:space="0" w:color="auto"/>
            </w:tcBorders>
          </w:tcPr>
          <w:p w14:paraId="7E26B48C" w14:textId="77777777" w:rsidR="00C8646A" w:rsidRPr="00A868C3" w:rsidRDefault="00C8646A" w:rsidP="009B10BE">
            <w:pPr>
              <w:spacing w:line="240" w:lineRule="atLeast"/>
              <w:rPr>
                <w:b/>
                <w:sz w:val="20"/>
              </w:rPr>
            </w:pPr>
            <w:r w:rsidRPr="00A868C3">
              <w:rPr>
                <w:b/>
                <w:sz w:val="20"/>
              </w:rPr>
              <w:t>Sources of information</w:t>
            </w:r>
          </w:p>
        </w:tc>
      </w:tr>
      <w:tr w:rsidR="00C8646A" w:rsidRPr="007B0A5E" w14:paraId="25AEE05D" w14:textId="77777777" w:rsidTr="008344ED">
        <w:trPr>
          <w:trHeight w:val="242"/>
        </w:trPr>
        <w:tc>
          <w:tcPr>
            <w:tcW w:w="5000" w:type="pct"/>
            <w:gridSpan w:val="4"/>
            <w:tcBorders>
              <w:bottom w:val="single" w:sz="4" w:space="0" w:color="auto"/>
            </w:tcBorders>
          </w:tcPr>
          <w:p w14:paraId="6A785702" w14:textId="77777777" w:rsidR="00C8646A" w:rsidRPr="0066637F" w:rsidRDefault="00C8646A" w:rsidP="009B10BE">
            <w:pPr>
              <w:rPr>
                <w:b/>
              </w:rPr>
            </w:pPr>
            <w:r>
              <w:rPr>
                <w:b/>
              </w:rPr>
              <w:t xml:space="preserve">Project design and management  </w:t>
            </w:r>
            <w:r w:rsidRPr="0066637F">
              <w:rPr>
                <w:b/>
              </w:rPr>
              <w:t xml:space="preserve"> </w:t>
            </w:r>
          </w:p>
        </w:tc>
      </w:tr>
      <w:tr w:rsidR="00C8646A" w:rsidRPr="0066637F" w14:paraId="34070ECB" w14:textId="77777777" w:rsidTr="008344ED">
        <w:trPr>
          <w:trHeight w:val="242"/>
        </w:trPr>
        <w:tc>
          <w:tcPr>
            <w:tcW w:w="1797" w:type="pct"/>
            <w:tcBorders>
              <w:bottom w:val="single" w:sz="4" w:space="0" w:color="auto"/>
            </w:tcBorders>
          </w:tcPr>
          <w:p w14:paraId="40E21432" w14:textId="77777777" w:rsidR="00C8646A" w:rsidRPr="00DA7370" w:rsidRDefault="00C8646A" w:rsidP="009B10BE">
            <w:pPr>
              <w:rPr>
                <w:sz w:val="20"/>
              </w:rPr>
            </w:pPr>
            <w:r>
              <w:rPr>
                <w:sz w:val="20"/>
              </w:rPr>
              <w:t>1</w:t>
            </w:r>
            <w:r w:rsidRPr="00DA7370">
              <w:rPr>
                <w:sz w:val="20"/>
              </w:rPr>
              <w:t>. Appropriateness of t</w:t>
            </w:r>
            <w:r>
              <w:rPr>
                <w:sz w:val="20"/>
              </w:rPr>
              <w:t xml:space="preserve">he initial project document as a guide for project </w:t>
            </w:r>
            <w:r w:rsidRPr="00DA7370">
              <w:rPr>
                <w:sz w:val="20"/>
              </w:rPr>
              <w:t>implementation and assessment of results</w:t>
            </w:r>
            <w:r>
              <w:rPr>
                <w:sz w:val="20"/>
              </w:rPr>
              <w:t xml:space="preserve"> achieved</w:t>
            </w:r>
            <w:r w:rsidRPr="00DA7370">
              <w:rPr>
                <w:sz w:val="20"/>
              </w:rPr>
              <w:t>.</w:t>
            </w:r>
          </w:p>
        </w:tc>
        <w:tc>
          <w:tcPr>
            <w:tcW w:w="1188" w:type="pct"/>
            <w:tcBorders>
              <w:bottom w:val="single" w:sz="4" w:space="0" w:color="auto"/>
            </w:tcBorders>
          </w:tcPr>
          <w:p w14:paraId="4C648E46" w14:textId="77777777" w:rsidR="00C8646A" w:rsidRDefault="00C8646A" w:rsidP="009B10BE">
            <w:pPr>
              <w:rPr>
                <w:sz w:val="20"/>
              </w:rPr>
            </w:pPr>
            <w:r>
              <w:rPr>
                <w:sz w:val="20"/>
              </w:rPr>
              <w:t>Use of project document to guide i</w:t>
            </w:r>
            <w:r w:rsidRPr="00DA7370">
              <w:rPr>
                <w:sz w:val="20"/>
              </w:rPr>
              <w:t>mplementation</w:t>
            </w:r>
            <w:r>
              <w:rPr>
                <w:sz w:val="20"/>
              </w:rPr>
              <w:t xml:space="preserve"> and assessment of results </w:t>
            </w:r>
            <w:proofErr w:type="gramStart"/>
            <w:r>
              <w:rPr>
                <w:sz w:val="20"/>
              </w:rPr>
              <w:t>achieved</w:t>
            </w:r>
            <w:proofErr w:type="gramEnd"/>
          </w:p>
          <w:p w14:paraId="3C2D95C9" w14:textId="77777777" w:rsidR="00830AEE" w:rsidRPr="00DA7370" w:rsidRDefault="00830AEE" w:rsidP="009B10BE">
            <w:pPr>
              <w:rPr>
                <w:sz w:val="20"/>
              </w:rPr>
            </w:pPr>
          </w:p>
        </w:tc>
        <w:tc>
          <w:tcPr>
            <w:tcW w:w="895" w:type="pct"/>
            <w:tcBorders>
              <w:bottom w:val="single" w:sz="4" w:space="0" w:color="auto"/>
            </w:tcBorders>
          </w:tcPr>
          <w:p w14:paraId="3BD80EC5" w14:textId="77777777" w:rsidR="00C8646A" w:rsidRPr="00DA7370" w:rsidRDefault="00C8646A" w:rsidP="009B10BE">
            <w:pPr>
              <w:rPr>
                <w:sz w:val="20"/>
              </w:rPr>
            </w:pPr>
            <w:r w:rsidRPr="00DA7370">
              <w:rPr>
                <w:sz w:val="20"/>
              </w:rPr>
              <w:t>Document review</w:t>
            </w:r>
            <w:r w:rsidRPr="00DA7370">
              <w:rPr>
                <w:sz w:val="20"/>
              </w:rPr>
              <w:br/>
              <w:t>Interviews</w:t>
            </w:r>
          </w:p>
        </w:tc>
        <w:tc>
          <w:tcPr>
            <w:tcW w:w="1120" w:type="pct"/>
            <w:tcBorders>
              <w:bottom w:val="single" w:sz="4" w:space="0" w:color="auto"/>
            </w:tcBorders>
          </w:tcPr>
          <w:p w14:paraId="6ABB71BB" w14:textId="77777777" w:rsidR="00C8646A" w:rsidRPr="009A43CD" w:rsidRDefault="00C8646A" w:rsidP="009B10BE">
            <w:pPr>
              <w:rPr>
                <w:sz w:val="20"/>
              </w:rPr>
            </w:pPr>
            <w:r>
              <w:rPr>
                <w:sz w:val="20"/>
              </w:rPr>
              <w:t>WIPO staff</w:t>
            </w:r>
            <w:r>
              <w:rPr>
                <w:sz w:val="20"/>
              </w:rPr>
              <w:br/>
              <w:t>External stakeholders</w:t>
            </w:r>
          </w:p>
        </w:tc>
      </w:tr>
      <w:tr w:rsidR="00C8646A" w:rsidRPr="0066637F" w14:paraId="728BCDB4" w14:textId="77777777" w:rsidTr="008344ED">
        <w:trPr>
          <w:trHeight w:val="242"/>
        </w:trPr>
        <w:tc>
          <w:tcPr>
            <w:tcW w:w="1797" w:type="pct"/>
            <w:tcBorders>
              <w:bottom w:val="single" w:sz="4" w:space="0" w:color="auto"/>
            </w:tcBorders>
          </w:tcPr>
          <w:p w14:paraId="0DCF3EE4" w14:textId="77777777" w:rsidR="00C8646A" w:rsidRDefault="00C8646A" w:rsidP="009B10BE">
            <w:pPr>
              <w:rPr>
                <w:sz w:val="20"/>
              </w:rPr>
            </w:pPr>
            <w:r>
              <w:rPr>
                <w:sz w:val="20"/>
              </w:rPr>
              <w:t>2</w:t>
            </w:r>
            <w:r w:rsidRPr="00DA7370">
              <w:rPr>
                <w:sz w:val="20"/>
              </w:rPr>
              <w:t xml:space="preserve">. </w:t>
            </w:r>
            <w:r>
              <w:rPr>
                <w:sz w:val="20"/>
              </w:rPr>
              <w:t>T</w:t>
            </w:r>
            <w:r w:rsidRPr="003C00F6">
              <w:rPr>
                <w:sz w:val="20"/>
              </w:rPr>
              <w:t>he project monitoring, self-evaluation and reporting tools and analysis of whether they were useful and adequate to provide the project team and key stakeholders with relevant informati</w:t>
            </w:r>
            <w:r>
              <w:rPr>
                <w:sz w:val="20"/>
              </w:rPr>
              <w:t>on for decision-making purposes.</w:t>
            </w:r>
          </w:p>
          <w:p w14:paraId="62AC6CB2" w14:textId="77777777" w:rsidR="00C8646A" w:rsidRPr="00DA7370" w:rsidRDefault="00C8646A" w:rsidP="009B10BE">
            <w:pPr>
              <w:rPr>
                <w:sz w:val="20"/>
              </w:rPr>
            </w:pPr>
          </w:p>
        </w:tc>
        <w:tc>
          <w:tcPr>
            <w:tcW w:w="1188" w:type="pct"/>
            <w:tcBorders>
              <w:bottom w:val="single" w:sz="4" w:space="0" w:color="auto"/>
            </w:tcBorders>
          </w:tcPr>
          <w:p w14:paraId="0BD2C787" w14:textId="77777777" w:rsidR="00C8646A" w:rsidRPr="00DA7370" w:rsidRDefault="00C8646A" w:rsidP="009B10BE">
            <w:pPr>
              <w:rPr>
                <w:sz w:val="20"/>
              </w:rPr>
            </w:pPr>
            <w:r>
              <w:rPr>
                <w:sz w:val="20"/>
              </w:rPr>
              <w:t>Level of usefulness of monitoring and reporting tools</w:t>
            </w:r>
          </w:p>
        </w:tc>
        <w:tc>
          <w:tcPr>
            <w:tcW w:w="895" w:type="pct"/>
            <w:tcBorders>
              <w:bottom w:val="single" w:sz="4" w:space="0" w:color="auto"/>
            </w:tcBorders>
          </w:tcPr>
          <w:p w14:paraId="303D37DF" w14:textId="77777777" w:rsidR="00C8646A" w:rsidRPr="00DA7370" w:rsidRDefault="00C8646A" w:rsidP="009B10BE">
            <w:pPr>
              <w:rPr>
                <w:sz w:val="20"/>
              </w:rPr>
            </w:pPr>
            <w:r w:rsidRPr="00DA7370">
              <w:rPr>
                <w:sz w:val="20"/>
              </w:rPr>
              <w:t>Document review</w:t>
            </w:r>
            <w:r w:rsidRPr="00DA7370">
              <w:rPr>
                <w:sz w:val="20"/>
              </w:rPr>
              <w:br/>
              <w:t>Interviews</w:t>
            </w:r>
          </w:p>
        </w:tc>
        <w:tc>
          <w:tcPr>
            <w:tcW w:w="1120" w:type="pct"/>
            <w:tcBorders>
              <w:bottom w:val="single" w:sz="4" w:space="0" w:color="auto"/>
            </w:tcBorders>
          </w:tcPr>
          <w:p w14:paraId="379537D6" w14:textId="77777777" w:rsidR="00C8646A" w:rsidRPr="009A43CD" w:rsidRDefault="00C8646A" w:rsidP="009B10BE">
            <w:pPr>
              <w:rPr>
                <w:sz w:val="20"/>
              </w:rPr>
            </w:pPr>
            <w:r>
              <w:rPr>
                <w:sz w:val="20"/>
              </w:rPr>
              <w:t>WIPO staff</w:t>
            </w:r>
            <w:r>
              <w:rPr>
                <w:sz w:val="20"/>
              </w:rPr>
              <w:br/>
              <w:t>External stakeholders</w:t>
            </w:r>
          </w:p>
        </w:tc>
      </w:tr>
      <w:tr w:rsidR="00C8646A" w:rsidRPr="0066637F" w14:paraId="44BEFE2D" w14:textId="77777777" w:rsidTr="008344ED">
        <w:trPr>
          <w:trHeight w:val="242"/>
        </w:trPr>
        <w:tc>
          <w:tcPr>
            <w:tcW w:w="1797" w:type="pct"/>
            <w:tcBorders>
              <w:bottom w:val="single" w:sz="4" w:space="0" w:color="auto"/>
            </w:tcBorders>
          </w:tcPr>
          <w:p w14:paraId="14565575" w14:textId="77777777" w:rsidR="00C8646A" w:rsidRDefault="00C8646A" w:rsidP="009B10BE">
            <w:pPr>
              <w:rPr>
                <w:sz w:val="20"/>
              </w:rPr>
            </w:pPr>
            <w:r>
              <w:rPr>
                <w:sz w:val="20"/>
              </w:rPr>
              <w:t>3</w:t>
            </w:r>
            <w:r w:rsidRPr="00DA7370">
              <w:rPr>
                <w:sz w:val="20"/>
              </w:rPr>
              <w:t xml:space="preserve">. The extent to which other entities within the </w:t>
            </w:r>
            <w:r>
              <w:rPr>
                <w:sz w:val="20"/>
              </w:rPr>
              <w:t xml:space="preserve">WIPO </w:t>
            </w:r>
            <w:r w:rsidRPr="00DA7370">
              <w:rPr>
                <w:sz w:val="20"/>
              </w:rPr>
              <w:t xml:space="preserve">Secretariat have contributed and enabled an effective and efficient project implementation. </w:t>
            </w:r>
          </w:p>
          <w:p w14:paraId="785F5EBC" w14:textId="77777777" w:rsidR="00830AEE" w:rsidRPr="00DA7370" w:rsidRDefault="00830AEE" w:rsidP="009B10BE">
            <w:pPr>
              <w:rPr>
                <w:sz w:val="20"/>
              </w:rPr>
            </w:pPr>
          </w:p>
        </w:tc>
        <w:tc>
          <w:tcPr>
            <w:tcW w:w="1188" w:type="pct"/>
            <w:tcBorders>
              <w:bottom w:val="single" w:sz="4" w:space="0" w:color="auto"/>
            </w:tcBorders>
          </w:tcPr>
          <w:p w14:paraId="7DC2454F" w14:textId="77777777" w:rsidR="00C8646A" w:rsidRPr="00DA7370" w:rsidRDefault="00C8646A" w:rsidP="009B10BE">
            <w:pPr>
              <w:rPr>
                <w:sz w:val="20"/>
              </w:rPr>
            </w:pPr>
            <w:r w:rsidRPr="00DA7370">
              <w:rPr>
                <w:sz w:val="20"/>
              </w:rPr>
              <w:t xml:space="preserve">Number of WIPO </w:t>
            </w:r>
            <w:r>
              <w:rPr>
                <w:sz w:val="20"/>
              </w:rPr>
              <w:t>entities</w:t>
            </w:r>
            <w:r w:rsidRPr="00DA7370">
              <w:rPr>
                <w:sz w:val="20"/>
              </w:rPr>
              <w:t xml:space="preserve"> involved in the project and their contribution</w:t>
            </w:r>
          </w:p>
        </w:tc>
        <w:tc>
          <w:tcPr>
            <w:tcW w:w="895" w:type="pct"/>
            <w:tcBorders>
              <w:bottom w:val="single" w:sz="4" w:space="0" w:color="auto"/>
            </w:tcBorders>
          </w:tcPr>
          <w:p w14:paraId="20E9E103" w14:textId="77777777" w:rsidR="00C8646A" w:rsidRPr="00DA7370" w:rsidRDefault="00C8646A" w:rsidP="009B10BE">
            <w:pPr>
              <w:rPr>
                <w:sz w:val="20"/>
              </w:rPr>
            </w:pPr>
            <w:r w:rsidRPr="00DA7370">
              <w:rPr>
                <w:sz w:val="20"/>
              </w:rPr>
              <w:t>Document review</w:t>
            </w:r>
            <w:r w:rsidRPr="00DA7370">
              <w:rPr>
                <w:sz w:val="20"/>
              </w:rPr>
              <w:br/>
              <w:t>Interviews</w:t>
            </w:r>
          </w:p>
        </w:tc>
        <w:tc>
          <w:tcPr>
            <w:tcW w:w="1120" w:type="pct"/>
            <w:tcBorders>
              <w:bottom w:val="single" w:sz="4" w:space="0" w:color="auto"/>
            </w:tcBorders>
          </w:tcPr>
          <w:p w14:paraId="4769E690" w14:textId="77777777" w:rsidR="00C8646A" w:rsidRPr="009A43CD" w:rsidRDefault="00C8646A" w:rsidP="009B10BE">
            <w:pPr>
              <w:rPr>
                <w:sz w:val="20"/>
              </w:rPr>
            </w:pPr>
            <w:r>
              <w:rPr>
                <w:sz w:val="20"/>
              </w:rPr>
              <w:t>WIPO staff</w:t>
            </w:r>
            <w:r>
              <w:rPr>
                <w:sz w:val="20"/>
              </w:rPr>
              <w:br/>
              <w:t>External stakeholders</w:t>
            </w:r>
          </w:p>
        </w:tc>
      </w:tr>
      <w:tr w:rsidR="00C8646A" w:rsidRPr="0066637F" w14:paraId="2FA31796" w14:textId="77777777" w:rsidTr="008344ED">
        <w:trPr>
          <w:trHeight w:val="242"/>
        </w:trPr>
        <w:tc>
          <w:tcPr>
            <w:tcW w:w="1797" w:type="pct"/>
            <w:tcBorders>
              <w:bottom w:val="single" w:sz="4" w:space="0" w:color="auto"/>
            </w:tcBorders>
          </w:tcPr>
          <w:p w14:paraId="6E29D258" w14:textId="77777777" w:rsidR="00C8646A" w:rsidRPr="00DA7370" w:rsidRDefault="00C8646A" w:rsidP="009B10BE">
            <w:pPr>
              <w:rPr>
                <w:sz w:val="20"/>
              </w:rPr>
            </w:pPr>
            <w:r>
              <w:rPr>
                <w:sz w:val="20"/>
              </w:rPr>
              <w:t>4</w:t>
            </w:r>
            <w:r w:rsidRPr="00DA7370">
              <w:rPr>
                <w:sz w:val="20"/>
              </w:rPr>
              <w:t xml:space="preserve">. The extent to which the risks identified in the initial project document have materialized or been mitigated. </w:t>
            </w:r>
          </w:p>
        </w:tc>
        <w:tc>
          <w:tcPr>
            <w:tcW w:w="1188" w:type="pct"/>
            <w:tcBorders>
              <w:bottom w:val="single" w:sz="4" w:space="0" w:color="auto"/>
            </w:tcBorders>
          </w:tcPr>
          <w:p w14:paraId="7C479F8B" w14:textId="77777777" w:rsidR="00C8646A" w:rsidRDefault="00C8646A" w:rsidP="009B10BE">
            <w:pPr>
              <w:rPr>
                <w:sz w:val="20"/>
              </w:rPr>
            </w:pPr>
            <w:r>
              <w:rPr>
                <w:sz w:val="20"/>
              </w:rPr>
              <w:t xml:space="preserve">Type of </w:t>
            </w:r>
            <w:r w:rsidRPr="00DA7370">
              <w:rPr>
                <w:sz w:val="20"/>
              </w:rPr>
              <w:t>risk</w:t>
            </w:r>
            <w:r>
              <w:rPr>
                <w:sz w:val="20"/>
              </w:rPr>
              <w:t xml:space="preserve">s </w:t>
            </w:r>
            <w:r w:rsidRPr="00DA7370">
              <w:rPr>
                <w:sz w:val="20"/>
              </w:rPr>
              <w:t xml:space="preserve">encountered during project </w:t>
            </w:r>
            <w:r>
              <w:rPr>
                <w:sz w:val="20"/>
              </w:rPr>
              <w:t xml:space="preserve">implementation </w:t>
            </w:r>
            <w:r w:rsidRPr="00DA7370">
              <w:rPr>
                <w:sz w:val="20"/>
              </w:rPr>
              <w:t xml:space="preserve">and how they were </w:t>
            </w:r>
            <w:proofErr w:type="gramStart"/>
            <w:r w:rsidRPr="00DA7370">
              <w:rPr>
                <w:sz w:val="20"/>
              </w:rPr>
              <w:t>addressed</w:t>
            </w:r>
            <w:proofErr w:type="gramEnd"/>
          </w:p>
          <w:p w14:paraId="55777D8B" w14:textId="77777777" w:rsidR="00830AEE" w:rsidRPr="00DA7370" w:rsidRDefault="00830AEE" w:rsidP="009B10BE">
            <w:pPr>
              <w:rPr>
                <w:sz w:val="20"/>
              </w:rPr>
            </w:pPr>
          </w:p>
        </w:tc>
        <w:tc>
          <w:tcPr>
            <w:tcW w:w="895" w:type="pct"/>
            <w:tcBorders>
              <w:bottom w:val="single" w:sz="4" w:space="0" w:color="auto"/>
            </w:tcBorders>
          </w:tcPr>
          <w:p w14:paraId="641815D6" w14:textId="77777777" w:rsidR="00C8646A" w:rsidRPr="00DA7370" w:rsidRDefault="00C8646A" w:rsidP="009B10BE">
            <w:pPr>
              <w:rPr>
                <w:sz w:val="20"/>
              </w:rPr>
            </w:pPr>
            <w:r w:rsidRPr="00DA7370">
              <w:rPr>
                <w:sz w:val="20"/>
              </w:rPr>
              <w:t>Document review</w:t>
            </w:r>
            <w:r w:rsidRPr="00DA7370">
              <w:rPr>
                <w:sz w:val="20"/>
              </w:rPr>
              <w:br/>
              <w:t>Interviews</w:t>
            </w:r>
          </w:p>
        </w:tc>
        <w:tc>
          <w:tcPr>
            <w:tcW w:w="1120" w:type="pct"/>
            <w:tcBorders>
              <w:bottom w:val="single" w:sz="4" w:space="0" w:color="auto"/>
            </w:tcBorders>
          </w:tcPr>
          <w:p w14:paraId="0B0A9281" w14:textId="77777777" w:rsidR="00C8646A" w:rsidRPr="009A43CD" w:rsidRDefault="00C8646A" w:rsidP="009B10BE">
            <w:pPr>
              <w:rPr>
                <w:sz w:val="20"/>
              </w:rPr>
            </w:pPr>
            <w:r>
              <w:rPr>
                <w:sz w:val="20"/>
              </w:rPr>
              <w:t>WIPO staff</w:t>
            </w:r>
            <w:r>
              <w:rPr>
                <w:sz w:val="20"/>
              </w:rPr>
              <w:br/>
              <w:t>External stakeholders</w:t>
            </w:r>
          </w:p>
        </w:tc>
      </w:tr>
      <w:tr w:rsidR="00C8646A" w:rsidRPr="0066637F" w14:paraId="12E41F00" w14:textId="77777777" w:rsidTr="008344ED">
        <w:trPr>
          <w:trHeight w:val="242"/>
        </w:trPr>
        <w:tc>
          <w:tcPr>
            <w:tcW w:w="1797" w:type="pct"/>
            <w:tcBorders>
              <w:bottom w:val="single" w:sz="4" w:space="0" w:color="auto"/>
            </w:tcBorders>
          </w:tcPr>
          <w:p w14:paraId="1362CA5D" w14:textId="77777777" w:rsidR="00C8646A" w:rsidRDefault="00C8646A" w:rsidP="009B10BE">
            <w:pPr>
              <w:rPr>
                <w:sz w:val="20"/>
              </w:rPr>
            </w:pPr>
            <w:r>
              <w:rPr>
                <w:sz w:val="20"/>
              </w:rPr>
              <w:t>5</w:t>
            </w:r>
            <w:r w:rsidRPr="00DA7370">
              <w:rPr>
                <w:sz w:val="20"/>
              </w:rPr>
              <w:t xml:space="preserve">. The project’s ability to respond to emerging trends, </w:t>
            </w:r>
            <w:proofErr w:type="gramStart"/>
            <w:r w:rsidRPr="00DA7370">
              <w:rPr>
                <w:sz w:val="20"/>
              </w:rPr>
              <w:t>technologies</w:t>
            </w:r>
            <w:proofErr w:type="gramEnd"/>
            <w:r w:rsidRPr="00DA7370">
              <w:rPr>
                <w:sz w:val="20"/>
              </w:rPr>
              <w:t xml:space="preserve"> and other external forces. </w:t>
            </w:r>
          </w:p>
          <w:p w14:paraId="1ECC9C3A" w14:textId="77777777" w:rsidR="00830AEE" w:rsidRPr="00DA7370" w:rsidRDefault="00830AEE" w:rsidP="009B10BE">
            <w:pPr>
              <w:rPr>
                <w:sz w:val="20"/>
              </w:rPr>
            </w:pPr>
          </w:p>
        </w:tc>
        <w:tc>
          <w:tcPr>
            <w:tcW w:w="1188" w:type="pct"/>
            <w:tcBorders>
              <w:bottom w:val="single" w:sz="4" w:space="0" w:color="auto"/>
            </w:tcBorders>
          </w:tcPr>
          <w:p w14:paraId="2A922288" w14:textId="77777777" w:rsidR="00C8646A" w:rsidRPr="00DA7370" w:rsidRDefault="00C8646A" w:rsidP="009B10BE">
            <w:pPr>
              <w:rPr>
                <w:sz w:val="20"/>
              </w:rPr>
            </w:pPr>
            <w:r w:rsidRPr="00DA7370">
              <w:rPr>
                <w:sz w:val="20"/>
              </w:rPr>
              <w:t>Level of ability of the project to respon</w:t>
            </w:r>
            <w:r>
              <w:rPr>
                <w:sz w:val="20"/>
              </w:rPr>
              <w:t>d to external forces</w:t>
            </w:r>
          </w:p>
        </w:tc>
        <w:tc>
          <w:tcPr>
            <w:tcW w:w="895" w:type="pct"/>
            <w:tcBorders>
              <w:bottom w:val="single" w:sz="4" w:space="0" w:color="auto"/>
            </w:tcBorders>
          </w:tcPr>
          <w:p w14:paraId="43437D7E" w14:textId="77777777" w:rsidR="00C8646A" w:rsidRPr="00DA7370" w:rsidRDefault="00C8646A" w:rsidP="009B10BE">
            <w:pPr>
              <w:rPr>
                <w:sz w:val="20"/>
              </w:rPr>
            </w:pPr>
            <w:r w:rsidRPr="00DA7370">
              <w:rPr>
                <w:sz w:val="20"/>
              </w:rPr>
              <w:t>Document review</w:t>
            </w:r>
            <w:r w:rsidRPr="00DA7370">
              <w:rPr>
                <w:sz w:val="20"/>
              </w:rPr>
              <w:br/>
              <w:t>Interviews</w:t>
            </w:r>
          </w:p>
        </w:tc>
        <w:tc>
          <w:tcPr>
            <w:tcW w:w="1120" w:type="pct"/>
            <w:tcBorders>
              <w:bottom w:val="single" w:sz="4" w:space="0" w:color="auto"/>
            </w:tcBorders>
          </w:tcPr>
          <w:p w14:paraId="0F322C8F" w14:textId="77777777" w:rsidR="00C8646A" w:rsidRPr="009A43CD" w:rsidRDefault="00C8646A" w:rsidP="009B10BE">
            <w:pPr>
              <w:rPr>
                <w:sz w:val="20"/>
              </w:rPr>
            </w:pPr>
            <w:r>
              <w:rPr>
                <w:sz w:val="20"/>
              </w:rPr>
              <w:t>WIPO staff</w:t>
            </w:r>
            <w:r>
              <w:rPr>
                <w:sz w:val="20"/>
              </w:rPr>
              <w:br/>
              <w:t>External stakeholders</w:t>
            </w:r>
          </w:p>
        </w:tc>
      </w:tr>
      <w:tr w:rsidR="00C8646A" w:rsidRPr="007B0A5E" w14:paraId="35C2D029" w14:textId="77777777" w:rsidTr="008344ED">
        <w:trPr>
          <w:trHeight w:val="242"/>
        </w:trPr>
        <w:tc>
          <w:tcPr>
            <w:tcW w:w="5000" w:type="pct"/>
            <w:gridSpan w:val="4"/>
            <w:tcBorders>
              <w:bottom w:val="single" w:sz="4" w:space="0" w:color="auto"/>
            </w:tcBorders>
          </w:tcPr>
          <w:p w14:paraId="54860D8D" w14:textId="77777777" w:rsidR="00C8646A" w:rsidRPr="0066637F" w:rsidRDefault="00C8646A" w:rsidP="009B10BE">
            <w:pPr>
              <w:rPr>
                <w:b/>
              </w:rPr>
            </w:pPr>
            <w:r>
              <w:rPr>
                <w:b/>
              </w:rPr>
              <w:t xml:space="preserve">Effectiveness </w:t>
            </w:r>
            <w:r w:rsidRPr="0066637F">
              <w:rPr>
                <w:b/>
              </w:rPr>
              <w:t xml:space="preserve"> </w:t>
            </w:r>
          </w:p>
        </w:tc>
      </w:tr>
      <w:tr w:rsidR="00C8646A" w:rsidRPr="00D26EED" w14:paraId="1F8749AE" w14:textId="77777777" w:rsidTr="008344ED">
        <w:trPr>
          <w:trHeight w:val="242"/>
        </w:trPr>
        <w:tc>
          <w:tcPr>
            <w:tcW w:w="1797" w:type="pct"/>
          </w:tcPr>
          <w:p w14:paraId="472CBB8D" w14:textId="77777777" w:rsidR="00C8646A" w:rsidRDefault="00C8646A" w:rsidP="009B10BE">
            <w:pPr>
              <w:rPr>
                <w:sz w:val="20"/>
              </w:rPr>
            </w:pPr>
            <w:r>
              <w:rPr>
                <w:sz w:val="20"/>
              </w:rPr>
              <w:t>1. T</w:t>
            </w:r>
            <w:r w:rsidRPr="00CF6674">
              <w:rPr>
                <w:sz w:val="20"/>
              </w:rPr>
              <w:t xml:space="preserve">he effectiveness and usefulness of the outputs developed in the context of the project, including scoping studies on the production areas and community enterprises that could benefit from the use of collective mark; drafting and adoption of regulations on the use of the collective </w:t>
            </w:r>
            <w:proofErr w:type="gramStart"/>
            <w:r w:rsidRPr="00CF6674">
              <w:rPr>
                <w:sz w:val="20"/>
              </w:rPr>
              <w:t>mark;  and</w:t>
            </w:r>
            <w:proofErr w:type="gramEnd"/>
            <w:r w:rsidRPr="00CF6674">
              <w:rPr>
                <w:sz w:val="20"/>
              </w:rPr>
              <w:t xml:space="preserve"> development of a practical guide on the development and registration of collective marks, for replication in other scenarios, and customization for each beneficiary country</w:t>
            </w:r>
            <w:r>
              <w:rPr>
                <w:sz w:val="20"/>
              </w:rPr>
              <w:t>.</w:t>
            </w:r>
          </w:p>
          <w:p w14:paraId="0DB88AFE" w14:textId="77777777" w:rsidR="00830AEE" w:rsidRPr="00506A5E" w:rsidRDefault="00830AEE" w:rsidP="009B10BE">
            <w:pPr>
              <w:rPr>
                <w:sz w:val="20"/>
              </w:rPr>
            </w:pPr>
          </w:p>
        </w:tc>
        <w:tc>
          <w:tcPr>
            <w:tcW w:w="1188" w:type="pct"/>
          </w:tcPr>
          <w:p w14:paraId="7BB8DA6F" w14:textId="77777777" w:rsidR="00C8646A" w:rsidRPr="00506A5E" w:rsidRDefault="00C8646A" w:rsidP="009B10BE">
            <w:pPr>
              <w:rPr>
                <w:sz w:val="20"/>
              </w:rPr>
            </w:pPr>
            <w:r w:rsidRPr="00506A5E">
              <w:rPr>
                <w:sz w:val="20"/>
              </w:rPr>
              <w:t xml:space="preserve">Extent </w:t>
            </w:r>
            <w:r>
              <w:rPr>
                <w:sz w:val="20"/>
              </w:rPr>
              <w:t>of</w:t>
            </w:r>
            <w:r w:rsidRPr="00506A5E">
              <w:rPr>
                <w:sz w:val="20"/>
              </w:rPr>
              <w:t xml:space="preserve"> effectiveness a</w:t>
            </w:r>
            <w:r>
              <w:rPr>
                <w:sz w:val="20"/>
              </w:rPr>
              <w:t>nd usefulness of the outputs developed in the context of the project</w:t>
            </w:r>
          </w:p>
        </w:tc>
        <w:tc>
          <w:tcPr>
            <w:tcW w:w="895" w:type="pct"/>
          </w:tcPr>
          <w:p w14:paraId="7DA0BBF2" w14:textId="77777777" w:rsidR="00C8646A" w:rsidRPr="00506A5E" w:rsidRDefault="00C8646A" w:rsidP="009B10BE">
            <w:pPr>
              <w:rPr>
                <w:sz w:val="20"/>
              </w:rPr>
            </w:pPr>
            <w:r w:rsidRPr="00506A5E">
              <w:rPr>
                <w:sz w:val="20"/>
              </w:rPr>
              <w:t>Document review</w:t>
            </w:r>
            <w:r w:rsidRPr="00506A5E">
              <w:rPr>
                <w:sz w:val="20"/>
              </w:rPr>
              <w:br/>
              <w:t>Interviews</w:t>
            </w:r>
          </w:p>
        </w:tc>
        <w:tc>
          <w:tcPr>
            <w:tcW w:w="1120" w:type="pct"/>
          </w:tcPr>
          <w:p w14:paraId="1A573B36" w14:textId="77777777" w:rsidR="00C8646A" w:rsidRPr="00506A5E" w:rsidRDefault="00C8646A" w:rsidP="009B10BE">
            <w:pPr>
              <w:rPr>
                <w:sz w:val="20"/>
              </w:rPr>
            </w:pPr>
            <w:r>
              <w:rPr>
                <w:sz w:val="20"/>
              </w:rPr>
              <w:t>WIPO staff</w:t>
            </w:r>
            <w:r>
              <w:rPr>
                <w:sz w:val="20"/>
              </w:rPr>
              <w:br/>
              <w:t>External stakeholders</w:t>
            </w:r>
          </w:p>
        </w:tc>
      </w:tr>
      <w:tr w:rsidR="00C8646A" w:rsidRPr="00D26EED" w14:paraId="6E8F54B7" w14:textId="77777777" w:rsidTr="008344ED">
        <w:trPr>
          <w:trHeight w:val="242"/>
        </w:trPr>
        <w:tc>
          <w:tcPr>
            <w:tcW w:w="1797" w:type="pct"/>
          </w:tcPr>
          <w:p w14:paraId="786D8223" w14:textId="77777777" w:rsidR="00C8646A" w:rsidRDefault="00C8646A" w:rsidP="009B10BE">
            <w:pPr>
              <w:rPr>
                <w:sz w:val="20"/>
              </w:rPr>
            </w:pPr>
            <w:r w:rsidRPr="00903C14">
              <w:rPr>
                <w:sz w:val="20"/>
              </w:rPr>
              <w:t>2. The effectiveness of the project in identifying the potential products that could benefit from a collective mark and selection of the final product.</w:t>
            </w:r>
          </w:p>
          <w:p w14:paraId="2422617E" w14:textId="77777777" w:rsidR="00830AEE" w:rsidRPr="00903C14" w:rsidRDefault="00830AEE" w:rsidP="009B10BE">
            <w:pPr>
              <w:rPr>
                <w:sz w:val="20"/>
              </w:rPr>
            </w:pPr>
          </w:p>
        </w:tc>
        <w:tc>
          <w:tcPr>
            <w:tcW w:w="1188" w:type="pct"/>
          </w:tcPr>
          <w:p w14:paraId="5602EAF9" w14:textId="77777777" w:rsidR="00C8646A" w:rsidRPr="00506A5E" w:rsidRDefault="00C8646A" w:rsidP="009B10BE">
            <w:pPr>
              <w:rPr>
                <w:sz w:val="20"/>
              </w:rPr>
            </w:pPr>
            <w:r w:rsidRPr="00506A5E">
              <w:rPr>
                <w:sz w:val="20"/>
              </w:rPr>
              <w:t xml:space="preserve">Extent </w:t>
            </w:r>
            <w:r>
              <w:rPr>
                <w:sz w:val="20"/>
              </w:rPr>
              <w:t>of</w:t>
            </w:r>
            <w:r w:rsidRPr="00506A5E">
              <w:rPr>
                <w:sz w:val="20"/>
              </w:rPr>
              <w:t xml:space="preserve"> effectiveness </w:t>
            </w:r>
            <w:r>
              <w:rPr>
                <w:sz w:val="20"/>
              </w:rPr>
              <w:t xml:space="preserve">of the project in identifying potential products  </w:t>
            </w:r>
          </w:p>
        </w:tc>
        <w:tc>
          <w:tcPr>
            <w:tcW w:w="895" w:type="pct"/>
          </w:tcPr>
          <w:p w14:paraId="48FD483E" w14:textId="77777777" w:rsidR="00C8646A" w:rsidRDefault="00C8646A" w:rsidP="009B10BE">
            <w:pPr>
              <w:rPr>
                <w:sz w:val="20"/>
              </w:rPr>
            </w:pPr>
            <w:r w:rsidRPr="00506A5E">
              <w:rPr>
                <w:sz w:val="20"/>
              </w:rPr>
              <w:t>Document review</w:t>
            </w:r>
            <w:r w:rsidRPr="00506A5E">
              <w:rPr>
                <w:sz w:val="20"/>
              </w:rPr>
              <w:br/>
              <w:t>Interviews</w:t>
            </w:r>
          </w:p>
          <w:p w14:paraId="37C9610B" w14:textId="77777777" w:rsidR="00C8646A" w:rsidRPr="00506A5E" w:rsidRDefault="00C8646A" w:rsidP="009B10BE">
            <w:pPr>
              <w:rPr>
                <w:sz w:val="20"/>
              </w:rPr>
            </w:pPr>
            <w:r w:rsidRPr="00506A5E">
              <w:rPr>
                <w:sz w:val="20"/>
              </w:rPr>
              <w:br/>
            </w:r>
          </w:p>
        </w:tc>
        <w:tc>
          <w:tcPr>
            <w:tcW w:w="1120" w:type="pct"/>
          </w:tcPr>
          <w:p w14:paraId="439CB9C3" w14:textId="77777777" w:rsidR="00C8646A" w:rsidRPr="00506A5E" w:rsidRDefault="00C8646A" w:rsidP="009B10BE">
            <w:pPr>
              <w:rPr>
                <w:sz w:val="20"/>
              </w:rPr>
            </w:pPr>
            <w:r>
              <w:rPr>
                <w:sz w:val="20"/>
              </w:rPr>
              <w:t>WIPO staff</w:t>
            </w:r>
            <w:r>
              <w:rPr>
                <w:sz w:val="20"/>
              </w:rPr>
              <w:br/>
              <w:t>External stakeholders</w:t>
            </w:r>
          </w:p>
        </w:tc>
      </w:tr>
      <w:tr w:rsidR="00C8646A" w:rsidRPr="00D26EED" w14:paraId="6F8F031C" w14:textId="77777777" w:rsidTr="008344ED">
        <w:trPr>
          <w:trHeight w:val="242"/>
        </w:trPr>
        <w:tc>
          <w:tcPr>
            <w:tcW w:w="1797" w:type="pct"/>
          </w:tcPr>
          <w:p w14:paraId="0BB1D962" w14:textId="77777777" w:rsidR="00C8646A" w:rsidRPr="00903C14" w:rsidRDefault="00C8646A" w:rsidP="009B10BE">
            <w:pPr>
              <w:rPr>
                <w:sz w:val="20"/>
              </w:rPr>
            </w:pPr>
            <w:r w:rsidRPr="00903C14">
              <w:rPr>
                <w:sz w:val="20"/>
              </w:rPr>
              <w:t>3.</w:t>
            </w:r>
            <w:r>
              <w:rPr>
                <w:sz w:val="20"/>
              </w:rPr>
              <w:t xml:space="preserve"> </w:t>
            </w:r>
            <w:r w:rsidRPr="00903C14">
              <w:rPr>
                <w:sz w:val="20"/>
              </w:rPr>
              <w:t>The effectiveness of the project in developing, registering, and launching the collective mark.</w:t>
            </w:r>
          </w:p>
        </w:tc>
        <w:tc>
          <w:tcPr>
            <w:tcW w:w="1188" w:type="pct"/>
          </w:tcPr>
          <w:p w14:paraId="17BDA676" w14:textId="77777777" w:rsidR="00C8646A" w:rsidRDefault="00C8646A" w:rsidP="009B10BE">
            <w:pPr>
              <w:rPr>
                <w:sz w:val="20"/>
              </w:rPr>
            </w:pPr>
            <w:r>
              <w:rPr>
                <w:sz w:val="20"/>
              </w:rPr>
              <w:t xml:space="preserve">Extent of effectiveness of the project in developing, </w:t>
            </w:r>
            <w:proofErr w:type="gramStart"/>
            <w:r>
              <w:rPr>
                <w:sz w:val="20"/>
              </w:rPr>
              <w:t>registering</w:t>
            </w:r>
            <w:proofErr w:type="gramEnd"/>
            <w:r>
              <w:rPr>
                <w:sz w:val="20"/>
              </w:rPr>
              <w:t xml:space="preserve"> and launching the collective mark</w:t>
            </w:r>
          </w:p>
          <w:p w14:paraId="40ED4377" w14:textId="77777777" w:rsidR="00830AEE" w:rsidRPr="00506A5E" w:rsidRDefault="00830AEE" w:rsidP="009B10BE">
            <w:pPr>
              <w:rPr>
                <w:sz w:val="20"/>
              </w:rPr>
            </w:pPr>
          </w:p>
        </w:tc>
        <w:tc>
          <w:tcPr>
            <w:tcW w:w="895" w:type="pct"/>
          </w:tcPr>
          <w:p w14:paraId="69421547" w14:textId="77777777" w:rsidR="00C8646A" w:rsidRDefault="00C8646A" w:rsidP="009B10BE">
            <w:pPr>
              <w:rPr>
                <w:sz w:val="20"/>
              </w:rPr>
            </w:pPr>
            <w:r w:rsidRPr="00506A5E">
              <w:rPr>
                <w:sz w:val="20"/>
              </w:rPr>
              <w:t>Document review</w:t>
            </w:r>
            <w:r w:rsidRPr="00506A5E">
              <w:rPr>
                <w:sz w:val="20"/>
              </w:rPr>
              <w:br/>
              <w:t>Interviews</w:t>
            </w:r>
          </w:p>
          <w:p w14:paraId="273737F6" w14:textId="77777777" w:rsidR="00C8646A" w:rsidRPr="00506A5E" w:rsidRDefault="00C8646A" w:rsidP="009B10BE">
            <w:pPr>
              <w:rPr>
                <w:sz w:val="20"/>
              </w:rPr>
            </w:pPr>
            <w:r w:rsidRPr="00506A5E">
              <w:rPr>
                <w:sz w:val="20"/>
              </w:rPr>
              <w:br/>
            </w:r>
          </w:p>
        </w:tc>
        <w:tc>
          <w:tcPr>
            <w:tcW w:w="1120" w:type="pct"/>
          </w:tcPr>
          <w:p w14:paraId="0C6A92D1" w14:textId="77777777" w:rsidR="00C8646A" w:rsidRDefault="00C8646A" w:rsidP="009B10BE">
            <w:pPr>
              <w:rPr>
                <w:sz w:val="20"/>
              </w:rPr>
            </w:pPr>
            <w:r>
              <w:rPr>
                <w:sz w:val="20"/>
              </w:rPr>
              <w:t>WIPO staff</w:t>
            </w:r>
            <w:r>
              <w:rPr>
                <w:sz w:val="20"/>
              </w:rPr>
              <w:br/>
              <w:t>External stakeholders</w:t>
            </w:r>
          </w:p>
        </w:tc>
      </w:tr>
      <w:tr w:rsidR="00C8646A" w:rsidRPr="00D26EED" w14:paraId="15C8CEB7" w14:textId="77777777" w:rsidTr="008344ED">
        <w:trPr>
          <w:trHeight w:val="242"/>
        </w:trPr>
        <w:tc>
          <w:tcPr>
            <w:tcW w:w="1797" w:type="pct"/>
          </w:tcPr>
          <w:p w14:paraId="5C77494C" w14:textId="77777777" w:rsidR="00C8646A" w:rsidRPr="00903C14" w:rsidRDefault="00C8646A" w:rsidP="009B10BE">
            <w:pPr>
              <w:rPr>
                <w:sz w:val="20"/>
              </w:rPr>
            </w:pPr>
            <w:r w:rsidRPr="00903C14">
              <w:rPr>
                <w:sz w:val="20"/>
              </w:rPr>
              <w:t>4.The effectiveness of the project in delivering capacity building and awareness-raising activities.</w:t>
            </w:r>
          </w:p>
        </w:tc>
        <w:tc>
          <w:tcPr>
            <w:tcW w:w="1188" w:type="pct"/>
          </w:tcPr>
          <w:p w14:paraId="799ACC56" w14:textId="77777777" w:rsidR="00C8646A" w:rsidRDefault="00C8646A" w:rsidP="009B10BE">
            <w:pPr>
              <w:rPr>
                <w:sz w:val="20"/>
              </w:rPr>
            </w:pPr>
            <w:r>
              <w:rPr>
                <w:sz w:val="20"/>
              </w:rPr>
              <w:t xml:space="preserve">Extent of effectiveness of the project in delivering capacity building and awareness-raising activities </w:t>
            </w:r>
          </w:p>
          <w:p w14:paraId="6743D9D3" w14:textId="77777777" w:rsidR="00830AEE" w:rsidRPr="00506A5E" w:rsidRDefault="00830AEE" w:rsidP="009B10BE">
            <w:pPr>
              <w:rPr>
                <w:sz w:val="20"/>
              </w:rPr>
            </w:pPr>
          </w:p>
        </w:tc>
        <w:tc>
          <w:tcPr>
            <w:tcW w:w="895" w:type="pct"/>
          </w:tcPr>
          <w:p w14:paraId="31085F1A" w14:textId="77777777" w:rsidR="00C8646A" w:rsidRDefault="00C8646A" w:rsidP="009B10BE">
            <w:pPr>
              <w:rPr>
                <w:sz w:val="20"/>
              </w:rPr>
            </w:pPr>
            <w:r w:rsidRPr="00506A5E">
              <w:rPr>
                <w:sz w:val="20"/>
              </w:rPr>
              <w:t>Document review</w:t>
            </w:r>
            <w:r w:rsidRPr="00506A5E">
              <w:rPr>
                <w:sz w:val="20"/>
              </w:rPr>
              <w:br/>
              <w:t>Interviews</w:t>
            </w:r>
          </w:p>
          <w:p w14:paraId="29352E0E" w14:textId="77777777" w:rsidR="00C8646A" w:rsidRPr="00506A5E" w:rsidRDefault="00C8646A" w:rsidP="009B10BE">
            <w:pPr>
              <w:rPr>
                <w:sz w:val="20"/>
              </w:rPr>
            </w:pPr>
            <w:r w:rsidRPr="00506A5E">
              <w:rPr>
                <w:sz w:val="20"/>
              </w:rPr>
              <w:br/>
            </w:r>
          </w:p>
        </w:tc>
        <w:tc>
          <w:tcPr>
            <w:tcW w:w="1120" w:type="pct"/>
          </w:tcPr>
          <w:p w14:paraId="78349F1B" w14:textId="77777777" w:rsidR="00C8646A" w:rsidRDefault="00C8646A" w:rsidP="009B10BE">
            <w:pPr>
              <w:rPr>
                <w:sz w:val="20"/>
              </w:rPr>
            </w:pPr>
            <w:r>
              <w:rPr>
                <w:sz w:val="20"/>
              </w:rPr>
              <w:t>WIPO staff</w:t>
            </w:r>
            <w:r>
              <w:rPr>
                <w:sz w:val="20"/>
              </w:rPr>
              <w:br/>
              <w:t>External stakeholders</w:t>
            </w:r>
          </w:p>
        </w:tc>
      </w:tr>
      <w:tr w:rsidR="00C8646A" w:rsidRPr="00D26EED" w14:paraId="7A7A8589" w14:textId="77777777" w:rsidTr="008344ED">
        <w:trPr>
          <w:trHeight w:val="242"/>
        </w:trPr>
        <w:tc>
          <w:tcPr>
            <w:tcW w:w="5000" w:type="pct"/>
            <w:gridSpan w:val="4"/>
          </w:tcPr>
          <w:p w14:paraId="53AEF85A" w14:textId="77777777" w:rsidR="00C8646A" w:rsidRPr="00C53933" w:rsidRDefault="00C8646A" w:rsidP="009B10BE">
            <w:pPr>
              <w:rPr>
                <w:b/>
              </w:rPr>
            </w:pPr>
            <w:r w:rsidRPr="00C53933">
              <w:rPr>
                <w:b/>
              </w:rPr>
              <w:t>Sustainability</w:t>
            </w:r>
          </w:p>
        </w:tc>
      </w:tr>
      <w:tr w:rsidR="00C8646A" w:rsidRPr="00D26EED" w14:paraId="55476A69" w14:textId="77777777" w:rsidTr="008344ED">
        <w:trPr>
          <w:trHeight w:val="242"/>
        </w:trPr>
        <w:tc>
          <w:tcPr>
            <w:tcW w:w="1797" w:type="pct"/>
          </w:tcPr>
          <w:p w14:paraId="3FF945C8" w14:textId="77777777" w:rsidR="00C8646A" w:rsidRDefault="00C8646A" w:rsidP="009B10BE">
            <w:pPr>
              <w:rPr>
                <w:sz w:val="20"/>
              </w:rPr>
            </w:pPr>
            <w:r>
              <w:rPr>
                <w:sz w:val="20"/>
              </w:rPr>
              <w:t xml:space="preserve">1. </w:t>
            </w:r>
            <w:r w:rsidRPr="003C00F6">
              <w:rPr>
                <w:sz w:val="20"/>
              </w:rPr>
              <w:t xml:space="preserve">The likelihood </w:t>
            </w:r>
            <w:r>
              <w:rPr>
                <w:sz w:val="20"/>
              </w:rPr>
              <w:t xml:space="preserve">of the continuation of </w:t>
            </w:r>
            <w:r w:rsidRPr="00903C14">
              <w:rPr>
                <w:sz w:val="20"/>
              </w:rPr>
              <w:t>work on the use of the registration of the collective marks of local enterprises as a cross-cutting economic development issue.</w:t>
            </w:r>
          </w:p>
          <w:p w14:paraId="4961C7BD" w14:textId="77777777" w:rsidR="00830AEE" w:rsidRPr="00506A5E" w:rsidRDefault="00830AEE" w:rsidP="009B10BE">
            <w:pPr>
              <w:rPr>
                <w:sz w:val="20"/>
              </w:rPr>
            </w:pPr>
          </w:p>
        </w:tc>
        <w:tc>
          <w:tcPr>
            <w:tcW w:w="1188" w:type="pct"/>
          </w:tcPr>
          <w:p w14:paraId="473877F3" w14:textId="77777777" w:rsidR="00C8646A" w:rsidRPr="00506A5E" w:rsidRDefault="00C8646A" w:rsidP="009B10BE">
            <w:pPr>
              <w:rPr>
                <w:sz w:val="20"/>
              </w:rPr>
            </w:pPr>
            <w:r>
              <w:rPr>
                <w:sz w:val="20"/>
              </w:rPr>
              <w:t>Likelihood of continued use of the registration of the collective marks of local enterprises</w:t>
            </w:r>
          </w:p>
        </w:tc>
        <w:tc>
          <w:tcPr>
            <w:tcW w:w="895" w:type="pct"/>
          </w:tcPr>
          <w:p w14:paraId="5C5E7A65" w14:textId="77777777" w:rsidR="00C8646A" w:rsidRPr="00506A5E" w:rsidRDefault="00C8646A" w:rsidP="009B10BE">
            <w:pPr>
              <w:rPr>
                <w:sz w:val="20"/>
              </w:rPr>
            </w:pPr>
            <w:r w:rsidRPr="00506A5E">
              <w:rPr>
                <w:sz w:val="20"/>
              </w:rPr>
              <w:t>Document review</w:t>
            </w:r>
            <w:r w:rsidRPr="00506A5E">
              <w:rPr>
                <w:sz w:val="20"/>
              </w:rPr>
              <w:br/>
              <w:t>Interviews</w:t>
            </w:r>
          </w:p>
          <w:p w14:paraId="2F8A5BB8" w14:textId="77777777" w:rsidR="00C8646A" w:rsidRPr="00506A5E" w:rsidRDefault="00C8646A" w:rsidP="009B10BE">
            <w:pPr>
              <w:rPr>
                <w:sz w:val="20"/>
              </w:rPr>
            </w:pPr>
          </w:p>
        </w:tc>
        <w:tc>
          <w:tcPr>
            <w:tcW w:w="1120" w:type="pct"/>
          </w:tcPr>
          <w:p w14:paraId="69ED7251" w14:textId="77777777" w:rsidR="00C8646A" w:rsidRPr="00506A5E" w:rsidRDefault="00C8646A" w:rsidP="009B10BE">
            <w:pPr>
              <w:rPr>
                <w:sz w:val="20"/>
              </w:rPr>
            </w:pPr>
            <w:r>
              <w:rPr>
                <w:sz w:val="20"/>
              </w:rPr>
              <w:t>WIPO staff</w:t>
            </w:r>
            <w:r>
              <w:rPr>
                <w:sz w:val="20"/>
              </w:rPr>
              <w:br/>
              <w:t>External stakeholders</w:t>
            </w:r>
          </w:p>
        </w:tc>
      </w:tr>
      <w:tr w:rsidR="00C8646A" w:rsidRPr="00D26EED" w14:paraId="796B34AB" w14:textId="77777777" w:rsidTr="008344ED">
        <w:trPr>
          <w:trHeight w:val="242"/>
        </w:trPr>
        <w:tc>
          <w:tcPr>
            <w:tcW w:w="5000" w:type="pct"/>
            <w:gridSpan w:val="4"/>
          </w:tcPr>
          <w:p w14:paraId="2FCA27F2" w14:textId="77777777" w:rsidR="00C8646A" w:rsidRPr="00C53933" w:rsidRDefault="00C8646A" w:rsidP="009B10BE">
            <w:pPr>
              <w:rPr>
                <w:b/>
              </w:rPr>
            </w:pPr>
            <w:r>
              <w:rPr>
                <w:b/>
              </w:rPr>
              <w:t xml:space="preserve">Implementation of Development Agenda (DA) Recommendations </w:t>
            </w:r>
          </w:p>
        </w:tc>
      </w:tr>
      <w:tr w:rsidR="00C8646A" w:rsidRPr="00D26EED" w14:paraId="5AC44C37" w14:textId="77777777" w:rsidTr="008344ED">
        <w:trPr>
          <w:trHeight w:val="242"/>
        </w:trPr>
        <w:tc>
          <w:tcPr>
            <w:tcW w:w="1797" w:type="pct"/>
          </w:tcPr>
          <w:p w14:paraId="21A27288" w14:textId="28CBCDDC" w:rsidR="00C8646A" w:rsidRDefault="00C8646A" w:rsidP="009B10BE">
            <w:pPr>
              <w:rPr>
                <w:sz w:val="20"/>
              </w:rPr>
            </w:pPr>
            <w:r>
              <w:rPr>
                <w:sz w:val="20"/>
              </w:rPr>
              <w:t>1</w:t>
            </w:r>
            <w:r w:rsidRPr="00506A5E">
              <w:rPr>
                <w:sz w:val="20"/>
              </w:rPr>
              <w:t>. The extent to which the DA Recommendation</w:t>
            </w:r>
            <w:r>
              <w:rPr>
                <w:sz w:val="20"/>
              </w:rPr>
              <w:t>s 1, 4 and 10</w:t>
            </w:r>
            <w:r w:rsidRPr="00506A5E">
              <w:rPr>
                <w:sz w:val="20"/>
              </w:rPr>
              <w:t xml:space="preserve"> </w:t>
            </w:r>
            <w:r>
              <w:rPr>
                <w:sz w:val="20"/>
              </w:rPr>
              <w:t xml:space="preserve">have </w:t>
            </w:r>
            <w:r w:rsidRPr="00506A5E">
              <w:rPr>
                <w:sz w:val="20"/>
              </w:rPr>
              <w:t>been implemented through this project</w:t>
            </w:r>
            <w:r w:rsidR="00434059">
              <w:rPr>
                <w:sz w:val="20"/>
              </w:rPr>
              <w:t xml:space="preserve">. </w:t>
            </w:r>
            <w:r w:rsidRPr="00506A5E">
              <w:rPr>
                <w:sz w:val="20"/>
              </w:rPr>
              <w:t xml:space="preserve"> </w:t>
            </w:r>
          </w:p>
          <w:p w14:paraId="20D08872" w14:textId="72740E3E" w:rsidR="00830AEE" w:rsidRPr="00506A5E" w:rsidRDefault="00830AEE" w:rsidP="009B10BE">
            <w:pPr>
              <w:rPr>
                <w:sz w:val="20"/>
              </w:rPr>
            </w:pPr>
          </w:p>
        </w:tc>
        <w:tc>
          <w:tcPr>
            <w:tcW w:w="1188" w:type="pct"/>
          </w:tcPr>
          <w:p w14:paraId="7B0F4EDC" w14:textId="77777777" w:rsidR="00C8646A" w:rsidRPr="00506A5E" w:rsidRDefault="00C8646A" w:rsidP="009B10BE">
            <w:pPr>
              <w:rPr>
                <w:sz w:val="20"/>
              </w:rPr>
            </w:pPr>
            <w:r w:rsidRPr="00506A5E">
              <w:rPr>
                <w:sz w:val="20"/>
              </w:rPr>
              <w:t>Extent to which recommendation</w:t>
            </w:r>
            <w:r>
              <w:rPr>
                <w:sz w:val="20"/>
              </w:rPr>
              <w:t>s</w:t>
            </w:r>
            <w:r w:rsidRPr="00506A5E">
              <w:rPr>
                <w:sz w:val="20"/>
              </w:rPr>
              <w:t xml:space="preserve"> have been implemented</w:t>
            </w:r>
          </w:p>
        </w:tc>
        <w:tc>
          <w:tcPr>
            <w:tcW w:w="895" w:type="pct"/>
          </w:tcPr>
          <w:p w14:paraId="155138C6" w14:textId="77777777" w:rsidR="00C8646A" w:rsidRPr="00506A5E" w:rsidRDefault="00C8646A" w:rsidP="009B10BE">
            <w:pPr>
              <w:rPr>
                <w:sz w:val="20"/>
              </w:rPr>
            </w:pPr>
            <w:r w:rsidRPr="00506A5E">
              <w:rPr>
                <w:sz w:val="20"/>
              </w:rPr>
              <w:t>Document review</w:t>
            </w:r>
            <w:r w:rsidRPr="00506A5E">
              <w:rPr>
                <w:sz w:val="20"/>
              </w:rPr>
              <w:br/>
              <w:t>Interviews</w:t>
            </w:r>
          </w:p>
          <w:p w14:paraId="67FBB84D" w14:textId="77777777" w:rsidR="00C8646A" w:rsidRPr="00506A5E" w:rsidRDefault="00C8646A" w:rsidP="009B10BE">
            <w:pPr>
              <w:rPr>
                <w:sz w:val="20"/>
              </w:rPr>
            </w:pPr>
          </w:p>
        </w:tc>
        <w:tc>
          <w:tcPr>
            <w:tcW w:w="1120" w:type="pct"/>
          </w:tcPr>
          <w:p w14:paraId="3EDA60E7" w14:textId="77777777" w:rsidR="00C8646A" w:rsidRPr="00506A5E" w:rsidRDefault="00C8646A" w:rsidP="009B10BE">
            <w:pPr>
              <w:rPr>
                <w:sz w:val="20"/>
              </w:rPr>
            </w:pPr>
            <w:r>
              <w:rPr>
                <w:sz w:val="20"/>
              </w:rPr>
              <w:t>WIPO staff</w:t>
            </w:r>
            <w:r>
              <w:rPr>
                <w:sz w:val="20"/>
              </w:rPr>
              <w:br/>
              <w:t>External stakeholders</w:t>
            </w:r>
            <w:r w:rsidRPr="00506A5E">
              <w:rPr>
                <w:sz w:val="20"/>
              </w:rPr>
              <w:t xml:space="preserve"> </w:t>
            </w:r>
          </w:p>
        </w:tc>
      </w:tr>
    </w:tbl>
    <w:p w14:paraId="68617616" w14:textId="77777777" w:rsidR="00B3601C" w:rsidRDefault="00B3601C" w:rsidP="00B3601C"/>
    <w:p w14:paraId="69CFF3E8" w14:textId="1FF07FBF" w:rsidR="0083399E" w:rsidRDefault="0083399E" w:rsidP="00B3601C">
      <w:r>
        <w:t>The research tools will be used across the different themes and questions</w:t>
      </w:r>
      <w:r w:rsidR="00434059">
        <w:t xml:space="preserve">. </w:t>
      </w:r>
      <w:r>
        <w:t xml:space="preserve">The following table provides further information on these tools and how they will be deployed. </w:t>
      </w:r>
    </w:p>
    <w:p w14:paraId="69CCEC29" w14:textId="77777777" w:rsidR="0083399E" w:rsidRDefault="0083399E" w:rsidP="0083399E">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254"/>
        <w:gridCol w:w="4175"/>
      </w:tblGrid>
      <w:tr w:rsidR="00C8646A" w:rsidRPr="000A4A80" w14:paraId="4B2374B3" w14:textId="77777777" w:rsidTr="008344ED">
        <w:trPr>
          <w:trHeight w:val="481"/>
        </w:trPr>
        <w:tc>
          <w:tcPr>
            <w:tcW w:w="1025" w:type="pct"/>
            <w:shd w:val="clear" w:color="auto" w:fill="auto"/>
          </w:tcPr>
          <w:p w14:paraId="74FBBB1D" w14:textId="77777777" w:rsidR="00C8646A" w:rsidRPr="000A4A80" w:rsidRDefault="00C8646A" w:rsidP="00C163D1">
            <w:pPr>
              <w:spacing w:line="240" w:lineRule="atLeast"/>
              <w:rPr>
                <w:b/>
                <w:sz w:val="20"/>
              </w:rPr>
            </w:pPr>
            <w:r w:rsidRPr="000A4A80">
              <w:rPr>
                <w:b/>
                <w:sz w:val="20"/>
              </w:rPr>
              <w:t>Tool</w:t>
            </w:r>
          </w:p>
        </w:tc>
        <w:tc>
          <w:tcPr>
            <w:tcW w:w="1741" w:type="pct"/>
          </w:tcPr>
          <w:p w14:paraId="78464EDA" w14:textId="77777777" w:rsidR="00C8646A" w:rsidRPr="000A4A80" w:rsidRDefault="00C8646A" w:rsidP="00C163D1">
            <w:pPr>
              <w:spacing w:line="240" w:lineRule="atLeast"/>
              <w:rPr>
                <w:b/>
                <w:sz w:val="20"/>
              </w:rPr>
            </w:pPr>
            <w:r w:rsidRPr="000A4A80">
              <w:rPr>
                <w:b/>
                <w:sz w:val="20"/>
              </w:rPr>
              <w:t>Description</w:t>
            </w:r>
          </w:p>
        </w:tc>
        <w:tc>
          <w:tcPr>
            <w:tcW w:w="2234" w:type="pct"/>
            <w:shd w:val="clear" w:color="auto" w:fill="auto"/>
          </w:tcPr>
          <w:p w14:paraId="3C4C0332" w14:textId="77777777" w:rsidR="00C8646A" w:rsidRPr="000A4A80" w:rsidRDefault="00C8646A" w:rsidP="00C163D1">
            <w:pPr>
              <w:spacing w:line="240" w:lineRule="atLeast"/>
              <w:rPr>
                <w:b/>
                <w:sz w:val="20"/>
              </w:rPr>
            </w:pPr>
            <w:r w:rsidRPr="000A4A80">
              <w:rPr>
                <w:b/>
                <w:sz w:val="20"/>
              </w:rPr>
              <w:t>Information source</w:t>
            </w:r>
          </w:p>
        </w:tc>
      </w:tr>
      <w:tr w:rsidR="00C8646A" w:rsidRPr="00E33928" w14:paraId="24B851D3" w14:textId="77777777" w:rsidTr="008344ED">
        <w:trPr>
          <w:trHeight w:val="299"/>
        </w:trPr>
        <w:tc>
          <w:tcPr>
            <w:tcW w:w="1025" w:type="pct"/>
            <w:shd w:val="clear" w:color="auto" w:fill="auto"/>
          </w:tcPr>
          <w:p w14:paraId="2A40C135" w14:textId="77777777" w:rsidR="00C8646A" w:rsidRPr="000A4A80" w:rsidRDefault="00C8646A" w:rsidP="00C163D1">
            <w:pPr>
              <w:spacing w:line="240" w:lineRule="atLeast"/>
              <w:rPr>
                <w:i/>
                <w:sz w:val="20"/>
              </w:rPr>
            </w:pPr>
            <w:r w:rsidRPr="000A4A80">
              <w:rPr>
                <w:i/>
                <w:sz w:val="20"/>
              </w:rPr>
              <w:t xml:space="preserve">Interviews – internal </w:t>
            </w:r>
          </w:p>
        </w:tc>
        <w:tc>
          <w:tcPr>
            <w:tcW w:w="1741" w:type="pct"/>
          </w:tcPr>
          <w:p w14:paraId="1140E15A" w14:textId="77777777" w:rsidR="00C8646A" w:rsidRPr="000A4A80" w:rsidRDefault="00C8646A" w:rsidP="00C163D1">
            <w:pPr>
              <w:spacing w:line="240" w:lineRule="atLeast"/>
              <w:rPr>
                <w:sz w:val="20"/>
              </w:rPr>
            </w:pPr>
            <w:r w:rsidRPr="000A4A80">
              <w:rPr>
                <w:sz w:val="20"/>
              </w:rPr>
              <w:t>Some</w:t>
            </w:r>
            <w:r>
              <w:rPr>
                <w:sz w:val="20"/>
              </w:rPr>
              <w:t xml:space="preserve"> 9</w:t>
            </w:r>
            <w:r w:rsidRPr="000A4A80">
              <w:rPr>
                <w:sz w:val="20"/>
              </w:rPr>
              <w:t xml:space="preserve"> semi-structured interviews</w:t>
            </w:r>
          </w:p>
        </w:tc>
        <w:tc>
          <w:tcPr>
            <w:tcW w:w="2234" w:type="pct"/>
            <w:shd w:val="clear" w:color="auto" w:fill="auto"/>
          </w:tcPr>
          <w:p w14:paraId="0111FE09" w14:textId="77777777" w:rsidR="00C8646A" w:rsidRPr="000A4A80" w:rsidRDefault="00C8646A" w:rsidP="00C163D1">
            <w:pPr>
              <w:spacing w:line="240" w:lineRule="atLeast"/>
              <w:rPr>
                <w:sz w:val="20"/>
              </w:rPr>
            </w:pPr>
            <w:r w:rsidRPr="000A4A80">
              <w:rPr>
                <w:i/>
                <w:sz w:val="20"/>
              </w:rPr>
              <w:t>By telephone &amp; in-person:</w:t>
            </w:r>
          </w:p>
          <w:p w14:paraId="2A4B458F" w14:textId="77777777" w:rsidR="00C8646A" w:rsidRPr="00E33928" w:rsidRDefault="00C8646A" w:rsidP="00C163D1">
            <w:pPr>
              <w:spacing w:line="240" w:lineRule="atLeast"/>
              <w:rPr>
                <w:sz w:val="20"/>
                <w:lang w:val="en-GB"/>
              </w:rPr>
            </w:pPr>
            <w:r w:rsidRPr="000A4A80">
              <w:rPr>
                <w:sz w:val="20"/>
              </w:rPr>
              <w:t xml:space="preserve">WIPO Secretariat staff, including: </w:t>
            </w:r>
            <w:r>
              <w:rPr>
                <w:sz w:val="20"/>
              </w:rPr>
              <w:br/>
              <w:t xml:space="preserve">- </w:t>
            </w:r>
            <w:r w:rsidRPr="005C5386">
              <w:rPr>
                <w:sz w:val="20"/>
              </w:rPr>
              <w:t>Development Agenda Coordination Division (DACD), CDIP Secretariat</w:t>
            </w:r>
            <w:r w:rsidRPr="000A4A80">
              <w:rPr>
                <w:sz w:val="20"/>
              </w:rPr>
              <w:br/>
              <w:t xml:space="preserve">- </w:t>
            </w:r>
            <w:r>
              <w:rPr>
                <w:sz w:val="20"/>
              </w:rPr>
              <w:t>Regional and National Development Sector</w:t>
            </w:r>
            <w:r>
              <w:rPr>
                <w:sz w:val="20"/>
              </w:rPr>
              <w:br/>
            </w:r>
          </w:p>
        </w:tc>
      </w:tr>
      <w:tr w:rsidR="00C8646A" w:rsidRPr="000A4A80" w14:paraId="0464C628" w14:textId="77777777" w:rsidTr="008344ED">
        <w:trPr>
          <w:trHeight w:val="299"/>
        </w:trPr>
        <w:tc>
          <w:tcPr>
            <w:tcW w:w="1025" w:type="pct"/>
            <w:shd w:val="clear" w:color="auto" w:fill="auto"/>
          </w:tcPr>
          <w:p w14:paraId="4E27C695" w14:textId="77777777" w:rsidR="00C8646A" w:rsidRPr="000A4A80" w:rsidRDefault="00C8646A" w:rsidP="00C163D1">
            <w:pPr>
              <w:spacing w:line="240" w:lineRule="atLeast"/>
              <w:rPr>
                <w:i/>
                <w:sz w:val="20"/>
              </w:rPr>
            </w:pPr>
            <w:r w:rsidRPr="000A4A80">
              <w:rPr>
                <w:i/>
                <w:sz w:val="20"/>
              </w:rPr>
              <w:t xml:space="preserve">Interviews – external </w:t>
            </w:r>
          </w:p>
        </w:tc>
        <w:tc>
          <w:tcPr>
            <w:tcW w:w="1741" w:type="pct"/>
          </w:tcPr>
          <w:p w14:paraId="66FA29CA" w14:textId="4328F3A4" w:rsidR="00C8646A" w:rsidRPr="000A4A80" w:rsidRDefault="00C8646A" w:rsidP="00C163D1">
            <w:pPr>
              <w:spacing w:line="240" w:lineRule="atLeast"/>
              <w:rPr>
                <w:sz w:val="20"/>
              </w:rPr>
            </w:pPr>
            <w:r w:rsidRPr="000A4A80">
              <w:rPr>
                <w:sz w:val="20"/>
              </w:rPr>
              <w:t>Some</w:t>
            </w:r>
            <w:r>
              <w:rPr>
                <w:sz w:val="20"/>
              </w:rPr>
              <w:t xml:space="preserve"> 15-25</w:t>
            </w:r>
            <w:r w:rsidRPr="000A4A80">
              <w:rPr>
                <w:sz w:val="20"/>
              </w:rPr>
              <w:t xml:space="preserve"> semi-structured interviews</w:t>
            </w:r>
          </w:p>
        </w:tc>
        <w:tc>
          <w:tcPr>
            <w:tcW w:w="2234" w:type="pct"/>
            <w:shd w:val="clear" w:color="auto" w:fill="auto"/>
          </w:tcPr>
          <w:p w14:paraId="262222DF" w14:textId="77777777" w:rsidR="00C8646A" w:rsidRPr="000A4A80" w:rsidRDefault="00C8646A" w:rsidP="00C163D1">
            <w:pPr>
              <w:spacing w:line="240" w:lineRule="atLeast"/>
              <w:rPr>
                <w:i/>
                <w:sz w:val="20"/>
              </w:rPr>
            </w:pPr>
            <w:r w:rsidRPr="000A4A80">
              <w:rPr>
                <w:i/>
                <w:sz w:val="20"/>
              </w:rPr>
              <w:t>By telephone &amp; in-person:</w:t>
            </w:r>
          </w:p>
          <w:p w14:paraId="06A07B7D" w14:textId="5BF1DFF3" w:rsidR="00C8646A" w:rsidRDefault="00C8646A" w:rsidP="00C163D1">
            <w:pPr>
              <w:spacing w:line="240" w:lineRule="atLeast"/>
              <w:rPr>
                <w:sz w:val="20"/>
              </w:rPr>
            </w:pPr>
            <w:r w:rsidRPr="00082E9F">
              <w:rPr>
                <w:sz w:val="20"/>
              </w:rPr>
              <w:t>-</w:t>
            </w:r>
            <w:r w:rsidR="00830AEE">
              <w:rPr>
                <w:sz w:val="20"/>
              </w:rPr>
              <w:t xml:space="preserve"> </w:t>
            </w:r>
            <w:r>
              <w:rPr>
                <w:sz w:val="20"/>
              </w:rPr>
              <w:t xml:space="preserve">stakeholder in each of the four countries: </w:t>
            </w:r>
          </w:p>
          <w:p w14:paraId="3ED27AE7" w14:textId="77777777" w:rsidR="00C8646A" w:rsidRDefault="00C8646A" w:rsidP="00830AEE">
            <w:pPr>
              <w:spacing w:line="240" w:lineRule="atLeast"/>
              <w:rPr>
                <w:sz w:val="20"/>
              </w:rPr>
            </w:pPr>
            <w:r>
              <w:rPr>
                <w:sz w:val="20"/>
              </w:rPr>
              <w:t>- Government representatives</w:t>
            </w:r>
            <w:r>
              <w:rPr>
                <w:sz w:val="20"/>
              </w:rPr>
              <w:br/>
              <w:t>- Group Coordinators</w:t>
            </w:r>
            <w:r w:rsidRPr="000A4A80">
              <w:rPr>
                <w:sz w:val="20"/>
              </w:rPr>
              <w:t xml:space="preserve"> </w:t>
            </w:r>
          </w:p>
          <w:p w14:paraId="140AFBA6" w14:textId="240DA4FD" w:rsidR="00830AEE" w:rsidRPr="000A4A80" w:rsidRDefault="00830AEE" w:rsidP="00830AEE">
            <w:pPr>
              <w:spacing w:line="240" w:lineRule="atLeast"/>
              <w:rPr>
                <w:i/>
                <w:sz w:val="20"/>
              </w:rPr>
            </w:pPr>
          </w:p>
        </w:tc>
      </w:tr>
      <w:tr w:rsidR="00C8646A" w:rsidRPr="000A4A80" w14:paraId="683BA795" w14:textId="77777777" w:rsidTr="008344ED">
        <w:trPr>
          <w:trHeight w:val="299"/>
        </w:trPr>
        <w:tc>
          <w:tcPr>
            <w:tcW w:w="1025" w:type="pct"/>
            <w:shd w:val="clear" w:color="auto" w:fill="auto"/>
          </w:tcPr>
          <w:p w14:paraId="29129E83" w14:textId="77777777" w:rsidR="00C8646A" w:rsidRPr="000A4A80" w:rsidRDefault="00C8646A" w:rsidP="00C163D1">
            <w:pPr>
              <w:spacing w:line="240" w:lineRule="atLeast"/>
              <w:rPr>
                <w:i/>
                <w:sz w:val="20"/>
              </w:rPr>
            </w:pPr>
            <w:r w:rsidRPr="000A4A80">
              <w:rPr>
                <w:i/>
                <w:sz w:val="20"/>
              </w:rPr>
              <w:t>Document review</w:t>
            </w:r>
          </w:p>
        </w:tc>
        <w:tc>
          <w:tcPr>
            <w:tcW w:w="1741" w:type="pct"/>
          </w:tcPr>
          <w:p w14:paraId="4A57C0FC" w14:textId="77777777" w:rsidR="00C8646A" w:rsidRPr="000A4A80" w:rsidRDefault="00C8646A" w:rsidP="00C163D1">
            <w:pPr>
              <w:spacing w:line="240" w:lineRule="atLeast"/>
              <w:rPr>
                <w:sz w:val="20"/>
              </w:rPr>
            </w:pPr>
            <w:r w:rsidRPr="000A4A80">
              <w:rPr>
                <w:sz w:val="20"/>
              </w:rPr>
              <w:t xml:space="preserve">Review of main documentation </w:t>
            </w:r>
          </w:p>
        </w:tc>
        <w:tc>
          <w:tcPr>
            <w:tcW w:w="2234" w:type="pct"/>
            <w:shd w:val="clear" w:color="auto" w:fill="auto"/>
          </w:tcPr>
          <w:p w14:paraId="4229E2E2" w14:textId="77777777" w:rsidR="00C8646A" w:rsidRDefault="00C8646A" w:rsidP="00C163D1">
            <w:pPr>
              <w:spacing w:line="240" w:lineRule="atLeast"/>
              <w:rPr>
                <w:sz w:val="20"/>
              </w:rPr>
            </w:pPr>
            <w:r w:rsidRPr="000A4A80">
              <w:rPr>
                <w:sz w:val="20"/>
              </w:rPr>
              <w:t>WIPO documentation including internal/external reports/publications</w:t>
            </w:r>
            <w:r>
              <w:rPr>
                <w:sz w:val="20"/>
              </w:rPr>
              <w:t xml:space="preserve">, guides, </w:t>
            </w:r>
            <w:proofErr w:type="gramStart"/>
            <w:r>
              <w:rPr>
                <w:sz w:val="20"/>
              </w:rPr>
              <w:t>videos</w:t>
            </w:r>
            <w:proofErr w:type="gramEnd"/>
            <w:r>
              <w:rPr>
                <w:sz w:val="20"/>
              </w:rPr>
              <w:t xml:space="preserve"> and tools produced.</w:t>
            </w:r>
          </w:p>
          <w:p w14:paraId="239362A2" w14:textId="77777777" w:rsidR="00830AEE" w:rsidRPr="000A4A80" w:rsidRDefault="00830AEE" w:rsidP="00C163D1">
            <w:pPr>
              <w:spacing w:line="240" w:lineRule="atLeast"/>
              <w:rPr>
                <w:sz w:val="20"/>
              </w:rPr>
            </w:pPr>
          </w:p>
        </w:tc>
      </w:tr>
    </w:tbl>
    <w:p w14:paraId="2CFD4824" w14:textId="77777777" w:rsidR="0083399E" w:rsidRDefault="0083399E" w:rsidP="0083399E"/>
    <w:p w14:paraId="0BC54EB8" w14:textId="77777777" w:rsidR="0083399E" w:rsidRDefault="0083399E" w:rsidP="0083399E">
      <w:r>
        <w:t xml:space="preserve">The list of persons to be interviewed is detailed further in the annex. </w:t>
      </w:r>
    </w:p>
    <w:p w14:paraId="2B69A0D1" w14:textId="77777777" w:rsidR="0083399E" w:rsidRDefault="0083399E" w:rsidP="0083399E">
      <w:pPr>
        <w:jc w:val="both"/>
        <w:rPr>
          <w:b/>
        </w:rPr>
      </w:pPr>
    </w:p>
    <w:p w14:paraId="46D82F74" w14:textId="73EFA9A6" w:rsidR="0083399E" w:rsidRPr="0083399E" w:rsidRDefault="0083399E" w:rsidP="0083399E">
      <w:pPr>
        <w:rPr>
          <w:lang w:eastAsia="en-CA"/>
        </w:rPr>
      </w:pPr>
      <w:r w:rsidRPr="004B7699">
        <w:rPr>
          <w:b/>
        </w:rPr>
        <w:t>Data analysis methods</w:t>
      </w:r>
      <w:r>
        <w:t>:  The quantitative and qualitative data collected will be analyzed and compiled using comparative and statistical methods where appropriate</w:t>
      </w:r>
      <w:r w:rsidR="00434059">
        <w:t xml:space="preserve">. </w:t>
      </w:r>
      <w:r w:rsidR="00830AEE">
        <w:t xml:space="preserve"> </w:t>
      </w:r>
      <w:r>
        <w:t>The data will be correlated and organized to respond to the evaluation questions</w:t>
      </w:r>
      <w:r w:rsidR="00434059">
        <w:t xml:space="preserve">. </w:t>
      </w:r>
      <w:r w:rsidR="00830AEE">
        <w:t xml:space="preserve"> </w:t>
      </w:r>
      <w:r>
        <w:t xml:space="preserve">These findings will then be used to inform the conclusions and recommendations proposed. </w:t>
      </w:r>
    </w:p>
    <w:p w14:paraId="25B03314" w14:textId="77777777" w:rsidR="00733963" w:rsidRPr="0034105E" w:rsidRDefault="00733963" w:rsidP="00B3601C">
      <w:pPr>
        <w:spacing w:before="240" w:after="240"/>
        <w:rPr>
          <w:b/>
        </w:rPr>
      </w:pPr>
      <w:r>
        <w:rPr>
          <w:b/>
        </w:rPr>
        <w:t>5.</w:t>
      </w:r>
      <w:r w:rsidR="00A22008">
        <w:rPr>
          <w:b/>
        </w:rPr>
        <w:tab/>
      </w:r>
      <w:r>
        <w:rPr>
          <w:b/>
        </w:rPr>
        <w:t xml:space="preserve">Work Plan and Timetable </w:t>
      </w:r>
    </w:p>
    <w:p w14:paraId="0C718C09" w14:textId="77777777" w:rsidR="0083399E" w:rsidRPr="0034105E" w:rsidRDefault="0083399E" w:rsidP="0083399E">
      <w:pPr>
        <w:pStyle w:val="TOC2"/>
        <w:tabs>
          <w:tab w:val="left" w:pos="1440"/>
        </w:tabs>
        <w:ind w:left="0"/>
        <w:rPr>
          <w:rFonts w:cs="Arial"/>
          <w:noProof/>
          <w:lang w:eastAsia="en-CA"/>
        </w:rPr>
      </w:pPr>
      <w:r w:rsidRPr="0034105E">
        <w:rPr>
          <w:rFonts w:cs="Arial"/>
          <w:noProof/>
          <w:lang w:eastAsia="en-CA"/>
        </w:rPr>
        <w:t>The proposed milestones and timelines are as shown here below:</w:t>
      </w:r>
    </w:p>
    <w:p w14:paraId="7B15DF27" w14:textId="77777777" w:rsidR="0083399E" w:rsidRPr="0034105E" w:rsidRDefault="0083399E" w:rsidP="0083399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3551"/>
      </w:tblGrid>
      <w:tr w:rsidR="0083399E" w:rsidRPr="0034105E" w14:paraId="7EBAA51D" w14:textId="77777777" w:rsidTr="00344C5D">
        <w:trPr>
          <w:tblHeader/>
        </w:trPr>
        <w:tc>
          <w:tcPr>
            <w:tcW w:w="3100" w:type="pct"/>
            <w:shd w:val="clear" w:color="auto" w:fill="DBE5F1"/>
          </w:tcPr>
          <w:p w14:paraId="111EC99E" w14:textId="77777777" w:rsidR="0083399E" w:rsidRPr="0034105E" w:rsidRDefault="0083399E" w:rsidP="007958CC">
            <w:pPr>
              <w:pStyle w:val="Reporttext"/>
              <w:jc w:val="center"/>
              <w:rPr>
                <w:rFonts w:ascii="Arial" w:hAnsi="Arial" w:cs="Arial"/>
                <w:b/>
              </w:rPr>
            </w:pPr>
            <w:r w:rsidRPr="0034105E">
              <w:rPr>
                <w:rFonts w:ascii="Arial" w:hAnsi="Arial" w:cs="Arial"/>
                <w:b/>
              </w:rPr>
              <w:t>Milestones/Deliverables</w:t>
            </w:r>
          </w:p>
        </w:tc>
        <w:tc>
          <w:tcPr>
            <w:tcW w:w="1900" w:type="pct"/>
            <w:shd w:val="clear" w:color="auto" w:fill="DBE5F1"/>
          </w:tcPr>
          <w:p w14:paraId="65295BFB" w14:textId="77777777" w:rsidR="0083399E" w:rsidRPr="0034105E" w:rsidRDefault="0083399E" w:rsidP="007958CC">
            <w:pPr>
              <w:pStyle w:val="Reporttext"/>
              <w:jc w:val="center"/>
              <w:rPr>
                <w:rFonts w:ascii="Arial" w:hAnsi="Arial" w:cs="Arial"/>
                <w:b/>
              </w:rPr>
            </w:pPr>
            <w:r>
              <w:rPr>
                <w:rFonts w:ascii="Arial" w:hAnsi="Arial" w:cs="Arial"/>
                <w:b/>
              </w:rPr>
              <w:t>Key</w:t>
            </w:r>
            <w:r w:rsidRPr="0034105E">
              <w:rPr>
                <w:rFonts w:ascii="Arial" w:hAnsi="Arial" w:cs="Arial"/>
                <w:b/>
              </w:rPr>
              <w:t xml:space="preserve"> dates </w:t>
            </w:r>
          </w:p>
        </w:tc>
      </w:tr>
      <w:tr w:rsidR="00C8646A" w:rsidRPr="0034105E" w14:paraId="20316DBD" w14:textId="77777777" w:rsidTr="00344C5D">
        <w:tc>
          <w:tcPr>
            <w:tcW w:w="3100" w:type="pct"/>
          </w:tcPr>
          <w:p w14:paraId="595D502E" w14:textId="77777777" w:rsidR="00C8646A" w:rsidRDefault="00C8646A" w:rsidP="00C8646A">
            <w:pPr>
              <w:pStyle w:val="Reporttext"/>
              <w:ind w:hanging="18"/>
              <w:jc w:val="both"/>
              <w:rPr>
                <w:rFonts w:ascii="Arial" w:hAnsi="Arial" w:cs="Arial"/>
              </w:rPr>
            </w:pPr>
            <w:r>
              <w:rPr>
                <w:rFonts w:ascii="Arial" w:hAnsi="Arial" w:cs="Arial"/>
              </w:rPr>
              <w:t>Work starts</w:t>
            </w:r>
          </w:p>
        </w:tc>
        <w:tc>
          <w:tcPr>
            <w:tcW w:w="1900" w:type="pct"/>
          </w:tcPr>
          <w:p w14:paraId="6BD9DE48" w14:textId="298149A1" w:rsidR="00C8646A" w:rsidRDefault="00C8646A" w:rsidP="00C8646A">
            <w:pPr>
              <w:pStyle w:val="Reporttext"/>
              <w:ind w:hanging="18"/>
              <w:jc w:val="both"/>
              <w:rPr>
                <w:rFonts w:ascii="Arial" w:hAnsi="Arial" w:cs="Arial"/>
              </w:rPr>
            </w:pPr>
            <w:r>
              <w:rPr>
                <w:rFonts w:ascii="Arial" w:hAnsi="Arial" w:cs="Arial"/>
              </w:rPr>
              <w:t>4 January 2024</w:t>
            </w:r>
          </w:p>
        </w:tc>
      </w:tr>
      <w:tr w:rsidR="00C8646A" w:rsidRPr="0034105E" w14:paraId="0F51564E" w14:textId="77777777" w:rsidTr="00344C5D">
        <w:tc>
          <w:tcPr>
            <w:tcW w:w="3100" w:type="pct"/>
          </w:tcPr>
          <w:p w14:paraId="234BAF9F" w14:textId="77777777" w:rsidR="00C8646A" w:rsidRPr="0034105E" w:rsidRDefault="00C8646A" w:rsidP="00C8646A">
            <w:pPr>
              <w:pStyle w:val="Reporttext"/>
              <w:ind w:hanging="18"/>
              <w:jc w:val="both"/>
              <w:rPr>
                <w:rFonts w:ascii="Arial" w:hAnsi="Arial" w:cs="Arial"/>
              </w:rPr>
            </w:pPr>
            <w:r>
              <w:rPr>
                <w:rFonts w:ascii="Arial" w:hAnsi="Arial" w:cs="Arial"/>
              </w:rPr>
              <w:t>Submission of inception report to WIPO</w:t>
            </w:r>
          </w:p>
        </w:tc>
        <w:tc>
          <w:tcPr>
            <w:tcW w:w="1900" w:type="pct"/>
          </w:tcPr>
          <w:p w14:paraId="299D36F0" w14:textId="7519EA8A" w:rsidR="00C8646A" w:rsidRPr="0034105E" w:rsidRDefault="00C8646A" w:rsidP="00C8646A">
            <w:pPr>
              <w:pStyle w:val="Reporttext"/>
              <w:ind w:firstLine="0"/>
              <w:jc w:val="both"/>
              <w:rPr>
                <w:rFonts w:ascii="Arial" w:hAnsi="Arial" w:cs="Arial"/>
              </w:rPr>
            </w:pPr>
            <w:r>
              <w:rPr>
                <w:rFonts w:ascii="Arial" w:hAnsi="Arial" w:cs="Arial"/>
              </w:rPr>
              <w:t>25 January 2024</w:t>
            </w:r>
          </w:p>
        </w:tc>
      </w:tr>
      <w:tr w:rsidR="00C8646A" w:rsidRPr="0034105E" w14:paraId="57E77BD3" w14:textId="77777777" w:rsidTr="00344C5D">
        <w:tc>
          <w:tcPr>
            <w:tcW w:w="3100" w:type="pct"/>
          </w:tcPr>
          <w:p w14:paraId="3E689BE5" w14:textId="77777777" w:rsidR="00C8646A" w:rsidRPr="0034105E" w:rsidRDefault="00C8646A" w:rsidP="00C8646A">
            <w:pPr>
              <w:pStyle w:val="Reporttext"/>
              <w:ind w:hanging="18"/>
              <w:jc w:val="both"/>
              <w:rPr>
                <w:rFonts w:ascii="Arial" w:hAnsi="Arial" w:cs="Arial"/>
              </w:rPr>
            </w:pPr>
            <w:r>
              <w:rPr>
                <w:rFonts w:ascii="Arial" w:hAnsi="Arial" w:cs="Arial"/>
              </w:rPr>
              <w:t>Feedback from WIPO on inception report</w:t>
            </w:r>
          </w:p>
        </w:tc>
        <w:tc>
          <w:tcPr>
            <w:tcW w:w="1900" w:type="pct"/>
          </w:tcPr>
          <w:p w14:paraId="4E316473" w14:textId="1C1CE968" w:rsidR="00C8646A" w:rsidRPr="0034105E" w:rsidRDefault="00C8646A" w:rsidP="00C8646A">
            <w:pPr>
              <w:pStyle w:val="Reporttext"/>
              <w:ind w:hanging="18"/>
              <w:jc w:val="both"/>
              <w:rPr>
                <w:rFonts w:ascii="Arial" w:hAnsi="Arial" w:cs="Arial"/>
              </w:rPr>
            </w:pPr>
            <w:r>
              <w:rPr>
                <w:rFonts w:ascii="Arial" w:hAnsi="Arial" w:cs="Arial"/>
              </w:rPr>
              <w:t>29 January 2024</w:t>
            </w:r>
          </w:p>
        </w:tc>
      </w:tr>
      <w:tr w:rsidR="00C8646A" w:rsidRPr="0034105E" w14:paraId="6EDFDCF5" w14:textId="77777777" w:rsidTr="00344C5D">
        <w:tc>
          <w:tcPr>
            <w:tcW w:w="3100" w:type="pct"/>
          </w:tcPr>
          <w:p w14:paraId="668624A4" w14:textId="77777777" w:rsidR="00C8646A" w:rsidRDefault="00C8646A" w:rsidP="00C8646A">
            <w:pPr>
              <w:pStyle w:val="Reporttext"/>
              <w:ind w:hanging="18"/>
              <w:jc w:val="both"/>
              <w:rPr>
                <w:rFonts w:ascii="Arial" w:hAnsi="Arial" w:cs="Arial"/>
              </w:rPr>
            </w:pPr>
            <w:r>
              <w:rPr>
                <w:rFonts w:ascii="Arial" w:hAnsi="Arial" w:cs="Arial"/>
              </w:rPr>
              <w:t>Submission of final inception report to WIPO</w:t>
            </w:r>
          </w:p>
        </w:tc>
        <w:tc>
          <w:tcPr>
            <w:tcW w:w="1900" w:type="pct"/>
          </w:tcPr>
          <w:p w14:paraId="4338A35C" w14:textId="6C0487F4" w:rsidR="00C8646A" w:rsidRDefault="00C8646A" w:rsidP="00C8646A">
            <w:pPr>
              <w:pStyle w:val="Reporttext"/>
              <w:ind w:hanging="18"/>
              <w:jc w:val="both"/>
              <w:rPr>
                <w:rFonts w:ascii="Arial" w:hAnsi="Arial" w:cs="Arial"/>
              </w:rPr>
            </w:pPr>
            <w:r>
              <w:rPr>
                <w:rFonts w:ascii="Arial" w:hAnsi="Arial" w:cs="Arial"/>
              </w:rPr>
              <w:t>31 January 2024</w:t>
            </w:r>
          </w:p>
        </w:tc>
      </w:tr>
      <w:tr w:rsidR="00C8646A" w:rsidRPr="0034105E" w14:paraId="630ADDF3" w14:textId="77777777" w:rsidTr="00344C5D">
        <w:tc>
          <w:tcPr>
            <w:tcW w:w="3100" w:type="pct"/>
          </w:tcPr>
          <w:p w14:paraId="1D2C895C" w14:textId="77777777" w:rsidR="00C8646A" w:rsidRPr="0034105E" w:rsidRDefault="00C8646A" w:rsidP="00C8646A">
            <w:pPr>
              <w:pStyle w:val="Reporttext"/>
              <w:ind w:hanging="18"/>
              <w:jc w:val="both"/>
              <w:rPr>
                <w:rFonts w:ascii="Arial" w:hAnsi="Arial" w:cs="Arial"/>
              </w:rPr>
            </w:pPr>
            <w:r>
              <w:rPr>
                <w:rFonts w:ascii="Arial" w:hAnsi="Arial" w:cs="Arial"/>
              </w:rPr>
              <w:t>Submission of draft report to WIPO</w:t>
            </w:r>
          </w:p>
        </w:tc>
        <w:tc>
          <w:tcPr>
            <w:tcW w:w="1900" w:type="pct"/>
          </w:tcPr>
          <w:p w14:paraId="509E46B1" w14:textId="33FBEAEE" w:rsidR="00C8646A" w:rsidRPr="0034105E" w:rsidRDefault="00C8646A" w:rsidP="00C8646A">
            <w:pPr>
              <w:pStyle w:val="Reporttext"/>
              <w:ind w:hanging="18"/>
              <w:jc w:val="both"/>
              <w:rPr>
                <w:rFonts w:ascii="Arial" w:hAnsi="Arial" w:cs="Arial"/>
              </w:rPr>
            </w:pPr>
            <w:r>
              <w:rPr>
                <w:rFonts w:ascii="Arial" w:hAnsi="Arial" w:cs="Arial"/>
              </w:rPr>
              <w:t>1 March 2024</w:t>
            </w:r>
          </w:p>
        </w:tc>
      </w:tr>
      <w:tr w:rsidR="00C8646A" w:rsidRPr="0034105E" w14:paraId="06017D17" w14:textId="77777777" w:rsidTr="00344C5D">
        <w:tc>
          <w:tcPr>
            <w:tcW w:w="3100" w:type="pct"/>
          </w:tcPr>
          <w:p w14:paraId="32F19177" w14:textId="77777777" w:rsidR="00C8646A" w:rsidRPr="0034105E" w:rsidRDefault="00C8646A" w:rsidP="00C8646A">
            <w:pPr>
              <w:pStyle w:val="Reporttext"/>
              <w:ind w:hanging="18"/>
              <w:jc w:val="both"/>
              <w:rPr>
                <w:rFonts w:ascii="Arial" w:hAnsi="Arial" w:cs="Arial"/>
              </w:rPr>
            </w:pPr>
            <w:r>
              <w:rPr>
                <w:rFonts w:ascii="Arial" w:hAnsi="Arial" w:cs="Arial"/>
              </w:rPr>
              <w:t>Factual corrections from WIPO on draft report</w:t>
            </w:r>
          </w:p>
        </w:tc>
        <w:tc>
          <w:tcPr>
            <w:tcW w:w="1900" w:type="pct"/>
          </w:tcPr>
          <w:p w14:paraId="78664211" w14:textId="0EDD8C2E" w:rsidR="00C8646A" w:rsidRPr="0034105E" w:rsidRDefault="00C8646A" w:rsidP="00C8646A">
            <w:pPr>
              <w:pStyle w:val="Reporttext"/>
              <w:ind w:firstLine="0"/>
              <w:jc w:val="both"/>
              <w:rPr>
                <w:rFonts w:ascii="Arial" w:hAnsi="Arial" w:cs="Arial"/>
              </w:rPr>
            </w:pPr>
            <w:r>
              <w:rPr>
                <w:rFonts w:ascii="Arial" w:hAnsi="Arial" w:cs="Arial"/>
              </w:rPr>
              <w:t>5 March 2024</w:t>
            </w:r>
          </w:p>
        </w:tc>
      </w:tr>
      <w:tr w:rsidR="00C8646A" w:rsidRPr="0034105E" w14:paraId="4873343F" w14:textId="77777777" w:rsidTr="00344C5D">
        <w:tc>
          <w:tcPr>
            <w:tcW w:w="3100" w:type="pct"/>
          </w:tcPr>
          <w:p w14:paraId="02289907" w14:textId="77777777" w:rsidR="00C8646A" w:rsidRPr="0034105E" w:rsidRDefault="00C8646A" w:rsidP="00C8646A">
            <w:pPr>
              <w:pStyle w:val="Reporttext"/>
              <w:ind w:hanging="18"/>
              <w:jc w:val="both"/>
              <w:rPr>
                <w:rFonts w:ascii="Arial" w:hAnsi="Arial" w:cs="Arial"/>
              </w:rPr>
            </w:pPr>
            <w:r>
              <w:rPr>
                <w:rFonts w:ascii="Arial" w:hAnsi="Arial" w:cs="Arial"/>
              </w:rPr>
              <w:t>Submission of final report to WIPO</w:t>
            </w:r>
          </w:p>
        </w:tc>
        <w:tc>
          <w:tcPr>
            <w:tcW w:w="1900" w:type="pct"/>
          </w:tcPr>
          <w:p w14:paraId="6A834176" w14:textId="082B5CF8" w:rsidR="00C8646A" w:rsidRPr="0034105E" w:rsidRDefault="00C8646A" w:rsidP="00C8646A">
            <w:pPr>
              <w:pStyle w:val="Reporttext"/>
              <w:ind w:hanging="18"/>
              <w:jc w:val="both"/>
              <w:rPr>
                <w:rFonts w:ascii="Arial" w:hAnsi="Arial" w:cs="Arial"/>
              </w:rPr>
            </w:pPr>
            <w:r>
              <w:rPr>
                <w:rFonts w:ascii="Arial" w:hAnsi="Arial" w:cs="Arial"/>
              </w:rPr>
              <w:t>7 March 2024</w:t>
            </w:r>
          </w:p>
        </w:tc>
      </w:tr>
      <w:tr w:rsidR="00C8646A" w:rsidRPr="0034105E" w14:paraId="045723E9" w14:textId="77777777" w:rsidTr="00344C5D">
        <w:tc>
          <w:tcPr>
            <w:tcW w:w="3100" w:type="pct"/>
          </w:tcPr>
          <w:p w14:paraId="06A82058" w14:textId="77777777" w:rsidR="00C8646A" w:rsidRPr="0034105E" w:rsidRDefault="00C8646A" w:rsidP="00C8646A">
            <w:pPr>
              <w:pStyle w:val="Reporttext"/>
              <w:ind w:hanging="18"/>
              <w:jc w:val="both"/>
              <w:rPr>
                <w:rFonts w:ascii="Arial" w:hAnsi="Arial" w:cs="Arial"/>
              </w:rPr>
            </w:pPr>
            <w:r>
              <w:rPr>
                <w:rFonts w:ascii="Arial" w:hAnsi="Arial" w:cs="Arial"/>
              </w:rPr>
              <w:t>Presentation of evaluation report at the CDIP</w:t>
            </w:r>
          </w:p>
        </w:tc>
        <w:tc>
          <w:tcPr>
            <w:tcW w:w="1900" w:type="pct"/>
          </w:tcPr>
          <w:p w14:paraId="7AED8012" w14:textId="74D70E44" w:rsidR="00C8646A" w:rsidRPr="0034105E" w:rsidRDefault="00C8646A" w:rsidP="00C8646A">
            <w:pPr>
              <w:pStyle w:val="Reporttext"/>
              <w:ind w:hanging="18"/>
              <w:jc w:val="both"/>
              <w:rPr>
                <w:rFonts w:ascii="Arial" w:hAnsi="Arial" w:cs="Arial"/>
              </w:rPr>
            </w:pPr>
            <w:r>
              <w:rPr>
                <w:rFonts w:ascii="Arial" w:hAnsi="Arial" w:cs="Arial"/>
              </w:rPr>
              <w:t>29 April – 3 May 2024</w:t>
            </w:r>
          </w:p>
        </w:tc>
      </w:tr>
    </w:tbl>
    <w:p w14:paraId="3AEBD517" w14:textId="77777777" w:rsidR="00C81CD7" w:rsidRPr="0034105E" w:rsidRDefault="00733963" w:rsidP="00EE4145">
      <w:pPr>
        <w:spacing w:before="240" w:after="240"/>
        <w:rPr>
          <w:b/>
        </w:rPr>
      </w:pPr>
      <w:r>
        <w:rPr>
          <w:b/>
        </w:rPr>
        <w:t>6</w:t>
      </w:r>
      <w:r w:rsidR="00C81CD7" w:rsidRPr="0034105E">
        <w:rPr>
          <w:b/>
        </w:rPr>
        <w:t xml:space="preserve">. </w:t>
      </w:r>
      <w:r w:rsidR="00A22008">
        <w:rPr>
          <w:b/>
        </w:rPr>
        <w:tab/>
      </w:r>
      <w:r w:rsidR="00C81CD7" w:rsidRPr="0034105E">
        <w:rPr>
          <w:b/>
        </w:rPr>
        <w:t>Key Assumptions and Risks</w:t>
      </w:r>
    </w:p>
    <w:p w14:paraId="4880B2A2" w14:textId="44E88F3C" w:rsidR="00C8646A" w:rsidRDefault="00C8646A" w:rsidP="00EE4145">
      <w:pPr>
        <w:pStyle w:val="Numbers"/>
        <w:numPr>
          <w:ilvl w:val="0"/>
          <w:numId w:val="0"/>
        </w:numPr>
        <w:spacing w:before="0"/>
        <w:rPr>
          <w:rFonts w:ascii="Arial" w:hAnsi="Arial" w:cs="Arial"/>
        </w:rPr>
      </w:pPr>
      <w:r w:rsidRPr="0034105E">
        <w:rPr>
          <w:rFonts w:ascii="Arial" w:hAnsi="Arial" w:cs="Arial"/>
        </w:rPr>
        <w:t xml:space="preserve">It is assumed that the project team and the </w:t>
      </w:r>
      <w:r w:rsidRPr="00DE0DAB">
        <w:rPr>
          <w:rFonts w:ascii="Arial" w:hAnsi="Arial" w:cs="Arial"/>
        </w:rPr>
        <w:t xml:space="preserve">Development Agenda Coordination Division </w:t>
      </w:r>
      <w:r>
        <w:rPr>
          <w:rFonts w:ascii="Arial" w:hAnsi="Arial" w:cs="Arial"/>
        </w:rPr>
        <w:t>(</w:t>
      </w:r>
      <w:r w:rsidRPr="0034105E">
        <w:rPr>
          <w:rFonts w:ascii="Arial" w:hAnsi="Arial" w:cs="Arial"/>
        </w:rPr>
        <w:t>DACD</w:t>
      </w:r>
      <w:r>
        <w:rPr>
          <w:rFonts w:ascii="Arial" w:hAnsi="Arial" w:cs="Arial"/>
        </w:rPr>
        <w:t>)</w:t>
      </w:r>
      <w:r w:rsidRPr="0034105E">
        <w:rPr>
          <w:rFonts w:ascii="Arial" w:hAnsi="Arial" w:cs="Arial"/>
        </w:rPr>
        <w:t xml:space="preserve"> will assist the consultant in</w:t>
      </w:r>
      <w:r>
        <w:rPr>
          <w:rFonts w:ascii="Arial" w:hAnsi="Arial" w:cs="Arial"/>
        </w:rPr>
        <w:t>:</w:t>
      </w:r>
      <w:r w:rsidRPr="0034105E">
        <w:rPr>
          <w:rFonts w:ascii="Arial" w:hAnsi="Arial" w:cs="Arial"/>
        </w:rPr>
        <w:t xml:space="preserve"> </w:t>
      </w:r>
      <w:r>
        <w:rPr>
          <w:rFonts w:ascii="Arial" w:hAnsi="Arial" w:cs="Arial"/>
        </w:rPr>
        <w:t xml:space="preserve"> </w:t>
      </w:r>
      <w:r w:rsidRPr="0034105E">
        <w:rPr>
          <w:rFonts w:ascii="Arial" w:hAnsi="Arial" w:cs="Arial"/>
        </w:rPr>
        <w:t xml:space="preserve">identifying and accessing all key </w:t>
      </w:r>
      <w:proofErr w:type="gramStart"/>
      <w:r w:rsidRPr="0034105E">
        <w:rPr>
          <w:rFonts w:ascii="Arial" w:hAnsi="Arial" w:cs="Arial"/>
        </w:rPr>
        <w:t xml:space="preserve">documents; </w:t>
      </w:r>
      <w:r>
        <w:rPr>
          <w:rFonts w:ascii="Arial" w:hAnsi="Arial" w:cs="Arial"/>
        </w:rPr>
        <w:t xml:space="preserve"> </w:t>
      </w:r>
      <w:r w:rsidRPr="0034105E">
        <w:rPr>
          <w:rFonts w:ascii="Arial" w:hAnsi="Arial" w:cs="Arial"/>
        </w:rPr>
        <w:t>informing</w:t>
      </w:r>
      <w:proofErr w:type="gramEnd"/>
      <w:r w:rsidRPr="0034105E">
        <w:rPr>
          <w:rFonts w:ascii="Arial" w:hAnsi="Arial" w:cs="Arial"/>
        </w:rPr>
        <w:t xml:space="preserve"> key stakeholders about the evaluation</w:t>
      </w:r>
      <w:r>
        <w:rPr>
          <w:rFonts w:ascii="Arial" w:hAnsi="Arial" w:cs="Arial"/>
        </w:rPr>
        <w:t>;</w:t>
      </w:r>
      <w:r w:rsidRPr="0034105E">
        <w:rPr>
          <w:rFonts w:ascii="Arial" w:hAnsi="Arial" w:cs="Arial"/>
        </w:rPr>
        <w:t xml:space="preserve"> </w:t>
      </w:r>
      <w:r>
        <w:rPr>
          <w:rFonts w:ascii="Arial" w:hAnsi="Arial" w:cs="Arial"/>
        </w:rPr>
        <w:t xml:space="preserve"> </w:t>
      </w:r>
      <w:r w:rsidRPr="0034105E">
        <w:rPr>
          <w:rFonts w:ascii="Arial" w:hAnsi="Arial" w:cs="Arial"/>
        </w:rPr>
        <w:t>making necessary introductions</w:t>
      </w:r>
      <w:r>
        <w:rPr>
          <w:rFonts w:ascii="Arial" w:hAnsi="Arial" w:cs="Arial"/>
        </w:rPr>
        <w:t>;</w:t>
      </w:r>
      <w:r w:rsidRPr="0034105E">
        <w:rPr>
          <w:rFonts w:ascii="Arial" w:hAnsi="Arial" w:cs="Arial"/>
        </w:rPr>
        <w:t xml:space="preserve"> providing contact information and facilitating interviews as required; </w:t>
      </w:r>
      <w:r>
        <w:rPr>
          <w:rFonts w:ascii="Arial" w:hAnsi="Arial" w:cs="Arial"/>
        </w:rPr>
        <w:t xml:space="preserve"> </w:t>
      </w:r>
      <w:r w:rsidRPr="0034105E">
        <w:rPr>
          <w:rFonts w:ascii="Arial" w:hAnsi="Arial" w:cs="Arial"/>
        </w:rPr>
        <w:t>and providing consolidated timely feedback on deliverables. It is also assumed that the interview</w:t>
      </w:r>
      <w:r>
        <w:rPr>
          <w:rFonts w:ascii="Arial" w:hAnsi="Arial" w:cs="Arial"/>
        </w:rPr>
        <w:t>s</w:t>
      </w:r>
      <w:r w:rsidRPr="0034105E">
        <w:rPr>
          <w:rFonts w:ascii="Arial" w:hAnsi="Arial" w:cs="Arial"/>
        </w:rPr>
        <w:t xml:space="preserve"> to be undertaken will be successful and language will not be </w:t>
      </w:r>
      <w:r>
        <w:rPr>
          <w:rFonts w:ascii="Arial" w:hAnsi="Arial" w:cs="Arial"/>
        </w:rPr>
        <w:t xml:space="preserve">a </w:t>
      </w:r>
      <w:r w:rsidRPr="0034105E">
        <w:rPr>
          <w:rFonts w:ascii="Arial" w:hAnsi="Arial" w:cs="Arial"/>
        </w:rPr>
        <w:t>barrier</w:t>
      </w:r>
      <w:r>
        <w:rPr>
          <w:rFonts w:ascii="Arial" w:hAnsi="Arial" w:cs="Arial"/>
        </w:rPr>
        <w:t xml:space="preserve"> (the consultant speaks English and French)</w:t>
      </w:r>
      <w:r w:rsidR="00434059">
        <w:rPr>
          <w:rFonts w:ascii="Arial" w:hAnsi="Arial" w:cs="Arial"/>
        </w:rPr>
        <w:t xml:space="preserve">. </w:t>
      </w:r>
      <w:r w:rsidR="00CE4888">
        <w:rPr>
          <w:rFonts w:ascii="Arial" w:hAnsi="Arial" w:cs="Arial"/>
        </w:rPr>
        <w:t xml:space="preserve"> </w:t>
      </w:r>
      <w:r w:rsidRPr="0034105E">
        <w:rPr>
          <w:rFonts w:ascii="Arial" w:hAnsi="Arial" w:cs="Arial"/>
        </w:rPr>
        <w:t>It is also assumed that the people to be interviewed will be available and willing to provide the required information.</w:t>
      </w:r>
    </w:p>
    <w:p w14:paraId="3A2CEAB6" w14:textId="5312C060" w:rsidR="00C8646A" w:rsidRPr="00EE4145" w:rsidRDefault="00C8646A" w:rsidP="00EE4145">
      <w:pPr>
        <w:pStyle w:val="Endofdocument"/>
        <w:spacing w:before="720" w:line="240" w:lineRule="auto"/>
        <w:ind w:left="5530"/>
        <w:rPr>
          <w:b/>
          <w:bCs/>
          <w:lang w:bidi="en-US"/>
        </w:rPr>
      </w:pPr>
      <w:r w:rsidRPr="00097361">
        <w:rPr>
          <w:lang w:bidi="en-US"/>
        </w:rPr>
        <w:t xml:space="preserve">[End of Appendix </w:t>
      </w:r>
      <w:r>
        <w:rPr>
          <w:lang w:bidi="en-US"/>
        </w:rPr>
        <w:t>III</w:t>
      </w:r>
      <w:r w:rsidRPr="00097361">
        <w:rPr>
          <w:lang w:bidi="en-US"/>
        </w:rPr>
        <w:t xml:space="preserve"> and of document</w:t>
      </w:r>
      <w:r w:rsidR="00EE4145">
        <w:rPr>
          <w:color w:val="000000" w:themeColor="text1"/>
          <w:lang w:bidi="en-US"/>
        </w:rPr>
        <w:t>]</w:t>
      </w:r>
    </w:p>
    <w:p w14:paraId="0DF2B0D3" w14:textId="77777777" w:rsidR="00DA483B" w:rsidRPr="00C8646A" w:rsidRDefault="00DA483B" w:rsidP="00C8646A">
      <w:pPr>
        <w:pStyle w:val="Endofdocument"/>
      </w:pPr>
    </w:p>
    <w:p w14:paraId="3EC2ECC0" w14:textId="77777777" w:rsidR="006E6A54" w:rsidRDefault="006E6A54" w:rsidP="00C8646A">
      <w:pPr>
        <w:pStyle w:val="Endofdocument"/>
      </w:pPr>
    </w:p>
    <w:sectPr w:rsidR="006E6A54" w:rsidSect="00852FBB">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16EB" w14:textId="77777777" w:rsidR="00852FBB" w:rsidRDefault="00852FBB">
      <w:r>
        <w:separator/>
      </w:r>
    </w:p>
  </w:endnote>
  <w:endnote w:type="continuationSeparator" w:id="0">
    <w:p w14:paraId="328949AB" w14:textId="77777777" w:rsidR="00852FBB" w:rsidRDefault="00852FBB" w:rsidP="003B38C1">
      <w:r>
        <w:separator/>
      </w:r>
    </w:p>
    <w:p w14:paraId="57DBEC87" w14:textId="77777777" w:rsidR="00852FBB" w:rsidRPr="003B38C1" w:rsidRDefault="00852FBB" w:rsidP="003B38C1">
      <w:pPr>
        <w:spacing w:after="60"/>
        <w:rPr>
          <w:sz w:val="17"/>
        </w:rPr>
      </w:pPr>
      <w:r>
        <w:rPr>
          <w:sz w:val="17"/>
        </w:rPr>
        <w:t>[Endnote continued from previous page]</w:t>
      </w:r>
    </w:p>
  </w:endnote>
  <w:endnote w:type="continuationNotice" w:id="1">
    <w:p w14:paraId="4CAB98EB" w14:textId="77777777" w:rsidR="00852FBB" w:rsidRPr="003B38C1" w:rsidRDefault="00852FB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D028" w14:textId="77777777" w:rsidR="00610A92" w:rsidRDefault="00610A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D18" w14:textId="23668967" w:rsidR="00752A3A" w:rsidRDefault="00752A3A" w:rsidP="00752A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CD0A" w14:textId="77777777" w:rsidR="00752A3A" w:rsidRDefault="00752A3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6A30" w14:textId="2FB1EBB7" w:rsidR="00752A3A" w:rsidRDefault="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205" w14:textId="1E0D43BE" w:rsidR="00752A3A" w:rsidRDefault="00752A3A" w:rsidP="00752A3A">
    <w:pPr>
      <w:pStyle w:val="Footer"/>
      <w:jc w:val="center"/>
      <w:rPr>
        <w:color w:val="000000"/>
        <w:sz w:val="17"/>
      </w:rPr>
    </w:pPr>
    <w:bookmarkStart w:id="11" w:name="TITUS1FooterPrimary"/>
    <w:r w:rsidRPr="00752A3A">
      <w:rPr>
        <w:color w:val="000000"/>
        <w:sz w:val="17"/>
      </w:rPr>
      <w:t>WIPO FOR OFFICIAL USE ONLY</w:t>
    </w:r>
  </w:p>
  <w:bookmarkEnd w:id="11"/>
  <w:p w14:paraId="7BF37573" w14:textId="77777777" w:rsidR="00752A3A" w:rsidRDefault="0075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D71A" w14:textId="77777777" w:rsidR="00610A92" w:rsidRDefault="00610A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56CC" w14:textId="5A61243C" w:rsidR="00752A3A" w:rsidRDefault="00752A3A"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6E18" w14:textId="0E490C38" w:rsidR="00752A3A" w:rsidRDefault="00752A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C8F" w14:textId="5BB8057C" w:rsidR="00752A3A" w:rsidRDefault="00752A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536" w14:textId="1599C91A" w:rsidR="00752A3A" w:rsidRDefault="00752A3A" w:rsidP="00752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C035" w14:textId="77777777" w:rsidR="00752A3A" w:rsidRDefault="00752A3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D64" w14:textId="47C4A56A" w:rsidR="00752A3A" w:rsidRDefault="0075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0DD8" w14:textId="77777777" w:rsidR="00852FBB" w:rsidRDefault="00852FBB">
      <w:r>
        <w:separator/>
      </w:r>
    </w:p>
  </w:footnote>
  <w:footnote w:type="continuationSeparator" w:id="0">
    <w:p w14:paraId="614D5AAA" w14:textId="77777777" w:rsidR="00852FBB" w:rsidRDefault="00852FBB" w:rsidP="008B60B2">
      <w:r>
        <w:separator/>
      </w:r>
    </w:p>
    <w:p w14:paraId="6F9C0718" w14:textId="77777777" w:rsidR="00852FBB" w:rsidRPr="00ED77FB" w:rsidRDefault="00852FBB" w:rsidP="008B60B2">
      <w:pPr>
        <w:spacing w:after="60"/>
        <w:rPr>
          <w:sz w:val="17"/>
          <w:szCs w:val="17"/>
        </w:rPr>
      </w:pPr>
      <w:r w:rsidRPr="00ED77FB">
        <w:rPr>
          <w:sz w:val="17"/>
          <w:szCs w:val="17"/>
        </w:rPr>
        <w:t>[Footnote continued from previous page]</w:t>
      </w:r>
    </w:p>
  </w:footnote>
  <w:footnote w:type="continuationNotice" w:id="1">
    <w:p w14:paraId="6F1E2CF7" w14:textId="77777777" w:rsidR="00852FBB" w:rsidRPr="00ED77FB" w:rsidRDefault="00852FB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9E3" w14:textId="77777777" w:rsidR="00752A3A" w:rsidRDefault="00752A3A" w:rsidP="00752A3A">
    <w:pPr>
      <w:jc w:val="center"/>
      <w:rPr>
        <w:color w:val="000000"/>
        <w:sz w:val="17"/>
      </w:rPr>
    </w:pPr>
    <w:bookmarkStart w:id="5" w:name="TITUS1HeaderEvenPages"/>
    <w:r w:rsidRPr="00752A3A">
      <w:rPr>
        <w:color w:val="000000"/>
        <w:sz w:val="17"/>
      </w:rPr>
      <w:t> </w:t>
    </w:r>
  </w:p>
  <w:bookmarkEnd w:id="5"/>
  <w:p w14:paraId="2D6BB585" w14:textId="77777777" w:rsidR="00752A3A" w:rsidRDefault="00752A3A" w:rsidP="00752A3A">
    <w:pPr>
      <w:jc w:val="right"/>
    </w:pPr>
    <w:r>
      <w:t>CDIP/13/3</w:t>
    </w:r>
  </w:p>
  <w:p w14:paraId="181F70CE" w14:textId="77777777" w:rsidR="00752A3A" w:rsidRDefault="00752A3A" w:rsidP="00752A3A">
    <w:pPr>
      <w:jc w:val="right"/>
    </w:pP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9375F3D" w14:textId="77777777" w:rsidR="00752A3A" w:rsidRDefault="00752A3A"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A3DF" w14:textId="77777777" w:rsidR="00752A3A" w:rsidRDefault="00752A3A" w:rsidP="00752A3A">
    <w:pPr>
      <w:jc w:val="center"/>
      <w:rPr>
        <w:color w:val="000000"/>
        <w:sz w:val="17"/>
        <w:lang w:val="fr-FR"/>
      </w:rPr>
    </w:pPr>
    <w:bookmarkStart w:id="70" w:name="TITUS4HeaderEvenPages"/>
    <w:r w:rsidRPr="00752A3A">
      <w:rPr>
        <w:color w:val="000000"/>
        <w:sz w:val="17"/>
        <w:lang w:val="fr-FR"/>
      </w:rPr>
      <w:t> </w:t>
    </w:r>
  </w:p>
  <w:bookmarkEnd w:id="70"/>
  <w:p w14:paraId="6BC7861D" w14:textId="7E7061A5" w:rsidR="00752A3A" w:rsidRPr="00150FAF" w:rsidRDefault="00752A3A" w:rsidP="00752A3A">
    <w:pPr>
      <w:jc w:val="right"/>
      <w:rPr>
        <w:lang w:val="fr-FR"/>
      </w:rPr>
    </w:pPr>
    <w:r w:rsidRPr="00150FAF">
      <w:rPr>
        <w:lang w:val="fr-FR"/>
      </w:rPr>
      <w:t>CDIP/</w:t>
    </w:r>
    <w:r w:rsidR="00104D6F">
      <w:rPr>
        <w:lang w:val="fr-FR"/>
      </w:rPr>
      <w:t>32</w:t>
    </w:r>
    <w:r w:rsidRPr="00150FAF">
      <w:rPr>
        <w:lang w:val="fr-FR"/>
      </w:rPr>
      <w:t>/</w:t>
    </w:r>
    <w:r w:rsidR="009B10BE">
      <w:rPr>
        <w:lang w:val="fr-FR"/>
      </w:rPr>
      <w:t>11</w:t>
    </w:r>
  </w:p>
  <w:p w14:paraId="6070FA26" w14:textId="77777777" w:rsidR="00752A3A" w:rsidRPr="00150FAF" w:rsidRDefault="00752A3A" w:rsidP="00752A3A">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sidR="007B2712">
      <w:rPr>
        <w:rStyle w:val="PageNumber"/>
        <w:noProof/>
        <w:lang w:val="fr-FR"/>
      </w:rPr>
      <w:t>4</w:t>
    </w:r>
    <w:r>
      <w:rPr>
        <w:rStyle w:val="PageNumber"/>
      </w:rPr>
      <w:fldChar w:fldCharType="end"/>
    </w:r>
  </w:p>
  <w:p w14:paraId="69396822" w14:textId="77777777" w:rsidR="00752A3A" w:rsidRDefault="00752A3A" w:rsidP="00752A3A">
    <w:pPr>
      <w:jc w:val="right"/>
      <w:rPr>
        <w:lang w:val="fr-FR"/>
      </w:rPr>
    </w:pPr>
  </w:p>
  <w:p w14:paraId="2E4D576A" w14:textId="77777777" w:rsidR="009B10BE" w:rsidRPr="00150FAF" w:rsidRDefault="009B10BE" w:rsidP="00752A3A">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D1E" w14:textId="77777777" w:rsidR="00752A3A" w:rsidRDefault="00752A3A" w:rsidP="00752A3A">
    <w:pPr>
      <w:jc w:val="center"/>
      <w:rPr>
        <w:color w:val="000000"/>
        <w:sz w:val="17"/>
        <w:lang w:val="fr-FR"/>
      </w:rPr>
    </w:pPr>
    <w:bookmarkStart w:id="71" w:name="TITUS4HeaderPrimary"/>
    <w:r w:rsidRPr="00752A3A">
      <w:rPr>
        <w:color w:val="000000"/>
        <w:sz w:val="17"/>
        <w:lang w:val="fr-FR"/>
      </w:rPr>
      <w:t> </w:t>
    </w:r>
  </w:p>
  <w:bookmarkEnd w:id="71"/>
  <w:p w14:paraId="6E2FD435" w14:textId="4161FA98" w:rsidR="004E2CDA" w:rsidRPr="00150FAF" w:rsidRDefault="004E2CDA" w:rsidP="00477D6B">
    <w:pPr>
      <w:jc w:val="right"/>
      <w:rPr>
        <w:lang w:val="fr-FR"/>
      </w:rPr>
    </w:pPr>
    <w:r w:rsidRPr="00150FAF">
      <w:rPr>
        <w:lang w:val="fr-FR"/>
      </w:rPr>
      <w:t>CDIP/</w:t>
    </w:r>
    <w:r w:rsidR="00104D6F">
      <w:rPr>
        <w:lang w:val="fr-FR"/>
      </w:rPr>
      <w:t>32</w:t>
    </w:r>
    <w:r w:rsidRPr="00150FAF">
      <w:rPr>
        <w:lang w:val="fr-FR"/>
      </w:rPr>
      <w:t>/</w:t>
    </w:r>
    <w:r w:rsidR="009B10BE">
      <w:rPr>
        <w:lang w:val="fr-FR"/>
      </w:rPr>
      <w:t>11</w:t>
    </w:r>
  </w:p>
  <w:p w14:paraId="3BECED11" w14:textId="77777777" w:rsidR="004E2CDA" w:rsidRPr="00150FAF" w:rsidRDefault="004E2CDA" w:rsidP="00477D6B">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sidR="007B2712">
      <w:rPr>
        <w:rStyle w:val="PageNumber"/>
        <w:noProof/>
        <w:lang w:val="fr-FR"/>
      </w:rPr>
      <w:t>3</w:t>
    </w:r>
    <w:r>
      <w:rPr>
        <w:rStyle w:val="PageNumber"/>
      </w:rPr>
      <w:fldChar w:fldCharType="end"/>
    </w:r>
  </w:p>
  <w:p w14:paraId="0B4F69BD" w14:textId="77777777" w:rsidR="004E2CDA" w:rsidRDefault="004E2CDA" w:rsidP="00477D6B">
    <w:pPr>
      <w:jc w:val="right"/>
      <w:rPr>
        <w:lang w:val="fr-FR"/>
      </w:rPr>
    </w:pPr>
  </w:p>
  <w:p w14:paraId="4357A9BE" w14:textId="77777777" w:rsidR="00B3601C" w:rsidRPr="00150FAF" w:rsidRDefault="00B3601C" w:rsidP="00477D6B">
    <w:pP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DF4D" w14:textId="4D5B18CA" w:rsidR="004E2CDA" w:rsidRDefault="004E2CDA" w:rsidP="00FB6E4B">
    <w:pPr>
      <w:pStyle w:val="Header"/>
      <w:jc w:val="right"/>
    </w:pPr>
    <w:r>
      <w:t>CDIP/</w:t>
    </w:r>
    <w:r w:rsidR="00104D6F">
      <w:t>32</w:t>
    </w:r>
    <w:r>
      <w:t>/</w:t>
    </w:r>
    <w:r w:rsidR="008B68AA">
      <w:t>11</w:t>
    </w:r>
  </w:p>
  <w:p w14:paraId="4E9F495D" w14:textId="5EC3895C" w:rsidR="004E2CDA" w:rsidRDefault="008B68AA" w:rsidP="008B68AA">
    <w:pPr>
      <w:pStyle w:val="Header"/>
      <w:jc w:val="right"/>
    </w:pPr>
    <w:r>
      <w:tab/>
    </w:r>
    <w:r>
      <w:tab/>
    </w:r>
    <w:r w:rsidR="004E2CDA">
      <w:t>APPENDIX III</w:t>
    </w:r>
    <w:r w:rsidR="004E2CDA">
      <w:tab/>
    </w:r>
  </w:p>
  <w:p w14:paraId="44C880B1" w14:textId="77777777" w:rsidR="008B68AA" w:rsidRDefault="008B68AA" w:rsidP="00FB6E4B">
    <w:pPr>
      <w:pStyle w:val="Header"/>
      <w:jc w:val="right"/>
    </w:pPr>
  </w:p>
  <w:p w14:paraId="70A92991" w14:textId="77777777" w:rsidR="008B68AA" w:rsidRDefault="008B68AA" w:rsidP="00FB6E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77C" w14:textId="77777777" w:rsidR="004E2CDA" w:rsidRDefault="004E2CDA" w:rsidP="00477D6B">
    <w:pPr>
      <w:jc w:val="right"/>
    </w:pPr>
    <w:bookmarkStart w:id="6" w:name="Code2"/>
    <w:bookmarkEnd w:id="6"/>
    <w:r>
      <w:t>CDIP/13/3</w:t>
    </w:r>
  </w:p>
  <w:p w14:paraId="1110F56F" w14:textId="77777777" w:rsidR="00752A3A" w:rsidRDefault="00752A3A" w:rsidP="00752A3A">
    <w:pPr>
      <w:jc w:val="center"/>
      <w:rPr>
        <w:color w:val="000000"/>
        <w:sz w:val="17"/>
      </w:rPr>
    </w:pPr>
    <w:bookmarkStart w:id="7" w:name="TITUS1HeaderPrimary"/>
    <w:r w:rsidRPr="00752A3A">
      <w:rPr>
        <w:color w:val="000000"/>
        <w:sz w:val="17"/>
      </w:rPr>
      <w:t> </w:t>
    </w:r>
  </w:p>
  <w:bookmarkEnd w:id="7"/>
  <w:p w14:paraId="52A45E71" w14:textId="77777777" w:rsidR="004E2CDA" w:rsidRDefault="004E2CDA" w:rsidP="00477D6B">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6C7FAF5" w14:textId="77777777" w:rsidR="004E2CDA" w:rsidRDefault="004E2CDA" w:rsidP="00477D6B">
    <w:pPr>
      <w:jc w:val="right"/>
    </w:pPr>
    <w:bookmarkStart w:id="8" w:name="_Toc320474862"/>
    <w:bookmarkStart w:id="9" w:name="_Toc320700943"/>
    <w:bookmarkStart w:id="10" w:name="_Toc321120939"/>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14E" w14:textId="77777777" w:rsidR="00752A3A" w:rsidRDefault="00752A3A" w:rsidP="00752A3A">
    <w:pPr>
      <w:pStyle w:val="Header"/>
      <w:jc w:val="center"/>
      <w:rPr>
        <w:color w:val="000000"/>
        <w:sz w:val="17"/>
      </w:rPr>
    </w:pPr>
    <w:bookmarkStart w:id="12" w:name="TITUS1HeaderFirstPage"/>
    <w:r w:rsidRPr="00752A3A">
      <w:rPr>
        <w:color w:val="000000"/>
        <w:sz w:val="17"/>
      </w:rPr>
      <w:t> </w:t>
    </w:r>
  </w:p>
  <w:bookmarkEnd w:id="12"/>
  <w:p w14:paraId="76EF027C" w14:textId="77777777" w:rsidR="00752A3A" w:rsidRDefault="00752A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9CBE" w14:textId="77777777" w:rsidR="00752A3A" w:rsidRDefault="00752A3A" w:rsidP="00752A3A">
    <w:pPr>
      <w:jc w:val="center"/>
      <w:rPr>
        <w:color w:val="000000"/>
        <w:sz w:val="17"/>
      </w:rPr>
    </w:pPr>
    <w:bookmarkStart w:id="58" w:name="TITUS2HeaderEvenPages"/>
    <w:r w:rsidRPr="00752A3A">
      <w:rPr>
        <w:color w:val="000000"/>
        <w:sz w:val="17"/>
      </w:rPr>
      <w:t> </w:t>
    </w:r>
  </w:p>
  <w:bookmarkEnd w:id="58"/>
  <w:p w14:paraId="583CEA55" w14:textId="385E6177" w:rsidR="00752A3A" w:rsidRDefault="00752A3A" w:rsidP="00752A3A">
    <w:pPr>
      <w:jc w:val="right"/>
    </w:pPr>
    <w:r>
      <w:t>CDIP/</w:t>
    </w:r>
    <w:r w:rsidR="00AE2425">
      <w:t>32</w:t>
    </w:r>
    <w:r>
      <w:t>/</w:t>
    </w:r>
    <w:r w:rsidR="005E6B68">
      <w:t>11</w:t>
    </w:r>
  </w:p>
  <w:p w14:paraId="33F69965" w14:textId="77777777" w:rsidR="00752A3A" w:rsidRDefault="00752A3A" w:rsidP="00752A3A">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7B2712">
      <w:rPr>
        <w:rStyle w:val="PageNumber"/>
        <w:noProof/>
      </w:rPr>
      <w:t>12</w:t>
    </w:r>
    <w:r>
      <w:rPr>
        <w:rStyle w:val="PageNumber"/>
      </w:rPr>
      <w:fldChar w:fldCharType="end"/>
    </w:r>
  </w:p>
  <w:p w14:paraId="16677B5B" w14:textId="77777777" w:rsidR="00752A3A" w:rsidRDefault="00752A3A" w:rsidP="00752A3A">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C905" w14:textId="77777777" w:rsidR="00752A3A" w:rsidRDefault="00752A3A" w:rsidP="00752A3A">
    <w:pPr>
      <w:jc w:val="center"/>
      <w:rPr>
        <w:color w:val="000000"/>
        <w:sz w:val="17"/>
      </w:rPr>
    </w:pPr>
    <w:bookmarkStart w:id="59" w:name="TITUS2HeaderPrimary"/>
    <w:r w:rsidRPr="00752A3A">
      <w:rPr>
        <w:color w:val="000000"/>
        <w:sz w:val="17"/>
      </w:rPr>
      <w:t> </w:t>
    </w:r>
  </w:p>
  <w:bookmarkEnd w:id="59"/>
  <w:p w14:paraId="32C0973D" w14:textId="593847D3" w:rsidR="004E2CDA" w:rsidRDefault="004E2CDA" w:rsidP="00477D6B">
    <w:pPr>
      <w:jc w:val="right"/>
    </w:pPr>
    <w:r>
      <w:t>CDIP/</w:t>
    </w:r>
    <w:r w:rsidR="00AE2425">
      <w:t>32</w:t>
    </w:r>
    <w:r>
      <w:t>/</w:t>
    </w:r>
    <w:r w:rsidR="005E6B68">
      <w:t>11</w:t>
    </w:r>
  </w:p>
  <w:p w14:paraId="2176D182" w14:textId="77777777" w:rsidR="004E2CDA" w:rsidRDefault="004E2CDA" w:rsidP="00477D6B">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7B2712">
      <w:rPr>
        <w:rStyle w:val="PageNumber"/>
        <w:noProof/>
      </w:rPr>
      <w:t>11</w:t>
    </w:r>
    <w:r>
      <w:rPr>
        <w:rStyle w:val="PageNumber"/>
      </w:rPr>
      <w:fldChar w:fldCharType="end"/>
    </w:r>
  </w:p>
  <w:p w14:paraId="6650339A" w14:textId="77777777" w:rsidR="004E2CDA" w:rsidRDefault="004E2CD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A36" w14:textId="77777777" w:rsidR="00752A3A" w:rsidRDefault="00752A3A" w:rsidP="00752A3A">
    <w:pPr>
      <w:pStyle w:val="Header"/>
      <w:jc w:val="center"/>
      <w:rPr>
        <w:color w:val="000000"/>
        <w:sz w:val="17"/>
      </w:rPr>
    </w:pPr>
    <w:bookmarkStart w:id="60" w:name="TITUS2HeaderFirstPage"/>
    <w:r w:rsidRPr="00752A3A">
      <w:rPr>
        <w:color w:val="000000"/>
        <w:sz w:val="17"/>
      </w:rPr>
      <w:t> </w:t>
    </w:r>
  </w:p>
  <w:bookmarkEnd w:id="60"/>
  <w:p w14:paraId="6E516717" w14:textId="5BB06D6F" w:rsidR="004E2CDA" w:rsidRDefault="004E2CDA" w:rsidP="00FB6E4B">
    <w:pPr>
      <w:pStyle w:val="Header"/>
      <w:jc w:val="right"/>
    </w:pPr>
    <w:r>
      <w:t>CDIP/</w:t>
    </w:r>
    <w:r w:rsidR="00AE2425">
      <w:t>32/</w:t>
    </w:r>
    <w:r w:rsidR="005E6B68">
      <w:t>11</w:t>
    </w:r>
  </w:p>
  <w:p w14:paraId="43ECD684" w14:textId="77777777" w:rsidR="004E2CDA" w:rsidRDefault="004E2CDA" w:rsidP="00FB6E4B">
    <w:pPr>
      <w:pStyle w:val="Header"/>
      <w:jc w:val="right"/>
    </w:pPr>
    <w:r>
      <w:t>ANNEX</w:t>
    </w:r>
  </w:p>
  <w:p w14:paraId="6FEE54DA" w14:textId="77777777" w:rsidR="004E2CDA" w:rsidRDefault="004E2CDA" w:rsidP="00FB6E4B">
    <w:pPr>
      <w:pStyle w:val="Header"/>
      <w:jc w:val="right"/>
    </w:pPr>
  </w:p>
  <w:p w14:paraId="253A134D" w14:textId="77777777" w:rsidR="004E2CDA" w:rsidRDefault="004E2CDA" w:rsidP="00FB6E4B">
    <w:pPr>
      <w:pStyle w:val="Header"/>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C85" w14:textId="77777777" w:rsidR="00752A3A" w:rsidRDefault="00752A3A" w:rsidP="00752A3A">
    <w:pPr>
      <w:jc w:val="center"/>
      <w:rPr>
        <w:color w:val="000000"/>
        <w:sz w:val="17"/>
      </w:rPr>
    </w:pPr>
    <w:bookmarkStart w:id="65" w:name="TITUS3HeaderEvenPages"/>
    <w:r w:rsidRPr="00752A3A">
      <w:rPr>
        <w:color w:val="000000"/>
        <w:sz w:val="17"/>
      </w:rPr>
      <w:t> </w:t>
    </w:r>
  </w:p>
  <w:bookmarkEnd w:id="65"/>
  <w:p w14:paraId="319D0F49" w14:textId="7AFD04BE" w:rsidR="00752A3A" w:rsidRDefault="00752A3A" w:rsidP="00752A3A">
    <w:pPr>
      <w:jc w:val="right"/>
    </w:pPr>
    <w:r>
      <w:t>CDIP/</w:t>
    </w:r>
    <w:r w:rsidR="00C8646A">
      <w:t>32</w:t>
    </w:r>
    <w:r>
      <w:t>/</w:t>
    </w:r>
    <w:r w:rsidR="008B68AA">
      <w:t>11</w:t>
    </w:r>
  </w:p>
  <w:p w14:paraId="71603C9B" w14:textId="45CFEADD" w:rsidR="00752A3A" w:rsidRDefault="00752A3A" w:rsidP="00752A3A">
    <w:pPr>
      <w:jc w:val="right"/>
    </w:pPr>
    <w:r>
      <w:t>A</w:t>
    </w:r>
    <w:r w:rsidR="008B68AA">
      <w:t xml:space="preserve">ppendix I, page </w:t>
    </w:r>
    <w:r w:rsidR="008B68AA">
      <w:rPr>
        <w:rStyle w:val="PageNumber"/>
      </w:rPr>
      <w:fldChar w:fldCharType="begin"/>
    </w:r>
    <w:r w:rsidR="008B68AA">
      <w:rPr>
        <w:rStyle w:val="PageNumber"/>
      </w:rPr>
      <w:instrText xml:space="preserve"> PAGE </w:instrText>
    </w:r>
    <w:r w:rsidR="008B68AA">
      <w:rPr>
        <w:rStyle w:val="PageNumber"/>
      </w:rPr>
      <w:fldChar w:fldCharType="separate"/>
    </w:r>
    <w:r w:rsidR="008B68AA">
      <w:rPr>
        <w:rStyle w:val="PageNumber"/>
      </w:rPr>
      <w:t>13</w:t>
    </w:r>
    <w:r w:rsidR="008B68AA">
      <w:rPr>
        <w:rStyle w:val="PageNumber"/>
      </w:rPr>
      <w:fldChar w:fldCharType="end"/>
    </w:r>
  </w:p>
  <w:p w14:paraId="14020564" w14:textId="77777777" w:rsidR="00752A3A" w:rsidRDefault="00752A3A" w:rsidP="00752A3A">
    <w:pPr>
      <w:jc w:val="right"/>
    </w:pPr>
  </w:p>
  <w:p w14:paraId="65FBC969" w14:textId="77777777" w:rsidR="008B68AA" w:rsidRDefault="008B68AA" w:rsidP="00752A3A">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C5E" w14:textId="77777777" w:rsidR="00752A3A" w:rsidRDefault="00752A3A" w:rsidP="00752A3A">
    <w:pPr>
      <w:jc w:val="center"/>
      <w:rPr>
        <w:color w:val="000000"/>
        <w:sz w:val="17"/>
      </w:rPr>
    </w:pPr>
    <w:bookmarkStart w:id="66" w:name="TITUS3HeaderPrimary"/>
    <w:r w:rsidRPr="00752A3A">
      <w:rPr>
        <w:color w:val="000000"/>
        <w:sz w:val="17"/>
      </w:rPr>
      <w:t> </w:t>
    </w:r>
  </w:p>
  <w:bookmarkEnd w:id="66"/>
  <w:p w14:paraId="1FCE011F" w14:textId="30432004" w:rsidR="004E2CDA" w:rsidRDefault="004E2CDA" w:rsidP="00477D6B">
    <w:pPr>
      <w:jc w:val="right"/>
    </w:pPr>
    <w:r>
      <w:t>CDIP/</w:t>
    </w:r>
    <w:r w:rsidR="008B68AA">
      <w:t>32</w:t>
    </w:r>
    <w:r>
      <w:t>/</w:t>
    </w:r>
    <w:r w:rsidR="008B68AA">
      <w:t>11</w:t>
    </w:r>
  </w:p>
  <w:p w14:paraId="3D0DB630" w14:textId="77777777" w:rsidR="004E2CDA" w:rsidRDefault="004E2CDA" w:rsidP="00477D6B">
    <w:pPr>
      <w:jc w:val="right"/>
    </w:pPr>
    <w:r>
      <w:t>APPENDIX II</w:t>
    </w:r>
  </w:p>
  <w:p w14:paraId="5213248E" w14:textId="77777777" w:rsidR="004E2CDA" w:rsidRDefault="004E2CDA" w:rsidP="00477D6B">
    <w:pPr>
      <w:jc w:val="right"/>
    </w:pPr>
  </w:p>
  <w:p w14:paraId="0D963F84" w14:textId="77777777" w:rsidR="008B68AA" w:rsidRDefault="008B68AA"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C76" w14:textId="77777777" w:rsidR="00752A3A" w:rsidRDefault="00752A3A" w:rsidP="00752A3A">
    <w:pPr>
      <w:pStyle w:val="Header"/>
      <w:jc w:val="center"/>
      <w:rPr>
        <w:color w:val="000000"/>
        <w:sz w:val="17"/>
      </w:rPr>
    </w:pPr>
    <w:bookmarkStart w:id="67" w:name="TITUS3HeaderFirstPage"/>
    <w:r w:rsidRPr="00752A3A">
      <w:rPr>
        <w:color w:val="000000"/>
        <w:sz w:val="17"/>
      </w:rPr>
      <w:t> </w:t>
    </w:r>
  </w:p>
  <w:bookmarkEnd w:id="67"/>
  <w:p w14:paraId="283B4C9E" w14:textId="2F4C8DE4" w:rsidR="004E2CDA" w:rsidRDefault="004E2CDA" w:rsidP="00FB6E4B">
    <w:pPr>
      <w:pStyle w:val="Header"/>
      <w:jc w:val="right"/>
    </w:pPr>
    <w:r>
      <w:t>CDIP/</w:t>
    </w:r>
    <w:r w:rsidR="00C8646A">
      <w:t>32</w:t>
    </w:r>
    <w:r>
      <w:t>/</w:t>
    </w:r>
    <w:r w:rsidR="008B68AA">
      <w:t>11</w:t>
    </w:r>
  </w:p>
  <w:p w14:paraId="05F70366" w14:textId="77777777" w:rsidR="004E2CDA" w:rsidRDefault="004E2CDA" w:rsidP="00FB6E4B">
    <w:pPr>
      <w:pStyle w:val="Header"/>
      <w:jc w:val="right"/>
    </w:pPr>
    <w:r>
      <w:t>APPENDIX I</w:t>
    </w:r>
  </w:p>
  <w:p w14:paraId="704A03CB" w14:textId="77777777" w:rsidR="004E2CDA" w:rsidRDefault="004E2CDA" w:rsidP="00FB6E4B">
    <w:pPr>
      <w:pStyle w:val="Header"/>
      <w:jc w:val="right"/>
    </w:pPr>
  </w:p>
  <w:p w14:paraId="6280753C" w14:textId="77777777" w:rsidR="004E2CDA" w:rsidRDefault="004E2CDA"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6C13A13"/>
    <w:multiLevelType w:val="hybridMultilevel"/>
    <w:tmpl w:val="30DE0700"/>
    <w:lvl w:ilvl="0" w:tplc="0409000F">
      <w:start w:val="1"/>
      <w:numFmt w:val="decimal"/>
      <w:lvlText w:val="%1."/>
      <w:lvlJc w:val="left"/>
      <w:pPr>
        <w:tabs>
          <w:tab w:val="num" w:pos="567"/>
        </w:tabs>
        <w:ind w:left="0" w:firstLine="0"/>
      </w:pPr>
      <w:rPr>
        <w:rFonts w:hint="default"/>
        <w:b w:val="0"/>
        <w:bCs/>
      </w:rPr>
    </w:lvl>
    <w:lvl w:ilvl="1" w:tplc="76785626">
      <w:start w:val="1"/>
      <w:numFmt w:val="lowerLetter"/>
      <w:lvlText w:val="(%2)"/>
      <w:lvlJc w:val="left"/>
      <w:pPr>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B8D51D6"/>
    <w:multiLevelType w:val="hybridMultilevel"/>
    <w:tmpl w:val="81E84104"/>
    <w:lvl w:ilvl="0" w:tplc="767856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5EF8"/>
    <w:multiLevelType w:val="hybridMultilevel"/>
    <w:tmpl w:val="4B045D4E"/>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51D6D"/>
    <w:multiLevelType w:val="hybridMultilevel"/>
    <w:tmpl w:val="206E787A"/>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9" w15:restartNumberingAfterBreak="0">
    <w:nsid w:val="1DB561EA"/>
    <w:multiLevelType w:val="hybridMultilevel"/>
    <w:tmpl w:val="6EC4BDF4"/>
    <w:lvl w:ilvl="0" w:tplc="D676EE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2AF51F5"/>
    <w:multiLevelType w:val="hybridMultilevel"/>
    <w:tmpl w:val="DCF2DB08"/>
    <w:lvl w:ilvl="0" w:tplc="448286A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0D48"/>
    <w:multiLevelType w:val="hybridMultilevel"/>
    <w:tmpl w:val="CE6EEB66"/>
    <w:lvl w:ilvl="0" w:tplc="76785626">
      <w:start w:val="1"/>
      <w:numFmt w:val="lowerLetter"/>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4A042D5"/>
    <w:multiLevelType w:val="hybridMultilevel"/>
    <w:tmpl w:val="2D78A928"/>
    <w:lvl w:ilvl="0" w:tplc="767856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93A3E"/>
    <w:multiLevelType w:val="hybridMultilevel"/>
    <w:tmpl w:val="5BAC67E8"/>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B3501"/>
    <w:multiLevelType w:val="hybridMultilevel"/>
    <w:tmpl w:val="2E6AF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31F5"/>
    <w:multiLevelType w:val="hybridMultilevel"/>
    <w:tmpl w:val="69D22DC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11A96"/>
    <w:multiLevelType w:val="hybridMultilevel"/>
    <w:tmpl w:val="C8ACEC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0"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D1E1B42"/>
    <w:multiLevelType w:val="hybridMultilevel"/>
    <w:tmpl w:val="8926E908"/>
    <w:lvl w:ilvl="0" w:tplc="76785626">
      <w:start w:val="1"/>
      <w:numFmt w:val="lowerLetter"/>
      <w:lvlText w:val="(%1)"/>
      <w:lvlJc w:val="left"/>
      <w:pPr>
        <w:ind w:left="720" w:hanging="360"/>
      </w:pPr>
      <w:rPr>
        <w:rFonts w:hint="default"/>
        <w:b w:val="0"/>
        <w:bCs/>
      </w:rPr>
    </w:lvl>
    <w:lvl w:ilvl="1" w:tplc="E08E2F70">
      <w:start w:val="23"/>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F306F49"/>
    <w:multiLevelType w:val="hybridMultilevel"/>
    <w:tmpl w:val="8926E908"/>
    <w:lvl w:ilvl="0" w:tplc="FFFFFFFF">
      <w:start w:val="1"/>
      <w:numFmt w:val="lowerLetter"/>
      <w:lvlText w:val="(%1)"/>
      <w:lvlJc w:val="left"/>
      <w:pPr>
        <w:ind w:left="360" w:hanging="360"/>
      </w:pPr>
      <w:rPr>
        <w:rFonts w:hint="default"/>
        <w:b w:val="0"/>
        <w:bCs/>
      </w:rPr>
    </w:lvl>
    <w:lvl w:ilvl="1" w:tplc="FFFFFFFF">
      <w:start w:val="23"/>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F5801CF"/>
    <w:multiLevelType w:val="hybridMultilevel"/>
    <w:tmpl w:val="206E9014"/>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8429C"/>
    <w:multiLevelType w:val="hybridMultilevel"/>
    <w:tmpl w:val="1922AF6A"/>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495022">
    <w:abstractNumId w:val="18"/>
  </w:num>
  <w:num w:numId="2" w16cid:durableId="1462845771">
    <w:abstractNumId w:val="5"/>
  </w:num>
  <w:num w:numId="3" w16cid:durableId="355159098">
    <w:abstractNumId w:val="10"/>
  </w:num>
  <w:num w:numId="4" w16cid:durableId="61028299">
    <w:abstractNumId w:val="3"/>
  </w:num>
  <w:num w:numId="5" w16cid:durableId="817379785">
    <w:abstractNumId w:val="2"/>
  </w:num>
  <w:num w:numId="6" w16cid:durableId="409233460">
    <w:abstractNumId w:val="1"/>
  </w:num>
  <w:num w:numId="7" w16cid:durableId="1441608820">
    <w:abstractNumId w:val="0"/>
  </w:num>
  <w:num w:numId="8" w16cid:durableId="27948202">
    <w:abstractNumId w:val="4"/>
  </w:num>
  <w:num w:numId="9" w16cid:durableId="34932897">
    <w:abstractNumId w:val="19"/>
  </w:num>
  <w:num w:numId="10" w16cid:durableId="715396998">
    <w:abstractNumId w:val="20"/>
  </w:num>
  <w:num w:numId="11" w16cid:durableId="73094674">
    <w:abstractNumId w:val="8"/>
  </w:num>
  <w:num w:numId="12" w16cid:durableId="1218470265">
    <w:abstractNumId w:val="12"/>
  </w:num>
  <w:num w:numId="13" w16cid:durableId="1970428659">
    <w:abstractNumId w:val="21"/>
  </w:num>
  <w:num w:numId="14" w16cid:durableId="622686244">
    <w:abstractNumId w:val="17"/>
  </w:num>
  <w:num w:numId="15" w16cid:durableId="820780211">
    <w:abstractNumId w:val="16"/>
  </w:num>
  <w:num w:numId="16" w16cid:durableId="1087388089">
    <w:abstractNumId w:val="11"/>
  </w:num>
  <w:num w:numId="17" w16cid:durableId="40054828">
    <w:abstractNumId w:val="15"/>
  </w:num>
  <w:num w:numId="18" w16cid:durableId="1956136718">
    <w:abstractNumId w:val="13"/>
  </w:num>
  <w:num w:numId="19" w16cid:durableId="352264817">
    <w:abstractNumId w:val="6"/>
  </w:num>
  <w:num w:numId="20" w16cid:durableId="1435247053">
    <w:abstractNumId w:val="9"/>
  </w:num>
  <w:num w:numId="21" w16cid:durableId="1528330102">
    <w:abstractNumId w:val="14"/>
  </w:num>
  <w:num w:numId="22" w16cid:durableId="402456701">
    <w:abstractNumId w:val="23"/>
  </w:num>
  <w:num w:numId="23" w16cid:durableId="677585951">
    <w:abstractNumId w:val="24"/>
  </w:num>
  <w:num w:numId="24" w16cid:durableId="1130319784">
    <w:abstractNumId w:val="7"/>
  </w:num>
  <w:num w:numId="25" w16cid:durableId="3593556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A"/>
    <w:rsid w:val="00000C32"/>
    <w:rsid w:val="00004FCB"/>
    <w:rsid w:val="00010E4C"/>
    <w:rsid w:val="00011BFB"/>
    <w:rsid w:val="00013293"/>
    <w:rsid w:val="00013627"/>
    <w:rsid w:val="00013B29"/>
    <w:rsid w:val="000154F7"/>
    <w:rsid w:val="0001562C"/>
    <w:rsid w:val="00015A62"/>
    <w:rsid w:val="000202D0"/>
    <w:rsid w:val="00021F82"/>
    <w:rsid w:val="00023307"/>
    <w:rsid w:val="00026673"/>
    <w:rsid w:val="00026FA2"/>
    <w:rsid w:val="00027189"/>
    <w:rsid w:val="000275E3"/>
    <w:rsid w:val="000308C7"/>
    <w:rsid w:val="00031360"/>
    <w:rsid w:val="00036E21"/>
    <w:rsid w:val="00037D1D"/>
    <w:rsid w:val="00041820"/>
    <w:rsid w:val="00043CAA"/>
    <w:rsid w:val="00044187"/>
    <w:rsid w:val="00044F72"/>
    <w:rsid w:val="000461F2"/>
    <w:rsid w:val="00046893"/>
    <w:rsid w:val="00046C37"/>
    <w:rsid w:val="00047D96"/>
    <w:rsid w:val="00051999"/>
    <w:rsid w:val="0005217D"/>
    <w:rsid w:val="00054B33"/>
    <w:rsid w:val="00055303"/>
    <w:rsid w:val="00056450"/>
    <w:rsid w:val="000607D5"/>
    <w:rsid w:val="00063D97"/>
    <w:rsid w:val="00065849"/>
    <w:rsid w:val="00066723"/>
    <w:rsid w:val="000722D7"/>
    <w:rsid w:val="00075432"/>
    <w:rsid w:val="0007652D"/>
    <w:rsid w:val="000768B5"/>
    <w:rsid w:val="00077463"/>
    <w:rsid w:val="0008098A"/>
    <w:rsid w:val="00080A2F"/>
    <w:rsid w:val="00083BB1"/>
    <w:rsid w:val="000850D0"/>
    <w:rsid w:val="00092F69"/>
    <w:rsid w:val="0009414E"/>
    <w:rsid w:val="000968ED"/>
    <w:rsid w:val="00097361"/>
    <w:rsid w:val="000A00A9"/>
    <w:rsid w:val="000A13FC"/>
    <w:rsid w:val="000A1C40"/>
    <w:rsid w:val="000A3E2F"/>
    <w:rsid w:val="000A43D4"/>
    <w:rsid w:val="000A59AF"/>
    <w:rsid w:val="000A6F04"/>
    <w:rsid w:val="000B00F7"/>
    <w:rsid w:val="000B045C"/>
    <w:rsid w:val="000B3F68"/>
    <w:rsid w:val="000B47C2"/>
    <w:rsid w:val="000B5836"/>
    <w:rsid w:val="000B757A"/>
    <w:rsid w:val="000B7A75"/>
    <w:rsid w:val="000C2D13"/>
    <w:rsid w:val="000C31EF"/>
    <w:rsid w:val="000C5649"/>
    <w:rsid w:val="000C5936"/>
    <w:rsid w:val="000C5963"/>
    <w:rsid w:val="000C68C0"/>
    <w:rsid w:val="000D040F"/>
    <w:rsid w:val="000D1120"/>
    <w:rsid w:val="000D230D"/>
    <w:rsid w:val="000D2AC1"/>
    <w:rsid w:val="000D3016"/>
    <w:rsid w:val="000D4D5A"/>
    <w:rsid w:val="000D5A70"/>
    <w:rsid w:val="000E3450"/>
    <w:rsid w:val="000E3598"/>
    <w:rsid w:val="000E58E8"/>
    <w:rsid w:val="000E6ABD"/>
    <w:rsid w:val="000F0133"/>
    <w:rsid w:val="000F12F0"/>
    <w:rsid w:val="000F159B"/>
    <w:rsid w:val="000F1A90"/>
    <w:rsid w:val="000F43BE"/>
    <w:rsid w:val="000F4BD3"/>
    <w:rsid w:val="000F594C"/>
    <w:rsid w:val="000F5E56"/>
    <w:rsid w:val="00101E7A"/>
    <w:rsid w:val="00104D6F"/>
    <w:rsid w:val="00105172"/>
    <w:rsid w:val="001059FC"/>
    <w:rsid w:val="001060BE"/>
    <w:rsid w:val="001060BF"/>
    <w:rsid w:val="00110350"/>
    <w:rsid w:val="00112653"/>
    <w:rsid w:val="00113824"/>
    <w:rsid w:val="00113BB7"/>
    <w:rsid w:val="001145F7"/>
    <w:rsid w:val="00115024"/>
    <w:rsid w:val="00117B01"/>
    <w:rsid w:val="00120547"/>
    <w:rsid w:val="00123399"/>
    <w:rsid w:val="00125612"/>
    <w:rsid w:val="001269EB"/>
    <w:rsid w:val="00130243"/>
    <w:rsid w:val="00130B53"/>
    <w:rsid w:val="0013137E"/>
    <w:rsid w:val="001362EE"/>
    <w:rsid w:val="0013630A"/>
    <w:rsid w:val="001423A5"/>
    <w:rsid w:val="00142EFF"/>
    <w:rsid w:val="0014770B"/>
    <w:rsid w:val="00147E7B"/>
    <w:rsid w:val="00150FAF"/>
    <w:rsid w:val="001515F1"/>
    <w:rsid w:val="00151E8B"/>
    <w:rsid w:val="00157530"/>
    <w:rsid w:val="001621D7"/>
    <w:rsid w:val="00162809"/>
    <w:rsid w:val="0016355D"/>
    <w:rsid w:val="00164C23"/>
    <w:rsid w:val="00167731"/>
    <w:rsid w:val="00167964"/>
    <w:rsid w:val="0017331F"/>
    <w:rsid w:val="00177E17"/>
    <w:rsid w:val="00181D9D"/>
    <w:rsid w:val="001821CA"/>
    <w:rsid w:val="001832A6"/>
    <w:rsid w:val="001840F5"/>
    <w:rsid w:val="00185815"/>
    <w:rsid w:val="00186013"/>
    <w:rsid w:val="001872D9"/>
    <w:rsid w:val="00190BBD"/>
    <w:rsid w:val="0019113C"/>
    <w:rsid w:val="001937E8"/>
    <w:rsid w:val="00195D57"/>
    <w:rsid w:val="00196C30"/>
    <w:rsid w:val="00197452"/>
    <w:rsid w:val="001975E5"/>
    <w:rsid w:val="001A183E"/>
    <w:rsid w:val="001A1AA0"/>
    <w:rsid w:val="001A1F86"/>
    <w:rsid w:val="001A28B9"/>
    <w:rsid w:val="001A316C"/>
    <w:rsid w:val="001A6A0A"/>
    <w:rsid w:val="001B2531"/>
    <w:rsid w:val="001B3C6B"/>
    <w:rsid w:val="001B602C"/>
    <w:rsid w:val="001B6DC5"/>
    <w:rsid w:val="001C5415"/>
    <w:rsid w:val="001C6672"/>
    <w:rsid w:val="001C7E86"/>
    <w:rsid w:val="001D1656"/>
    <w:rsid w:val="001D1CB9"/>
    <w:rsid w:val="001D1E07"/>
    <w:rsid w:val="001D4EB7"/>
    <w:rsid w:val="001D50BA"/>
    <w:rsid w:val="001D51FD"/>
    <w:rsid w:val="001D6CD2"/>
    <w:rsid w:val="001E01EB"/>
    <w:rsid w:val="001E0DDD"/>
    <w:rsid w:val="001E1672"/>
    <w:rsid w:val="001E45A2"/>
    <w:rsid w:val="001E6A73"/>
    <w:rsid w:val="001F0465"/>
    <w:rsid w:val="001F1DFC"/>
    <w:rsid w:val="001F2040"/>
    <w:rsid w:val="001F475F"/>
    <w:rsid w:val="001F4C95"/>
    <w:rsid w:val="001F53E0"/>
    <w:rsid w:val="001F65EB"/>
    <w:rsid w:val="0020785D"/>
    <w:rsid w:val="00211DA8"/>
    <w:rsid w:val="00211EB2"/>
    <w:rsid w:val="00212775"/>
    <w:rsid w:val="00213162"/>
    <w:rsid w:val="00217EB0"/>
    <w:rsid w:val="0022067D"/>
    <w:rsid w:val="002217A1"/>
    <w:rsid w:val="00222610"/>
    <w:rsid w:val="00225E0F"/>
    <w:rsid w:val="002267CA"/>
    <w:rsid w:val="00226DBC"/>
    <w:rsid w:val="00230439"/>
    <w:rsid w:val="0023544C"/>
    <w:rsid w:val="00237C31"/>
    <w:rsid w:val="00237E65"/>
    <w:rsid w:val="00240CEE"/>
    <w:rsid w:val="002460AB"/>
    <w:rsid w:val="002535B5"/>
    <w:rsid w:val="00253B92"/>
    <w:rsid w:val="00254224"/>
    <w:rsid w:val="00256A19"/>
    <w:rsid w:val="00262098"/>
    <w:rsid w:val="00262353"/>
    <w:rsid w:val="0026327E"/>
    <w:rsid w:val="0026330C"/>
    <w:rsid w:val="002634C4"/>
    <w:rsid w:val="002649ED"/>
    <w:rsid w:val="0026522C"/>
    <w:rsid w:val="00265236"/>
    <w:rsid w:val="00265DA3"/>
    <w:rsid w:val="00265F27"/>
    <w:rsid w:val="002705AC"/>
    <w:rsid w:val="00270EAC"/>
    <w:rsid w:val="00272E3B"/>
    <w:rsid w:val="00273239"/>
    <w:rsid w:val="00275174"/>
    <w:rsid w:val="0027567C"/>
    <w:rsid w:val="00276AF4"/>
    <w:rsid w:val="002811C2"/>
    <w:rsid w:val="00281A68"/>
    <w:rsid w:val="00281D8C"/>
    <w:rsid w:val="00282AEF"/>
    <w:rsid w:val="00282D1E"/>
    <w:rsid w:val="0028339D"/>
    <w:rsid w:val="002861D3"/>
    <w:rsid w:val="00286DDA"/>
    <w:rsid w:val="00287196"/>
    <w:rsid w:val="00287CBE"/>
    <w:rsid w:val="00290A7D"/>
    <w:rsid w:val="0029110C"/>
    <w:rsid w:val="002928D3"/>
    <w:rsid w:val="0029443A"/>
    <w:rsid w:val="002971A6"/>
    <w:rsid w:val="002A0375"/>
    <w:rsid w:val="002A0B05"/>
    <w:rsid w:val="002A2A6D"/>
    <w:rsid w:val="002A3934"/>
    <w:rsid w:val="002A3A3E"/>
    <w:rsid w:val="002A3DBC"/>
    <w:rsid w:val="002A601E"/>
    <w:rsid w:val="002A67EF"/>
    <w:rsid w:val="002B1357"/>
    <w:rsid w:val="002B33A0"/>
    <w:rsid w:val="002B4B6A"/>
    <w:rsid w:val="002B5D17"/>
    <w:rsid w:val="002B660C"/>
    <w:rsid w:val="002B70CC"/>
    <w:rsid w:val="002C0080"/>
    <w:rsid w:val="002C119C"/>
    <w:rsid w:val="002C15EC"/>
    <w:rsid w:val="002C3F16"/>
    <w:rsid w:val="002C468E"/>
    <w:rsid w:val="002C4966"/>
    <w:rsid w:val="002C7B0B"/>
    <w:rsid w:val="002D26BB"/>
    <w:rsid w:val="002D5270"/>
    <w:rsid w:val="002D6832"/>
    <w:rsid w:val="002D7C76"/>
    <w:rsid w:val="002E1285"/>
    <w:rsid w:val="002E1717"/>
    <w:rsid w:val="002E7F5D"/>
    <w:rsid w:val="002F08F5"/>
    <w:rsid w:val="002F1793"/>
    <w:rsid w:val="002F1FE6"/>
    <w:rsid w:val="002F4E68"/>
    <w:rsid w:val="002F6C1E"/>
    <w:rsid w:val="0030500C"/>
    <w:rsid w:val="00307561"/>
    <w:rsid w:val="00310D67"/>
    <w:rsid w:val="003115CA"/>
    <w:rsid w:val="00312F7F"/>
    <w:rsid w:val="00315DB1"/>
    <w:rsid w:val="0031611D"/>
    <w:rsid w:val="00321B50"/>
    <w:rsid w:val="00325C76"/>
    <w:rsid w:val="00326880"/>
    <w:rsid w:val="00330761"/>
    <w:rsid w:val="00330BB9"/>
    <w:rsid w:val="00331141"/>
    <w:rsid w:val="00340711"/>
    <w:rsid w:val="00343FEC"/>
    <w:rsid w:val="003445A8"/>
    <w:rsid w:val="00344C5D"/>
    <w:rsid w:val="003517B5"/>
    <w:rsid w:val="00351D09"/>
    <w:rsid w:val="003528BE"/>
    <w:rsid w:val="00353FDF"/>
    <w:rsid w:val="00355307"/>
    <w:rsid w:val="00355655"/>
    <w:rsid w:val="00355C3A"/>
    <w:rsid w:val="00355D01"/>
    <w:rsid w:val="00356EA3"/>
    <w:rsid w:val="0035722E"/>
    <w:rsid w:val="00357361"/>
    <w:rsid w:val="00361450"/>
    <w:rsid w:val="003673CF"/>
    <w:rsid w:val="003741DD"/>
    <w:rsid w:val="00375381"/>
    <w:rsid w:val="00375CDD"/>
    <w:rsid w:val="003806EE"/>
    <w:rsid w:val="00382F51"/>
    <w:rsid w:val="003845C1"/>
    <w:rsid w:val="00386456"/>
    <w:rsid w:val="003923D5"/>
    <w:rsid w:val="00394845"/>
    <w:rsid w:val="00394E6B"/>
    <w:rsid w:val="00395F52"/>
    <w:rsid w:val="003A143C"/>
    <w:rsid w:val="003A1A8D"/>
    <w:rsid w:val="003A1F6D"/>
    <w:rsid w:val="003A2273"/>
    <w:rsid w:val="003A23F5"/>
    <w:rsid w:val="003A2963"/>
    <w:rsid w:val="003A38B4"/>
    <w:rsid w:val="003A6F89"/>
    <w:rsid w:val="003B26A5"/>
    <w:rsid w:val="003B38C1"/>
    <w:rsid w:val="003B3973"/>
    <w:rsid w:val="003B55D8"/>
    <w:rsid w:val="003B606D"/>
    <w:rsid w:val="003C0070"/>
    <w:rsid w:val="003C20D5"/>
    <w:rsid w:val="003D2F6E"/>
    <w:rsid w:val="003D3293"/>
    <w:rsid w:val="003D4403"/>
    <w:rsid w:val="003D52FE"/>
    <w:rsid w:val="003D565D"/>
    <w:rsid w:val="003D58D4"/>
    <w:rsid w:val="003D6A6E"/>
    <w:rsid w:val="003E0008"/>
    <w:rsid w:val="003E1DF3"/>
    <w:rsid w:val="003E44AF"/>
    <w:rsid w:val="003E7603"/>
    <w:rsid w:val="003E7D62"/>
    <w:rsid w:val="003F0B02"/>
    <w:rsid w:val="003F0B90"/>
    <w:rsid w:val="003F79D9"/>
    <w:rsid w:val="004017F7"/>
    <w:rsid w:val="004024D6"/>
    <w:rsid w:val="00402EB4"/>
    <w:rsid w:val="00403749"/>
    <w:rsid w:val="00404317"/>
    <w:rsid w:val="0040633F"/>
    <w:rsid w:val="0040699A"/>
    <w:rsid w:val="004079FC"/>
    <w:rsid w:val="00412478"/>
    <w:rsid w:val="00413EB1"/>
    <w:rsid w:val="0041493E"/>
    <w:rsid w:val="00414AEA"/>
    <w:rsid w:val="00414EC7"/>
    <w:rsid w:val="00414F08"/>
    <w:rsid w:val="004155BB"/>
    <w:rsid w:val="0041720C"/>
    <w:rsid w:val="00422938"/>
    <w:rsid w:val="00423E3E"/>
    <w:rsid w:val="00424ED2"/>
    <w:rsid w:val="004272ED"/>
    <w:rsid w:val="00427AF4"/>
    <w:rsid w:val="00427D71"/>
    <w:rsid w:val="0043071E"/>
    <w:rsid w:val="004308E8"/>
    <w:rsid w:val="00434059"/>
    <w:rsid w:val="0044031A"/>
    <w:rsid w:val="00442768"/>
    <w:rsid w:val="00452583"/>
    <w:rsid w:val="004563C9"/>
    <w:rsid w:val="00460326"/>
    <w:rsid w:val="004647DA"/>
    <w:rsid w:val="00465820"/>
    <w:rsid w:val="00466928"/>
    <w:rsid w:val="00472210"/>
    <w:rsid w:val="00474062"/>
    <w:rsid w:val="00475589"/>
    <w:rsid w:val="00476727"/>
    <w:rsid w:val="00477616"/>
    <w:rsid w:val="00477D63"/>
    <w:rsid w:val="00477D6B"/>
    <w:rsid w:val="004805CD"/>
    <w:rsid w:val="00481524"/>
    <w:rsid w:val="00481874"/>
    <w:rsid w:val="0048197D"/>
    <w:rsid w:val="00481F19"/>
    <w:rsid w:val="00484592"/>
    <w:rsid w:val="0048595C"/>
    <w:rsid w:val="0048617F"/>
    <w:rsid w:val="004877F1"/>
    <w:rsid w:val="004907DF"/>
    <w:rsid w:val="00493421"/>
    <w:rsid w:val="00494DE1"/>
    <w:rsid w:val="00494EEA"/>
    <w:rsid w:val="00495BDE"/>
    <w:rsid w:val="004A1550"/>
    <w:rsid w:val="004A2CAA"/>
    <w:rsid w:val="004A4DCB"/>
    <w:rsid w:val="004A5839"/>
    <w:rsid w:val="004A5B73"/>
    <w:rsid w:val="004B0C1A"/>
    <w:rsid w:val="004B20A0"/>
    <w:rsid w:val="004B2B39"/>
    <w:rsid w:val="004B2B62"/>
    <w:rsid w:val="004B6183"/>
    <w:rsid w:val="004B6AB9"/>
    <w:rsid w:val="004B6DEB"/>
    <w:rsid w:val="004B6F2D"/>
    <w:rsid w:val="004B7766"/>
    <w:rsid w:val="004C1D33"/>
    <w:rsid w:val="004C525B"/>
    <w:rsid w:val="004C6654"/>
    <w:rsid w:val="004D268F"/>
    <w:rsid w:val="004D3244"/>
    <w:rsid w:val="004D42A6"/>
    <w:rsid w:val="004E07D4"/>
    <w:rsid w:val="004E093E"/>
    <w:rsid w:val="004E0A47"/>
    <w:rsid w:val="004E1F8A"/>
    <w:rsid w:val="004E2CDA"/>
    <w:rsid w:val="004E3285"/>
    <w:rsid w:val="004F669C"/>
    <w:rsid w:val="005019FF"/>
    <w:rsid w:val="00502CD3"/>
    <w:rsid w:val="00504644"/>
    <w:rsid w:val="00504B39"/>
    <w:rsid w:val="005052C4"/>
    <w:rsid w:val="005102D3"/>
    <w:rsid w:val="0051119D"/>
    <w:rsid w:val="005128A9"/>
    <w:rsid w:val="00514100"/>
    <w:rsid w:val="00521C4F"/>
    <w:rsid w:val="00521EF1"/>
    <w:rsid w:val="00522827"/>
    <w:rsid w:val="005270B5"/>
    <w:rsid w:val="0053057A"/>
    <w:rsid w:val="00533C75"/>
    <w:rsid w:val="00536F04"/>
    <w:rsid w:val="0054016A"/>
    <w:rsid w:val="00540384"/>
    <w:rsid w:val="0054059A"/>
    <w:rsid w:val="00540BD5"/>
    <w:rsid w:val="00544DB2"/>
    <w:rsid w:val="005461EF"/>
    <w:rsid w:val="00546788"/>
    <w:rsid w:val="00546DBA"/>
    <w:rsid w:val="00554AEE"/>
    <w:rsid w:val="00555829"/>
    <w:rsid w:val="00555A1F"/>
    <w:rsid w:val="00560884"/>
    <w:rsid w:val="00560A29"/>
    <w:rsid w:val="00560C4E"/>
    <w:rsid w:val="00564374"/>
    <w:rsid w:val="00565647"/>
    <w:rsid w:val="0057097C"/>
    <w:rsid w:val="00571078"/>
    <w:rsid w:val="00574291"/>
    <w:rsid w:val="00576B83"/>
    <w:rsid w:val="005803E1"/>
    <w:rsid w:val="00584F4C"/>
    <w:rsid w:val="005861A0"/>
    <w:rsid w:val="0059184E"/>
    <w:rsid w:val="0059194A"/>
    <w:rsid w:val="00594C78"/>
    <w:rsid w:val="0059513A"/>
    <w:rsid w:val="005A09EF"/>
    <w:rsid w:val="005A1EE0"/>
    <w:rsid w:val="005A5D8A"/>
    <w:rsid w:val="005B1F62"/>
    <w:rsid w:val="005B36C0"/>
    <w:rsid w:val="005B48E8"/>
    <w:rsid w:val="005B4F4E"/>
    <w:rsid w:val="005B5523"/>
    <w:rsid w:val="005B63B5"/>
    <w:rsid w:val="005C0E87"/>
    <w:rsid w:val="005C1597"/>
    <w:rsid w:val="005C1810"/>
    <w:rsid w:val="005C25E7"/>
    <w:rsid w:val="005C2702"/>
    <w:rsid w:val="005C45C8"/>
    <w:rsid w:val="005C51A2"/>
    <w:rsid w:val="005C58F1"/>
    <w:rsid w:val="005C6649"/>
    <w:rsid w:val="005C778E"/>
    <w:rsid w:val="005D355B"/>
    <w:rsid w:val="005D46B7"/>
    <w:rsid w:val="005E0747"/>
    <w:rsid w:val="005E418E"/>
    <w:rsid w:val="005E51FF"/>
    <w:rsid w:val="005E528C"/>
    <w:rsid w:val="005E6B68"/>
    <w:rsid w:val="005E6D9D"/>
    <w:rsid w:val="005E6FD8"/>
    <w:rsid w:val="005E7422"/>
    <w:rsid w:val="005F1C2B"/>
    <w:rsid w:val="005F23C8"/>
    <w:rsid w:val="005F59A3"/>
    <w:rsid w:val="005F6A0C"/>
    <w:rsid w:val="005F7A0D"/>
    <w:rsid w:val="0060566A"/>
    <w:rsid w:val="00605827"/>
    <w:rsid w:val="00606083"/>
    <w:rsid w:val="00606C05"/>
    <w:rsid w:val="00607700"/>
    <w:rsid w:val="00610A92"/>
    <w:rsid w:val="00612945"/>
    <w:rsid w:val="006144BA"/>
    <w:rsid w:val="00615CAD"/>
    <w:rsid w:val="00615DFC"/>
    <w:rsid w:val="006178ED"/>
    <w:rsid w:val="00620FCF"/>
    <w:rsid w:val="006225BB"/>
    <w:rsid w:val="00622747"/>
    <w:rsid w:val="00626651"/>
    <w:rsid w:val="006276D6"/>
    <w:rsid w:val="006334E4"/>
    <w:rsid w:val="006338DD"/>
    <w:rsid w:val="006343E3"/>
    <w:rsid w:val="00635085"/>
    <w:rsid w:val="00646050"/>
    <w:rsid w:val="00647CD8"/>
    <w:rsid w:val="00651949"/>
    <w:rsid w:val="006548F3"/>
    <w:rsid w:val="006635E6"/>
    <w:rsid w:val="00664367"/>
    <w:rsid w:val="00664488"/>
    <w:rsid w:val="00664721"/>
    <w:rsid w:val="00666295"/>
    <w:rsid w:val="006673E6"/>
    <w:rsid w:val="006704CC"/>
    <w:rsid w:val="00670E98"/>
    <w:rsid w:val="006713CA"/>
    <w:rsid w:val="00676518"/>
    <w:rsid w:val="00676C5C"/>
    <w:rsid w:val="00677097"/>
    <w:rsid w:val="00677DDF"/>
    <w:rsid w:val="006817EF"/>
    <w:rsid w:val="00684BC7"/>
    <w:rsid w:val="00685395"/>
    <w:rsid w:val="0068577B"/>
    <w:rsid w:val="00686AD1"/>
    <w:rsid w:val="00690A5C"/>
    <w:rsid w:val="006911FD"/>
    <w:rsid w:val="00692329"/>
    <w:rsid w:val="00692D02"/>
    <w:rsid w:val="00693D40"/>
    <w:rsid w:val="00694596"/>
    <w:rsid w:val="0069491D"/>
    <w:rsid w:val="006963F2"/>
    <w:rsid w:val="00696F41"/>
    <w:rsid w:val="006A4306"/>
    <w:rsid w:val="006A6007"/>
    <w:rsid w:val="006A7DAA"/>
    <w:rsid w:val="006B2E69"/>
    <w:rsid w:val="006B4D6D"/>
    <w:rsid w:val="006B58E5"/>
    <w:rsid w:val="006B5941"/>
    <w:rsid w:val="006B6D28"/>
    <w:rsid w:val="006B7795"/>
    <w:rsid w:val="006B7CC2"/>
    <w:rsid w:val="006C29C7"/>
    <w:rsid w:val="006C6400"/>
    <w:rsid w:val="006C6E86"/>
    <w:rsid w:val="006D1256"/>
    <w:rsid w:val="006D18C5"/>
    <w:rsid w:val="006D1965"/>
    <w:rsid w:val="006D2CB2"/>
    <w:rsid w:val="006D2D21"/>
    <w:rsid w:val="006D5E9E"/>
    <w:rsid w:val="006E6A54"/>
    <w:rsid w:val="006F0F57"/>
    <w:rsid w:val="006F1093"/>
    <w:rsid w:val="006F136D"/>
    <w:rsid w:val="006F4A97"/>
    <w:rsid w:val="006F5A30"/>
    <w:rsid w:val="006F64A2"/>
    <w:rsid w:val="006F732B"/>
    <w:rsid w:val="006F794E"/>
    <w:rsid w:val="0070125D"/>
    <w:rsid w:val="007018A9"/>
    <w:rsid w:val="00703D4E"/>
    <w:rsid w:val="00704F44"/>
    <w:rsid w:val="00707099"/>
    <w:rsid w:val="0071114E"/>
    <w:rsid w:val="00712C30"/>
    <w:rsid w:val="007147EC"/>
    <w:rsid w:val="007149DD"/>
    <w:rsid w:val="00715AB1"/>
    <w:rsid w:val="00715B23"/>
    <w:rsid w:val="00715E75"/>
    <w:rsid w:val="007163B8"/>
    <w:rsid w:val="00716F41"/>
    <w:rsid w:val="00717204"/>
    <w:rsid w:val="00720EAE"/>
    <w:rsid w:val="0072184B"/>
    <w:rsid w:val="00722016"/>
    <w:rsid w:val="00722F18"/>
    <w:rsid w:val="00724C60"/>
    <w:rsid w:val="00724CC0"/>
    <w:rsid w:val="00724DDE"/>
    <w:rsid w:val="00725C01"/>
    <w:rsid w:val="00730B83"/>
    <w:rsid w:val="0073191D"/>
    <w:rsid w:val="007332A8"/>
    <w:rsid w:val="00733963"/>
    <w:rsid w:val="00734836"/>
    <w:rsid w:val="00734DEE"/>
    <w:rsid w:val="0073627C"/>
    <w:rsid w:val="007369DE"/>
    <w:rsid w:val="00736C6F"/>
    <w:rsid w:val="007415B3"/>
    <w:rsid w:val="007441D2"/>
    <w:rsid w:val="007448C4"/>
    <w:rsid w:val="00744ECA"/>
    <w:rsid w:val="00746945"/>
    <w:rsid w:val="00750671"/>
    <w:rsid w:val="00752A3A"/>
    <w:rsid w:val="00753A08"/>
    <w:rsid w:val="00753FF6"/>
    <w:rsid w:val="00755388"/>
    <w:rsid w:val="0075539F"/>
    <w:rsid w:val="007558FC"/>
    <w:rsid w:val="0076107A"/>
    <w:rsid w:val="007636EA"/>
    <w:rsid w:val="0076714F"/>
    <w:rsid w:val="00773211"/>
    <w:rsid w:val="00774A97"/>
    <w:rsid w:val="00777946"/>
    <w:rsid w:val="00780522"/>
    <w:rsid w:val="00780960"/>
    <w:rsid w:val="00782E2E"/>
    <w:rsid w:val="0078563E"/>
    <w:rsid w:val="00787611"/>
    <w:rsid w:val="00793B12"/>
    <w:rsid w:val="0079462F"/>
    <w:rsid w:val="007956B7"/>
    <w:rsid w:val="00796C3F"/>
    <w:rsid w:val="007971FE"/>
    <w:rsid w:val="00797965"/>
    <w:rsid w:val="007A0863"/>
    <w:rsid w:val="007A35B0"/>
    <w:rsid w:val="007A5C67"/>
    <w:rsid w:val="007A6AAA"/>
    <w:rsid w:val="007A7F8B"/>
    <w:rsid w:val="007B036F"/>
    <w:rsid w:val="007B1A99"/>
    <w:rsid w:val="007B1C9C"/>
    <w:rsid w:val="007B2712"/>
    <w:rsid w:val="007B3C43"/>
    <w:rsid w:val="007B51ED"/>
    <w:rsid w:val="007C0610"/>
    <w:rsid w:val="007C4575"/>
    <w:rsid w:val="007C519F"/>
    <w:rsid w:val="007D0640"/>
    <w:rsid w:val="007D1613"/>
    <w:rsid w:val="007D1D57"/>
    <w:rsid w:val="007D381A"/>
    <w:rsid w:val="007D67AE"/>
    <w:rsid w:val="007D694D"/>
    <w:rsid w:val="007E06EF"/>
    <w:rsid w:val="007E0D25"/>
    <w:rsid w:val="007E2FB0"/>
    <w:rsid w:val="007E4D70"/>
    <w:rsid w:val="007E6220"/>
    <w:rsid w:val="007E6ED1"/>
    <w:rsid w:val="007E7448"/>
    <w:rsid w:val="007E7617"/>
    <w:rsid w:val="007F26CA"/>
    <w:rsid w:val="007F5382"/>
    <w:rsid w:val="007F5A67"/>
    <w:rsid w:val="0080154D"/>
    <w:rsid w:val="008016DB"/>
    <w:rsid w:val="00801C8C"/>
    <w:rsid w:val="00803157"/>
    <w:rsid w:val="008031D1"/>
    <w:rsid w:val="00805C1D"/>
    <w:rsid w:val="00805D47"/>
    <w:rsid w:val="008111A4"/>
    <w:rsid w:val="00813196"/>
    <w:rsid w:val="00814D1D"/>
    <w:rsid w:val="00815139"/>
    <w:rsid w:val="00815393"/>
    <w:rsid w:val="0081587F"/>
    <w:rsid w:val="00817DFE"/>
    <w:rsid w:val="00821724"/>
    <w:rsid w:val="00822608"/>
    <w:rsid w:val="00827374"/>
    <w:rsid w:val="00830AEE"/>
    <w:rsid w:val="0083399E"/>
    <w:rsid w:val="008344ED"/>
    <w:rsid w:val="00835224"/>
    <w:rsid w:val="00835CBF"/>
    <w:rsid w:val="00836214"/>
    <w:rsid w:val="00836A9E"/>
    <w:rsid w:val="008372E4"/>
    <w:rsid w:val="008374C5"/>
    <w:rsid w:val="00840A6F"/>
    <w:rsid w:val="008441FF"/>
    <w:rsid w:val="00844907"/>
    <w:rsid w:val="00847029"/>
    <w:rsid w:val="00850894"/>
    <w:rsid w:val="008510C9"/>
    <w:rsid w:val="00852B22"/>
    <w:rsid w:val="00852FBB"/>
    <w:rsid w:val="00853D2B"/>
    <w:rsid w:val="008542D1"/>
    <w:rsid w:val="00856325"/>
    <w:rsid w:val="00856A07"/>
    <w:rsid w:val="00860DD9"/>
    <w:rsid w:val="008618C7"/>
    <w:rsid w:val="00865336"/>
    <w:rsid w:val="00867151"/>
    <w:rsid w:val="0087171F"/>
    <w:rsid w:val="00871D4F"/>
    <w:rsid w:val="00872DD3"/>
    <w:rsid w:val="008733A6"/>
    <w:rsid w:val="008733A9"/>
    <w:rsid w:val="008737B1"/>
    <w:rsid w:val="00873E88"/>
    <w:rsid w:val="008754BA"/>
    <w:rsid w:val="00876F38"/>
    <w:rsid w:val="00880D78"/>
    <w:rsid w:val="00881F0C"/>
    <w:rsid w:val="008826DC"/>
    <w:rsid w:val="008835DB"/>
    <w:rsid w:val="00885AEB"/>
    <w:rsid w:val="00890BE0"/>
    <w:rsid w:val="00891068"/>
    <w:rsid w:val="0089323A"/>
    <w:rsid w:val="00894842"/>
    <w:rsid w:val="008970B8"/>
    <w:rsid w:val="00897F83"/>
    <w:rsid w:val="008A027C"/>
    <w:rsid w:val="008A08EB"/>
    <w:rsid w:val="008A18A7"/>
    <w:rsid w:val="008A5337"/>
    <w:rsid w:val="008A55D9"/>
    <w:rsid w:val="008A5BBA"/>
    <w:rsid w:val="008A64F3"/>
    <w:rsid w:val="008A6C46"/>
    <w:rsid w:val="008B1D22"/>
    <w:rsid w:val="008B2211"/>
    <w:rsid w:val="008B2CC1"/>
    <w:rsid w:val="008B4AAA"/>
    <w:rsid w:val="008B60B2"/>
    <w:rsid w:val="008B68AA"/>
    <w:rsid w:val="008B747F"/>
    <w:rsid w:val="008C1511"/>
    <w:rsid w:val="008C21E1"/>
    <w:rsid w:val="008C3293"/>
    <w:rsid w:val="008C642B"/>
    <w:rsid w:val="008D0CE7"/>
    <w:rsid w:val="008D2C69"/>
    <w:rsid w:val="008D63C3"/>
    <w:rsid w:val="008D6793"/>
    <w:rsid w:val="008D6913"/>
    <w:rsid w:val="008E0376"/>
    <w:rsid w:val="008E388F"/>
    <w:rsid w:val="008E3A39"/>
    <w:rsid w:val="008E43E6"/>
    <w:rsid w:val="008E5537"/>
    <w:rsid w:val="008E76BC"/>
    <w:rsid w:val="008E7EC5"/>
    <w:rsid w:val="008F3BE3"/>
    <w:rsid w:val="008F5BC8"/>
    <w:rsid w:val="00900E52"/>
    <w:rsid w:val="00903F7D"/>
    <w:rsid w:val="0090696F"/>
    <w:rsid w:val="0090731E"/>
    <w:rsid w:val="009111DD"/>
    <w:rsid w:val="00912257"/>
    <w:rsid w:val="00912B23"/>
    <w:rsid w:val="00914628"/>
    <w:rsid w:val="00914CAC"/>
    <w:rsid w:val="00915F20"/>
    <w:rsid w:val="009161AE"/>
    <w:rsid w:val="00916EE2"/>
    <w:rsid w:val="00921025"/>
    <w:rsid w:val="0092178E"/>
    <w:rsid w:val="00922D28"/>
    <w:rsid w:val="00924554"/>
    <w:rsid w:val="00925FE6"/>
    <w:rsid w:val="0093027E"/>
    <w:rsid w:val="00931449"/>
    <w:rsid w:val="00933046"/>
    <w:rsid w:val="00934642"/>
    <w:rsid w:val="00934CB2"/>
    <w:rsid w:val="00935EF4"/>
    <w:rsid w:val="0093688D"/>
    <w:rsid w:val="00936D12"/>
    <w:rsid w:val="00937DD9"/>
    <w:rsid w:val="00943809"/>
    <w:rsid w:val="009445E6"/>
    <w:rsid w:val="00944736"/>
    <w:rsid w:val="00946B23"/>
    <w:rsid w:val="00947A0F"/>
    <w:rsid w:val="00951612"/>
    <w:rsid w:val="00951DAE"/>
    <w:rsid w:val="00952E4B"/>
    <w:rsid w:val="00953C1B"/>
    <w:rsid w:val="0095420E"/>
    <w:rsid w:val="00955573"/>
    <w:rsid w:val="00955684"/>
    <w:rsid w:val="00957409"/>
    <w:rsid w:val="009638A6"/>
    <w:rsid w:val="009647E8"/>
    <w:rsid w:val="00964CD7"/>
    <w:rsid w:val="00965481"/>
    <w:rsid w:val="00966A22"/>
    <w:rsid w:val="0096722F"/>
    <w:rsid w:val="00973863"/>
    <w:rsid w:val="00973B88"/>
    <w:rsid w:val="009755F4"/>
    <w:rsid w:val="00976CB1"/>
    <w:rsid w:val="00980843"/>
    <w:rsid w:val="00986FCA"/>
    <w:rsid w:val="00990F6C"/>
    <w:rsid w:val="00991AA8"/>
    <w:rsid w:val="009941C4"/>
    <w:rsid w:val="0099473B"/>
    <w:rsid w:val="00995171"/>
    <w:rsid w:val="00995402"/>
    <w:rsid w:val="00995A89"/>
    <w:rsid w:val="009A104E"/>
    <w:rsid w:val="009A4AEA"/>
    <w:rsid w:val="009A5715"/>
    <w:rsid w:val="009A708B"/>
    <w:rsid w:val="009B0A92"/>
    <w:rsid w:val="009B0D3A"/>
    <w:rsid w:val="009B0FEA"/>
    <w:rsid w:val="009B10BE"/>
    <w:rsid w:val="009B3EF1"/>
    <w:rsid w:val="009B5A21"/>
    <w:rsid w:val="009B5AE2"/>
    <w:rsid w:val="009C1BBA"/>
    <w:rsid w:val="009C2468"/>
    <w:rsid w:val="009C32ED"/>
    <w:rsid w:val="009C4570"/>
    <w:rsid w:val="009C4BD1"/>
    <w:rsid w:val="009C5CF2"/>
    <w:rsid w:val="009C5D9A"/>
    <w:rsid w:val="009C61EA"/>
    <w:rsid w:val="009C71AB"/>
    <w:rsid w:val="009D011E"/>
    <w:rsid w:val="009D0518"/>
    <w:rsid w:val="009D1BD3"/>
    <w:rsid w:val="009D2F37"/>
    <w:rsid w:val="009D5C9E"/>
    <w:rsid w:val="009D6C1E"/>
    <w:rsid w:val="009E047B"/>
    <w:rsid w:val="009E0F6A"/>
    <w:rsid w:val="009E162C"/>
    <w:rsid w:val="009E2791"/>
    <w:rsid w:val="009E3F6F"/>
    <w:rsid w:val="009E4C0E"/>
    <w:rsid w:val="009E6081"/>
    <w:rsid w:val="009E6B8D"/>
    <w:rsid w:val="009E6EE7"/>
    <w:rsid w:val="009E7D1E"/>
    <w:rsid w:val="009F1046"/>
    <w:rsid w:val="009F10D4"/>
    <w:rsid w:val="009F2217"/>
    <w:rsid w:val="009F38D3"/>
    <w:rsid w:val="009F499F"/>
    <w:rsid w:val="00A02BC4"/>
    <w:rsid w:val="00A067F8"/>
    <w:rsid w:val="00A11896"/>
    <w:rsid w:val="00A11952"/>
    <w:rsid w:val="00A12089"/>
    <w:rsid w:val="00A14328"/>
    <w:rsid w:val="00A1529C"/>
    <w:rsid w:val="00A21024"/>
    <w:rsid w:val="00A22008"/>
    <w:rsid w:val="00A2201A"/>
    <w:rsid w:val="00A220CB"/>
    <w:rsid w:val="00A23CBD"/>
    <w:rsid w:val="00A23E3D"/>
    <w:rsid w:val="00A30C30"/>
    <w:rsid w:val="00A312EF"/>
    <w:rsid w:val="00A31317"/>
    <w:rsid w:val="00A31822"/>
    <w:rsid w:val="00A42DAF"/>
    <w:rsid w:val="00A43AF5"/>
    <w:rsid w:val="00A45BD8"/>
    <w:rsid w:val="00A46F69"/>
    <w:rsid w:val="00A47353"/>
    <w:rsid w:val="00A479BE"/>
    <w:rsid w:val="00A50770"/>
    <w:rsid w:val="00A5124F"/>
    <w:rsid w:val="00A523B7"/>
    <w:rsid w:val="00A524B8"/>
    <w:rsid w:val="00A52959"/>
    <w:rsid w:val="00A55746"/>
    <w:rsid w:val="00A557C2"/>
    <w:rsid w:val="00A61AFE"/>
    <w:rsid w:val="00A63425"/>
    <w:rsid w:val="00A64BCB"/>
    <w:rsid w:val="00A6550F"/>
    <w:rsid w:val="00A66EBB"/>
    <w:rsid w:val="00A67ED7"/>
    <w:rsid w:val="00A718B2"/>
    <w:rsid w:val="00A72437"/>
    <w:rsid w:val="00A72E79"/>
    <w:rsid w:val="00A73145"/>
    <w:rsid w:val="00A830AB"/>
    <w:rsid w:val="00A840D5"/>
    <w:rsid w:val="00A86735"/>
    <w:rsid w:val="00A869B7"/>
    <w:rsid w:val="00A93280"/>
    <w:rsid w:val="00A938D3"/>
    <w:rsid w:val="00A94543"/>
    <w:rsid w:val="00A94DD0"/>
    <w:rsid w:val="00A9735C"/>
    <w:rsid w:val="00AA1752"/>
    <w:rsid w:val="00AA3E6E"/>
    <w:rsid w:val="00AA58CA"/>
    <w:rsid w:val="00AA69BC"/>
    <w:rsid w:val="00AB0812"/>
    <w:rsid w:val="00AB41B4"/>
    <w:rsid w:val="00AB47B3"/>
    <w:rsid w:val="00AB4F67"/>
    <w:rsid w:val="00AB6397"/>
    <w:rsid w:val="00AB6548"/>
    <w:rsid w:val="00AB78F2"/>
    <w:rsid w:val="00AC0A33"/>
    <w:rsid w:val="00AC205C"/>
    <w:rsid w:val="00AC37AB"/>
    <w:rsid w:val="00AC3DBB"/>
    <w:rsid w:val="00AC52C3"/>
    <w:rsid w:val="00AD12F4"/>
    <w:rsid w:val="00AD15F0"/>
    <w:rsid w:val="00AD21FA"/>
    <w:rsid w:val="00AD32E0"/>
    <w:rsid w:val="00AD43CA"/>
    <w:rsid w:val="00AD6555"/>
    <w:rsid w:val="00AD6903"/>
    <w:rsid w:val="00AD718E"/>
    <w:rsid w:val="00AE04EE"/>
    <w:rsid w:val="00AE10A0"/>
    <w:rsid w:val="00AE126F"/>
    <w:rsid w:val="00AE2425"/>
    <w:rsid w:val="00AE2C0A"/>
    <w:rsid w:val="00AE3BDC"/>
    <w:rsid w:val="00AE4A36"/>
    <w:rsid w:val="00AE4C3D"/>
    <w:rsid w:val="00AE54AA"/>
    <w:rsid w:val="00AE7170"/>
    <w:rsid w:val="00AE7A0A"/>
    <w:rsid w:val="00AF0A6B"/>
    <w:rsid w:val="00AF2296"/>
    <w:rsid w:val="00AF276F"/>
    <w:rsid w:val="00AF713D"/>
    <w:rsid w:val="00AF7279"/>
    <w:rsid w:val="00B007C0"/>
    <w:rsid w:val="00B01D07"/>
    <w:rsid w:val="00B02B70"/>
    <w:rsid w:val="00B02EF4"/>
    <w:rsid w:val="00B05A69"/>
    <w:rsid w:val="00B05C6B"/>
    <w:rsid w:val="00B07767"/>
    <w:rsid w:val="00B11A10"/>
    <w:rsid w:val="00B11B96"/>
    <w:rsid w:val="00B13A52"/>
    <w:rsid w:val="00B15411"/>
    <w:rsid w:val="00B15EC7"/>
    <w:rsid w:val="00B160F5"/>
    <w:rsid w:val="00B21269"/>
    <w:rsid w:val="00B245CE"/>
    <w:rsid w:val="00B30770"/>
    <w:rsid w:val="00B32991"/>
    <w:rsid w:val="00B3601C"/>
    <w:rsid w:val="00B37D4B"/>
    <w:rsid w:val="00B37D4E"/>
    <w:rsid w:val="00B40A8C"/>
    <w:rsid w:val="00B41781"/>
    <w:rsid w:val="00B4228A"/>
    <w:rsid w:val="00B44F96"/>
    <w:rsid w:val="00B44FBC"/>
    <w:rsid w:val="00B4532E"/>
    <w:rsid w:val="00B479CF"/>
    <w:rsid w:val="00B52EFA"/>
    <w:rsid w:val="00B53C4D"/>
    <w:rsid w:val="00B5673F"/>
    <w:rsid w:val="00B6012D"/>
    <w:rsid w:val="00B63642"/>
    <w:rsid w:val="00B63FC9"/>
    <w:rsid w:val="00B652BC"/>
    <w:rsid w:val="00B65B90"/>
    <w:rsid w:val="00B6761F"/>
    <w:rsid w:val="00B677A3"/>
    <w:rsid w:val="00B67CF8"/>
    <w:rsid w:val="00B711DF"/>
    <w:rsid w:val="00B71A63"/>
    <w:rsid w:val="00B72291"/>
    <w:rsid w:val="00B7295E"/>
    <w:rsid w:val="00B72A37"/>
    <w:rsid w:val="00B75A61"/>
    <w:rsid w:val="00B76E5A"/>
    <w:rsid w:val="00B81658"/>
    <w:rsid w:val="00B828D9"/>
    <w:rsid w:val="00B83433"/>
    <w:rsid w:val="00B83EAC"/>
    <w:rsid w:val="00B853CE"/>
    <w:rsid w:val="00B866E4"/>
    <w:rsid w:val="00B86F0D"/>
    <w:rsid w:val="00B87FC8"/>
    <w:rsid w:val="00B950A5"/>
    <w:rsid w:val="00B9557B"/>
    <w:rsid w:val="00B956DA"/>
    <w:rsid w:val="00B9572B"/>
    <w:rsid w:val="00B9684A"/>
    <w:rsid w:val="00B969C3"/>
    <w:rsid w:val="00B9734B"/>
    <w:rsid w:val="00B97FD1"/>
    <w:rsid w:val="00BA1571"/>
    <w:rsid w:val="00BA22A5"/>
    <w:rsid w:val="00BA2BB2"/>
    <w:rsid w:val="00BA7394"/>
    <w:rsid w:val="00BB02D7"/>
    <w:rsid w:val="00BB0B65"/>
    <w:rsid w:val="00BB1059"/>
    <w:rsid w:val="00BB1EB1"/>
    <w:rsid w:val="00BB3FFE"/>
    <w:rsid w:val="00BB73AD"/>
    <w:rsid w:val="00BB7651"/>
    <w:rsid w:val="00BC0FDF"/>
    <w:rsid w:val="00BC5309"/>
    <w:rsid w:val="00BC5914"/>
    <w:rsid w:val="00BC6B9F"/>
    <w:rsid w:val="00BC7751"/>
    <w:rsid w:val="00BD06FD"/>
    <w:rsid w:val="00BD390F"/>
    <w:rsid w:val="00BD3920"/>
    <w:rsid w:val="00BD62A7"/>
    <w:rsid w:val="00BD6B62"/>
    <w:rsid w:val="00BE141D"/>
    <w:rsid w:val="00BE3D72"/>
    <w:rsid w:val="00BE54C8"/>
    <w:rsid w:val="00BE5BD6"/>
    <w:rsid w:val="00BF15E7"/>
    <w:rsid w:val="00BF4E96"/>
    <w:rsid w:val="00BF52BE"/>
    <w:rsid w:val="00BF6146"/>
    <w:rsid w:val="00C00743"/>
    <w:rsid w:val="00C01E7C"/>
    <w:rsid w:val="00C03C4B"/>
    <w:rsid w:val="00C04DC4"/>
    <w:rsid w:val="00C0728C"/>
    <w:rsid w:val="00C11BFE"/>
    <w:rsid w:val="00C12ECC"/>
    <w:rsid w:val="00C1350D"/>
    <w:rsid w:val="00C14DC4"/>
    <w:rsid w:val="00C15076"/>
    <w:rsid w:val="00C15C2F"/>
    <w:rsid w:val="00C168B1"/>
    <w:rsid w:val="00C17BD7"/>
    <w:rsid w:val="00C211F6"/>
    <w:rsid w:val="00C221B6"/>
    <w:rsid w:val="00C224B6"/>
    <w:rsid w:val="00C2308E"/>
    <w:rsid w:val="00C23CD7"/>
    <w:rsid w:val="00C247FC"/>
    <w:rsid w:val="00C25B7A"/>
    <w:rsid w:val="00C27566"/>
    <w:rsid w:val="00C30CD0"/>
    <w:rsid w:val="00C3608E"/>
    <w:rsid w:val="00C41931"/>
    <w:rsid w:val="00C41ECC"/>
    <w:rsid w:val="00C42F04"/>
    <w:rsid w:val="00C44649"/>
    <w:rsid w:val="00C4484C"/>
    <w:rsid w:val="00C44C34"/>
    <w:rsid w:val="00C46BFB"/>
    <w:rsid w:val="00C47634"/>
    <w:rsid w:val="00C50C17"/>
    <w:rsid w:val="00C50FA3"/>
    <w:rsid w:val="00C51C64"/>
    <w:rsid w:val="00C528D2"/>
    <w:rsid w:val="00C52F90"/>
    <w:rsid w:val="00C5390D"/>
    <w:rsid w:val="00C5602C"/>
    <w:rsid w:val="00C5608F"/>
    <w:rsid w:val="00C60408"/>
    <w:rsid w:val="00C60625"/>
    <w:rsid w:val="00C61800"/>
    <w:rsid w:val="00C62392"/>
    <w:rsid w:val="00C6604B"/>
    <w:rsid w:val="00C660DD"/>
    <w:rsid w:val="00C6628D"/>
    <w:rsid w:val="00C6745B"/>
    <w:rsid w:val="00C70F49"/>
    <w:rsid w:val="00C714F4"/>
    <w:rsid w:val="00C71B3D"/>
    <w:rsid w:val="00C73623"/>
    <w:rsid w:val="00C75CB7"/>
    <w:rsid w:val="00C761D2"/>
    <w:rsid w:val="00C7683E"/>
    <w:rsid w:val="00C777FF"/>
    <w:rsid w:val="00C8149F"/>
    <w:rsid w:val="00C81CD7"/>
    <w:rsid w:val="00C838B1"/>
    <w:rsid w:val="00C85D15"/>
    <w:rsid w:val="00C8646A"/>
    <w:rsid w:val="00C923AB"/>
    <w:rsid w:val="00C94C74"/>
    <w:rsid w:val="00C964E6"/>
    <w:rsid w:val="00CA15DF"/>
    <w:rsid w:val="00CA4068"/>
    <w:rsid w:val="00CB19A0"/>
    <w:rsid w:val="00CB1F95"/>
    <w:rsid w:val="00CB2CAE"/>
    <w:rsid w:val="00CB30F1"/>
    <w:rsid w:val="00CB40A7"/>
    <w:rsid w:val="00CB6F3B"/>
    <w:rsid w:val="00CC0CE4"/>
    <w:rsid w:val="00CC2CBD"/>
    <w:rsid w:val="00CC395D"/>
    <w:rsid w:val="00CC39FA"/>
    <w:rsid w:val="00CC5245"/>
    <w:rsid w:val="00CC64F1"/>
    <w:rsid w:val="00CC7A18"/>
    <w:rsid w:val="00CD0D3C"/>
    <w:rsid w:val="00CD2AFC"/>
    <w:rsid w:val="00CD605F"/>
    <w:rsid w:val="00CD70C0"/>
    <w:rsid w:val="00CE4888"/>
    <w:rsid w:val="00CF0007"/>
    <w:rsid w:val="00CF0766"/>
    <w:rsid w:val="00CF1A22"/>
    <w:rsid w:val="00CF5833"/>
    <w:rsid w:val="00CF6C5D"/>
    <w:rsid w:val="00CF7079"/>
    <w:rsid w:val="00CF75E5"/>
    <w:rsid w:val="00D01D72"/>
    <w:rsid w:val="00D0305F"/>
    <w:rsid w:val="00D03844"/>
    <w:rsid w:val="00D04254"/>
    <w:rsid w:val="00D0477B"/>
    <w:rsid w:val="00D068F7"/>
    <w:rsid w:val="00D10112"/>
    <w:rsid w:val="00D10499"/>
    <w:rsid w:val="00D15F7C"/>
    <w:rsid w:val="00D204E2"/>
    <w:rsid w:val="00D20EC0"/>
    <w:rsid w:val="00D2107D"/>
    <w:rsid w:val="00D24FC7"/>
    <w:rsid w:val="00D2528F"/>
    <w:rsid w:val="00D30F77"/>
    <w:rsid w:val="00D33315"/>
    <w:rsid w:val="00D37A4C"/>
    <w:rsid w:val="00D413A6"/>
    <w:rsid w:val="00D42300"/>
    <w:rsid w:val="00D44AAA"/>
    <w:rsid w:val="00D44D1E"/>
    <w:rsid w:val="00D45252"/>
    <w:rsid w:val="00D45A58"/>
    <w:rsid w:val="00D4695F"/>
    <w:rsid w:val="00D46EC2"/>
    <w:rsid w:val="00D50941"/>
    <w:rsid w:val="00D52C4D"/>
    <w:rsid w:val="00D574CB"/>
    <w:rsid w:val="00D60E95"/>
    <w:rsid w:val="00D62B12"/>
    <w:rsid w:val="00D65423"/>
    <w:rsid w:val="00D672AA"/>
    <w:rsid w:val="00D700E8"/>
    <w:rsid w:val="00D704F3"/>
    <w:rsid w:val="00D70B53"/>
    <w:rsid w:val="00D71B4D"/>
    <w:rsid w:val="00D71BB9"/>
    <w:rsid w:val="00D726E2"/>
    <w:rsid w:val="00D73014"/>
    <w:rsid w:val="00D773B6"/>
    <w:rsid w:val="00D81319"/>
    <w:rsid w:val="00D85334"/>
    <w:rsid w:val="00D853F4"/>
    <w:rsid w:val="00D8548B"/>
    <w:rsid w:val="00D91C46"/>
    <w:rsid w:val="00D93D55"/>
    <w:rsid w:val="00D94668"/>
    <w:rsid w:val="00D963DB"/>
    <w:rsid w:val="00DA10B4"/>
    <w:rsid w:val="00DA2074"/>
    <w:rsid w:val="00DA220D"/>
    <w:rsid w:val="00DA2B93"/>
    <w:rsid w:val="00DA483B"/>
    <w:rsid w:val="00DA5F32"/>
    <w:rsid w:val="00DA63E6"/>
    <w:rsid w:val="00DA6AD5"/>
    <w:rsid w:val="00DA718E"/>
    <w:rsid w:val="00DB2D73"/>
    <w:rsid w:val="00DB3E7B"/>
    <w:rsid w:val="00DB649F"/>
    <w:rsid w:val="00DB6564"/>
    <w:rsid w:val="00DB703F"/>
    <w:rsid w:val="00DC0902"/>
    <w:rsid w:val="00DC0EDC"/>
    <w:rsid w:val="00DC2382"/>
    <w:rsid w:val="00DC3CA7"/>
    <w:rsid w:val="00DC72EA"/>
    <w:rsid w:val="00DC7BCD"/>
    <w:rsid w:val="00DD2178"/>
    <w:rsid w:val="00DD3050"/>
    <w:rsid w:val="00DD498C"/>
    <w:rsid w:val="00DD5A5A"/>
    <w:rsid w:val="00DE1E2A"/>
    <w:rsid w:val="00DE26F3"/>
    <w:rsid w:val="00DE43A6"/>
    <w:rsid w:val="00DE4A75"/>
    <w:rsid w:val="00DE4C6C"/>
    <w:rsid w:val="00DE63EB"/>
    <w:rsid w:val="00DE63F0"/>
    <w:rsid w:val="00DE7999"/>
    <w:rsid w:val="00DF01D0"/>
    <w:rsid w:val="00DF0B51"/>
    <w:rsid w:val="00DF30A2"/>
    <w:rsid w:val="00DF3C5A"/>
    <w:rsid w:val="00DF715E"/>
    <w:rsid w:val="00E0187A"/>
    <w:rsid w:val="00E0777B"/>
    <w:rsid w:val="00E079F9"/>
    <w:rsid w:val="00E12FB0"/>
    <w:rsid w:val="00E13CB0"/>
    <w:rsid w:val="00E161CE"/>
    <w:rsid w:val="00E16EB1"/>
    <w:rsid w:val="00E17A06"/>
    <w:rsid w:val="00E207BD"/>
    <w:rsid w:val="00E22AE4"/>
    <w:rsid w:val="00E23720"/>
    <w:rsid w:val="00E23CEA"/>
    <w:rsid w:val="00E24BA3"/>
    <w:rsid w:val="00E25817"/>
    <w:rsid w:val="00E26E89"/>
    <w:rsid w:val="00E311CC"/>
    <w:rsid w:val="00E3231A"/>
    <w:rsid w:val="00E335FE"/>
    <w:rsid w:val="00E343AC"/>
    <w:rsid w:val="00E36D73"/>
    <w:rsid w:val="00E3747A"/>
    <w:rsid w:val="00E3766D"/>
    <w:rsid w:val="00E40595"/>
    <w:rsid w:val="00E41299"/>
    <w:rsid w:val="00E41935"/>
    <w:rsid w:val="00E43A96"/>
    <w:rsid w:val="00E44440"/>
    <w:rsid w:val="00E459A2"/>
    <w:rsid w:val="00E46032"/>
    <w:rsid w:val="00E512D5"/>
    <w:rsid w:val="00E518F2"/>
    <w:rsid w:val="00E56F76"/>
    <w:rsid w:val="00E5759D"/>
    <w:rsid w:val="00E60E20"/>
    <w:rsid w:val="00E6170C"/>
    <w:rsid w:val="00E620DE"/>
    <w:rsid w:val="00E62DAF"/>
    <w:rsid w:val="00E637C5"/>
    <w:rsid w:val="00E67320"/>
    <w:rsid w:val="00E6768F"/>
    <w:rsid w:val="00E70811"/>
    <w:rsid w:val="00E70992"/>
    <w:rsid w:val="00E74AE5"/>
    <w:rsid w:val="00E76047"/>
    <w:rsid w:val="00E76A02"/>
    <w:rsid w:val="00E76FA0"/>
    <w:rsid w:val="00E77749"/>
    <w:rsid w:val="00E84DC3"/>
    <w:rsid w:val="00E85269"/>
    <w:rsid w:val="00E85319"/>
    <w:rsid w:val="00E8658E"/>
    <w:rsid w:val="00E87737"/>
    <w:rsid w:val="00E9009A"/>
    <w:rsid w:val="00E907EB"/>
    <w:rsid w:val="00E971C2"/>
    <w:rsid w:val="00E976BB"/>
    <w:rsid w:val="00EA2D85"/>
    <w:rsid w:val="00EA6752"/>
    <w:rsid w:val="00EB0676"/>
    <w:rsid w:val="00EB2730"/>
    <w:rsid w:val="00EB31D0"/>
    <w:rsid w:val="00EC0F28"/>
    <w:rsid w:val="00EC35F7"/>
    <w:rsid w:val="00EC4E49"/>
    <w:rsid w:val="00EC5FFF"/>
    <w:rsid w:val="00EC656C"/>
    <w:rsid w:val="00EC7302"/>
    <w:rsid w:val="00ED193D"/>
    <w:rsid w:val="00ED2343"/>
    <w:rsid w:val="00ED3B50"/>
    <w:rsid w:val="00ED5842"/>
    <w:rsid w:val="00ED77FB"/>
    <w:rsid w:val="00ED7917"/>
    <w:rsid w:val="00EE1F78"/>
    <w:rsid w:val="00EE4145"/>
    <w:rsid w:val="00EE45FA"/>
    <w:rsid w:val="00EE476F"/>
    <w:rsid w:val="00EE4A93"/>
    <w:rsid w:val="00EE4B47"/>
    <w:rsid w:val="00EE50F9"/>
    <w:rsid w:val="00EE67EB"/>
    <w:rsid w:val="00EE6C47"/>
    <w:rsid w:val="00EE7B9A"/>
    <w:rsid w:val="00EF14EB"/>
    <w:rsid w:val="00EF3647"/>
    <w:rsid w:val="00EF493D"/>
    <w:rsid w:val="00F05A7B"/>
    <w:rsid w:val="00F07C77"/>
    <w:rsid w:val="00F1186F"/>
    <w:rsid w:val="00F1331D"/>
    <w:rsid w:val="00F1368C"/>
    <w:rsid w:val="00F15C94"/>
    <w:rsid w:val="00F1712E"/>
    <w:rsid w:val="00F22670"/>
    <w:rsid w:val="00F239D9"/>
    <w:rsid w:val="00F23D0F"/>
    <w:rsid w:val="00F269B2"/>
    <w:rsid w:val="00F301F2"/>
    <w:rsid w:val="00F31266"/>
    <w:rsid w:val="00F31A7C"/>
    <w:rsid w:val="00F365D6"/>
    <w:rsid w:val="00F368C5"/>
    <w:rsid w:val="00F37614"/>
    <w:rsid w:val="00F44440"/>
    <w:rsid w:val="00F44784"/>
    <w:rsid w:val="00F45C30"/>
    <w:rsid w:val="00F4659E"/>
    <w:rsid w:val="00F46A61"/>
    <w:rsid w:val="00F472CC"/>
    <w:rsid w:val="00F529CF"/>
    <w:rsid w:val="00F52F67"/>
    <w:rsid w:val="00F569BE"/>
    <w:rsid w:val="00F61990"/>
    <w:rsid w:val="00F63419"/>
    <w:rsid w:val="00F63983"/>
    <w:rsid w:val="00F66152"/>
    <w:rsid w:val="00F663E3"/>
    <w:rsid w:val="00F7236E"/>
    <w:rsid w:val="00F77CC7"/>
    <w:rsid w:val="00F830BC"/>
    <w:rsid w:val="00F8318A"/>
    <w:rsid w:val="00F844F3"/>
    <w:rsid w:val="00F9079D"/>
    <w:rsid w:val="00F94217"/>
    <w:rsid w:val="00F9459E"/>
    <w:rsid w:val="00F94EBA"/>
    <w:rsid w:val="00F95442"/>
    <w:rsid w:val="00F9558D"/>
    <w:rsid w:val="00F96656"/>
    <w:rsid w:val="00FA140A"/>
    <w:rsid w:val="00FA4D39"/>
    <w:rsid w:val="00FA607D"/>
    <w:rsid w:val="00FB2D97"/>
    <w:rsid w:val="00FB5966"/>
    <w:rsid w:val="00FB6E4B"/>
    <w:rsid w:val="00FB7DC6"/>
    <w:rsid w:val="00FC0755"/>
    <w:rsid w:val="00FC278B"/>
    <w:rsid w:val="00FC2FE6"/>
    <w:rsid w:val="00FC3055"/>
    <w:rsid w:val="00FC629B"/>
    <w:rsid w:val="00FD3DB2"/>
    <w:rsid w:val="00FD4A6A"/>
    <w:rsid w:val="00FD4F3B"/>
    <w:rsid w:val="00FD6783"/>
    <w:rsid w:val="00FE0CB4"/>
    <w:rsid w:val="00FE0D6D"/>
    <w:rsid w:val="00FE294F"/>
    <w:rsid w:val="00FE2C03"/>
    <w:rsid w:val="00FE46CA"/>
    <w:rsid w:val="00FF1182"/>
    <w:rsid w:val="00FF20DF"/>
    <w:rsid w:val="00FF2CA1"/>
    <w:rsid w:val="00FF34F7"/>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8A4C0"/>
  <w15:chartTrackingRefBased/>
  <w15:docId w15:val="{129227D4-07D3-4BD7-BD39-6F328309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styleId="UnresolvedMention">
    <w:name w:val="Unresolved Mention"/>
    <w:basedOn w:val="DefaultParagraphFont"/>
    <w:uiPriority w:val="99"/>
    <w:semiHidden/>
    <w:unhideWhenUsed/>
    <w:rsid w:val="005E51FF"/>
    <w:rPr>
      <w:color w:val="605E5C"/>
      <w:shd w:val="clear" w:color="auto" w:fill="E1DFDD"/>
    </w:rPr>
  </w:style>
  <w:style w:type="character" w:customStyle="1" w:styleId="HeaderChar">
    <w:name w:val="Header Char"/>
    <w:link w:val="Header"/>
    <w:uiPriority w:val="99"/>
    <w:rsid w:val="00C8646A"/>
    <w:rPr>
      <w:rFonts w:ascii="Arial" w:eastAsia="SimSun" w:hAnsi="Arial" w:cs="Arial"/>
      <w:sz w:val="22"/>
      <w:lang w:val="en-US" w:eastAsia="zh-CN"/>
    </w:rPr>
  </w:style>
  <w:style w:type="character" w:customStyle="1" w:styleId="FooterChar">
    <w:name w:val="Footer Char"/>
    <w:link w:val="Footer"/>
    <w:uiPriority w:val="99"/>
    <w:rsid w:val="00C8646A"/>
    <w:rPr>
      <w:rFonts w:ascii="Arial" w:eastAsia="SimSun" w:hAnsi="Arial" w:cs="Arial"/>
      <w:sz w:val="22"/>
      <w:lang w:val="en-US" w:eastAsia="zh-CN"/>
    </w:rPr>
  </w:style>
  <w:style w:type="character" w:customStyle="1" w:styleId="BodyTextChar">
    <w:name w:val="Body Text Char"/>
    <w:basedOn w:val="DefaultParagraphFont"/>
    <w:link w:val="BodyText"/>
    <w:rsid w:val="00B307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356271024">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collective-marks/en/" TargetMode="External"/><Relationship Id="rId26" Type="http://schemas.openxmlformats.org/officeDocument/2006/relationships/hyperlink" Target="https://www.wipo.int/collective-marks/en/index.html" TargetMode="Externa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456923"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dacatalogue.wipo.int/projects/DA_1_4_10_01"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4_10_01" TargetMode="Externa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s://www.wipo.int/collective-marks/en/"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0362-7185-4A94-8886-B80A8046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7828</Words>
  <Characters>47137</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CDIP/32/11</vt:lpstr>
    </vt:vector>
  </TitlesOfParts>
  <Company>WIPO</Company>
  <LinksUpToDate>false</LinksUpToDate>
  <CharactersWithSpaces>54856</CharactersWithSpaces>
  <SharedDoc>false</SharedDoc>
  <HLinks>
    <vt:vector size="108" baseType="variant">
      <vt:variant>
        <vt:i4>1376327</vt:i4>
      </vt:variant>
      <vt:variant>
        <vt:i4>94</vt:i4>
      </vt:variant>
      <vt:variant>
        <vt:i4>0</vt:i4>
      </vt:variant>
      <vt:variant>
        <vt:i4>5</vt:i4>
      </vt:variant>
      <vt:variant>
        <vt:lpwstr>https://www.wipo.int/tisc/en/</vt:lpwstr>
      </vt:variant>
      <vt:variant>
        <vt:lpwstr/>
      </vt:variant>
      <vt:variant>
        <vt:i4>2228237</vt:i4>
      </vt:variant>
      <vt:variant>
        <vt:i4>91</vt:i4>
      </vt:variant>
      <vt:variant>
        <vt:i4>0</vt:i4>
      </vt:variant>
      <vt:variant>
        <vt:i4>5</vt:i4>
      </vt:variant>
      <vt:variant>
        <vt:lpwstr>https://www.wipo.int/patentscope/en/programs/legal_status/</vt:lpwstr>
      </vt:variant>
      <vt:variant>
        <vt:lpwstr/>
      </vt:variant>
      <vt:variant>
        <vt:i4>655370</vt:i4>
      </vt:variant>
      <vt:variant>
        <vt:i4>88</vt:i4>
      </vt:variant>
      <vt:variant>
        <vt:i4>0</vt:i4>
      </vt:variant>
      <vt:variant>
        <vt:i4>5</vt:i4>
      </vt:variant>
      <vt:variant>
        <vt:lpwstr>https://www.wipo.int/patentscope/en/</vt:lpwstr>
      </vt:variant>
      <vt:variant>
        <vt:lpwstr/>
      </vt:variant>
      <vt:variant>
        <vt:i4>25</vt:i4>
      </vt:variant>
      <vt:variant>
        <vt:i4>85</vt:i4>
      </vt:variant>
      <vt:variant>
        <vt:i4>0</vt:i4>
      </vt:variant>
      <vt:variant>
        <vt:i4>5</vt:i4>
      </vt:variant>
      <vt:variant>
        <vt:lpwstr>https://www.wipo.int/patents/en/</vt:lpwstr>
      </vt:variant>
      <vt:variant>
        <vt:lpwstr/>
      </vt:variant>
      <vt:variant>
        <vt:i4>1507384</vt:i4>
      </vt:variant>
      <vt:variant>
        <vt:i4>78</vt:i4>
      </vt:variant>
      <vt:variant>
        <vt:i4>0</vt:i4>
      </vt:variant>
      <vt:variant>
        <vt:i4>5</vt:i4>
      </vt:variant>
      <vt:variant>
        <vt:lpwstr/>
      </vt:variant>
      <vt:variant>
        <vt:lpwstr>_Toc18392485</vt:lpwstr>
      </vt:variant>
      <vt:variant>
        <vt:i4>1441848</vt:i4>
      </vt:variant>
      <vt:variant>
        <vt:i4>72</vt:i4>
      </vt:variant>
      <vt:variant>
        <vt:i4>0</vt:i4>
      </vt:variant>
      <vt:variant>
        <vt:i4>5</vt:i4>
      </vt:variant>
      <vt:variant>
        <vt:lpwstr/>
      </vt:variant>
      <vt:variant>
        <vt:lpwstr>_Toc18392484</vt:lpwstr>
      </vt:variant>
      <vt:variant>
        <vt:i4>1114168</vt:i4>
      </vt:variant>
      <vt:variant>
        <vt:i4>66</vt:i4>
      </vt:variant>
      <vt:variant>
        <vt:i4>0</vt:i4>
      </vt:variant>
      <vt:variant>
        <vt:i4>5</vt:i4>
      </vt:variant>
      <vt:variant>
        <vt:lpwstr/>
      </vt:variant>
      <vt:variant>
        <vt:lpwstr>_Toc18392483</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CDIP/32/11</dc:title>
  <dc:subject/>
  <dc:creator>oneil</dc:creator>
  <cp:keywords>FOR OFFICIAL USE ONLY</cp:keywords>
  <cp:lastModifiedBy>PANAKAL Joseph Lazar</cp:lastModifiedBy>
  <cp:revision>2</cp:revision>
  <cp:lastPrinted>2024-03-18T09:34:00Z</cp:lastPrinted>
  <dcterms:created xsi:type="dcterms:W3CDTF">2024-03-18T09:42:00Z</dcterms:created>
  <dcterms:modified xsi:type="dcterms:W3CDTF">2024-03-18T09:42:00Z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2024-03-15T12:57:55Z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d8a4fd41-747a-4985-bc29-a8ce5d3dcf6a</vt:lpwstr>
  </property>
  <property fmtid="{D5CDD505-2E9C-101B-9397-08002B2CF9AE}" pid="13" name="MSIP_Label_20773ee6-353b-4fb9-a59d-0b94c8c67bea_ContentBits">
    <vt:lpwstr>0</vt:lpwstr>
  </property>
</Properties>
</file>