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81F5" w14:textId="0E05DEA8" w:rsidR="008B2CC1" w:rsidRPr="008B2CC1" w:rsidRDefault="00673791" w:rsidP="00F11D94">
      <w:pPr>
        <w:spacing w:after="120"/>
        <w:jc w:val="right"/>
      </w:pPr>
      <w:r w:rsidRPr="0042194C">
        <w:rPr>
          <w:noProof/>
          <w:lang w:val="en-US"/>
        </w:rPr>
        <w:drawing>
          <wp:inline distT="0" distB="0" distL="0" distR="0" wp14:anchorId="3E333D62" wp14:editId="4EC6BBE2">
            <wp:extent cx="3246120" cy="1630680"/>
            <wp:effectExtent l="0" t="0" r="0" b="7620"/>
            <wp:docPr id="3" name="Picture 3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EE5">
        <w:rPr>
          <w:rFonts w:ascii="Arial Black" w:hAnsi="Arial Black"/>
          <w:caps/>
          <w:noProof/>
          <w:sz w:val="15"/>
        </w:rPr>
        <mc:AlternateContent>
          <mc:Choice Requires="wps">
            <w:drawing>
              <wp:inline distT="0" distB="0" distL="0" distR="0" wp14:anchorId="1875505A" wp14:editId="123B9951">
                <wp:extent cx="5935980" cy="0"/>
                <wp:effectExtent l="0" t="0" r="26670" b="19050"/>
                <wp:docPr id="2" name="Straight Connector 2" descr="Горизонтальная лини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0938081" id="Straight Connector 2" o:spid="_x0000_s1026" alt="Горизонтальная линия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53649122" w14:textId="77777777" w:rsidR="008B2CC1" w:rsidRPr="001024FE" w:rsidRDefault="00B57A42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BP/A/41/</w:t>
      </w:r>
      <w:bookmarkStart w:id="0" w:name="Code"/>
      <w:r>
        <w:rPr>
          <w:rFonts w:ascii="Arial Black" w:hAnsi="Arial Black"/>
          <w:caps/>
          <w:sz w:val="15"/>
        </w:rPr>
        <w:t>1</w:t>
      </w:r>
    </w:p>
    <w:bookmarkEnd w:id="0"/>
    <w:p w14:paraId="5420AC61" w14:textId="1A3A32F7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 xml:space="preserve"> АНГЛИЙСКИЙ</w:t>
      </w:r>
    </w:p>
    <w:bookmarkEnd w:id="1"/>
    <w:p w14:paraId="0481D5B7" w14:textId="45C1F6B6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>
        <w:rPr>
          <w:rFonts w:ascii="Arial Black" w:hAnsi="Arial Black"/>
          <w:caps/>
          <w:sz w:val="15"/>
        </w:rPr>
        <w:t xml:space="preserve"> 8 мая 2024 года</w:t>
      </w:r>
    </w:p>
    <w:bookmarkEnd w:id="2"/>
    <w:p w14:paraId="03F0841B" w14:textId="77777777" w:rsidR="008B2CC1" w:rsidRPr="003845C1" w:rsidRDefault="00B57A42" w:rsidP="00CE65D4">
      <w:pPr>
        <w:spacing w:after="600"/>
        <w:rPr>
          <w:b/>
          <w:sz w:val="28"/>
          <w:szCs w:val="28"/>
        </w:rPr>
      </w:pPr>
      <w:r>
        <w:rPr>
          <w:b/>
          <w:sz w:val="28"/>
        </w:rPr>
        <w:t>Союз по международному признанию депонирования микроорганизмов для целей патентной процедуры (Будапештский союз)</w:t>
      </w:r>
    </w:p>
    <w:p w14:paraId="3D08C33F" w14:textId="77777777" w:rsidR="00A85B8E" w:rsidRPr="00A85B8E" w:rsidRDefault="00A85B8E" w:rsidP="00AF5C73">
      <w:pPr>
        <w:spacing w:after="720"/>
        <w:rPr>
          <w:b/>
          <w:sz w:val="28"/>
          <w:szCs w:val="28"/>
        </w:rPr>
      </w:pPr>
      <w:r>
        <w:rPr>
          <w:b/>
          <w:sz w:val="28"/>
        </w:rPr>
        <w:t>Ассамблея</w:t>
      </w:r>
    </w:p>
    <w:p w14:paraId="14370DA6" w14:textId="77777777" w:rsidR="008B2CC1" w:rsidRPr="003845C1" w:rsidRDefault="002E6C1A" w:rsidP="008B2CC1">
      <w:pPr>
        <w:rPr>
          <w:b/>
          <w:sz w:val="24"/>
          <w:szCs w:val="24"/>
        </w:rPr>
      </w:pPr>
      <w:r>
        <w:rPr>
          <w:b/>
          <w:sz w:val="24"/>
        </w:rPr>
        <w:t>Сорок первая (19-я внеочередная) сессия</w:t>
      </w:r>
    </w:p>
    <w:p w14:paraId="1F1350E7" w14:textId="77777777" w:rsidR="008B2CC1" w:rsidRPr="009F3BF9" w:rsidRDefault="00B57A42" w:rsidP="00CE65D4">
      <w:pPr>
        <w:spacing w:after="720"/>
      </w:pPr>
      <w:r>
        <w:rPr>
          <w:b/>
          <w:sz w:val="24"/>
        </w:rPr>
        <w:t>Женева, 9–17 июля 2024 года</w:t>
      </w:r>
    </w:p>
    <w:p w14:paraId="43137F37" w14:textId="032D52EC" w:rsidR="008B2CC1" w:rsidRPr="009F3BF9" w:rsidRDefault="002A1CED" w:rsidP="00CE65D4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Отчет о функционировании Будапештской системы</w:t>
      </w:r>
    </w:p>
    <w:p w14:paraId="5E043DE4" w14:textId="405644C9" w:rsidR="008B2CC1" w:rsidRDefault="00B8507B" w:rsidP="00CE65D4">
      <w:pPr>
        <w:spacing w:after="960"/>
        <w:rPr>
          <w:i/>
        </w:rPr>
      </w:pPr>
      <w:bookmarkStart w:id="4" w:name="Prepared"/>
      <w:bookmarkEnd w:id="3"/>
      <w:r>
        <w:rPr>
          <w:i/>
        </w:rPr>
        <w:t>подготовлен Международным бюро</w:t>
      </w:r>
    </w:p>
    <w:p w14:paraId="318C39B1" w14:textId="240AE290" w:rsidR="002A1CED" w:rsidRDefault="00D4337E" w:rsidP="002A1CED">
      <w:pPr>
        <w:pStyle w:val="ONUME"/>
      </w:pPr>
      <w:r>
        <w:t>В настоящем документе содержится информация о последних изменениях и мероприятиях, касающихся Будапештского договора о международном признании депонирования микроорганизмов для целей патентной процедуры (Будапештский договор), которые произошли в период после проведения заседания Ассамблеи Будапештского союза 14–22 июля 2022 года.</w:t>
      </w:r>
    </w:p>
    <w:p w14:paraId="47F0081D" w14:textId="28C285FC" w:rsidR="002A1CED" w:rsidRDefault="002A1CED" w:rsidP="0088518C">
      <w:pPr>
        <w:pStyle w:val="Heading3"/>
      </w:pPr>
      <w:r>
        <w:t>Новые Договаривающиеся государства, межправительственные организации промышленной собственности и международные органы по депонированию (МОД)</w:t>
      </w:r>
    </w:p>
    <w:p w14:paraId="160152C9" w14:textId="77777777" w:rsidR="0088518C" w:rsidRPr="0088518C" w:rsidRDefault="0088518C" w:rsidP="0088518C"/>
    <w:p w14:paraId="248DC057" w14:textId="3DC63171" w:rsidR="00457F5B" w:rsidRDefault="002A1CED" w:rsidP="00457F5B">
      <w:pPr>
        <w:numPr>
          <w:ilvl w:val="0"/>
          <w:numId w:val="5"/>
        </w:numPr>
        <w:spacing w:after="220"/>
      </w:pPr>
      <w:bookmarkStart w:id="5" w:name="_Hlk163043940"/>
      <w:bookmarkEnd w:id="4"/>
      <w:r>
        <w:t>Парагвай и Руанда присоединились к Будапештскому договору 5 мая 2023 года и 4 сентября 2023 года, соответственно.  По состоянию на 12 апреля 2024 года число государств — участников Будапештского договора равняется 89.  В таблице 1 показана динамика изменения числа Договаривающихся государств с момента вступления Будапештского договора в силу 19 августа 1980 года.</w:t>
      </w:r>
    </w:p>
    <w:p w14:paraId="1AD34CF6" w14:textId="394FE730" w:rsidR="00937C0D" w:rsidRDefault="00937C0D">
      <w:r>
        <w:br w:type="page"/>
      </w:r>
    </w:p>
    <w:p w14:paraId="13B3B835" w14:textId="632219AD" w:rsidR="009551C9" w:rsidRDefault="009551C9"/>
    <w:p w14:paraId="58D7AD8C" w14:textId="6F3BB2D3" w:rsidR="007C23D4" w:rsidRDefault="007C23D4" w:rsidP="00AE5F84">
      <w:pPr>
        <w:jc w:val="center"/>
      </w:pPr>
      <w:r>
        <w:t>Таблица 1: Динамика изменения числа Договаривающихся государств</w:t>
      </w:r>
    </w:p>
    <w:p w14:paraId="417B86C8" w14:textId="77777777" w:rsidR="007C23D4" w:rsidRDefault="007C23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2"/>
        <w:gridCol w:w="1186"/>
        <w:gridCol w:w="1187"/>
        <w:gridCol w:w="1188"/>
        <w:gridCol w:w="1187"/>
        <w:gridCol w:w="1187"/>
        <w:gridCol w:w="1188"/>
      </w:tblGrid>
      <w:tr w:rsidR="00457F5B" w:rsidRPr="00457F5B" w14:paraId="5E54B8DA" w14:textId="77777777" w:rsidTr="009551C9">
        <w:trPr>
          <w:trHeight w:val="404"/>
        </w:trPr>
        <w:tc>
          <w:tcPr>
            <w:tcW w:w="2089" w:type="dxa"/>
          </w:tcPr>
          <w:p w14:paraId="25EB98D8" w14:textId="0F9CCFFC" w:rsidR="007C23D4" w:rsidRDefault="007C23D4" w:rsidP="001A6438">
            <w:pPr>
              <w:spacing w:after="220"/>
            </w:pPr>
          </w:p>
        </w:tc>
        <w:tc>
          <w:tcPr>
            <w:tcW w:w="1209" w:type="dxa"/>
          </w:tcPr>
          <w:p w14:paraId="5A535003" w14:textId="4474C263" w:rsidR="00457F5B" w:rsidRPr="00457F5B" w:rsidRDefault="00457F5B" w:rsidP="009551C9">
            <w:pPr>
              <w:spacing w:after="120"/>
              <w:jc w:val="center"/>
              <w:rPr>
                <w:sz w:val="20"/>
              </w:rPr>
            </w:pPr>
            <w:r>
              <w:t>1980</w:t>
            </w:r>
          </w:p>
        </w:tc>
        <w:tc>
          <w:tcPr>
            <w:tcW w:w="1209" w:type="dxa"/>
          </w:tcPr>
          <w:p w14:paraId="4931701C" w14:textId="1E509807" w:rsidR="00457F5B" w:rsidRPr="00457F5B" w:rsidRDefault="002065DD" w:rsidP="009551C9">
            <w:pPr>
              <w:spacing w:after="220"/>
              <w:jc w:val="center"/>
              <w:rPr>
                <w:szCs w:val="22"/>
              </w:rPr>
            </w:pPr>
            <w:r>
              <w:t>1983</w:t>
            </w:r>
          </w:p>
        </w:tc>
        <w:tc>
          <w:tcPr>
            <w:tcW w:w="1210" w:type="dxa"/>
          </w:tcPr>
          <w:p w14:paraId="08A6C707" w14:textId="77777777" w:rsidR="00457F5B" w:rsidRPr="00457F5B" w:rsidRDefault="00457F5B" w:rsidP="009551C9">
            <w:pPr>
              <w:spacing w:after="220"/>
              <w:jc w:val="center"/>
              <w:rPr>
                <w:szCs w:val="22"/>
              </w:rPr>
            </w:pPr>
            <w:r>
              <w:t>1993</w:t>
            </w:r>
          </w:p>
        </w:tc>
        <w:tc>
          <w:tcPr>
            <w:tcW w:w="1209" w:type="dxa"/>
          </w:tcPr>
          <w:p w14:paraId="012E1DC1" w14:textId="77777777" w:rsidR="00457F5B" w:rsidRPr="00457F5B" w:rsidRDefault="00457F5B" w:rsidP="009551C9">
            <w:pPr>
              <w:spacing w:after="220"/>
              <w:jc w:val="center"/>
              <w:rPr>
                <w:szCs w:val="22"/>
              </w:rPr>
            </w:pPr>
            <w:r>
              <w:t>2003</w:t>
            </w:r>
          </w:p>
        </w:tc>
        <w:tc>
          <w:tcPr>
            <w:tcW w:w="1209" w:type="dxa"/>
          </w:tcPr>
          <w:p w14:paraId="61383028" w14:textId="77777777" w:rsidR="00457F5B" w:rsidRPr="00457F5B" w:rsidRDefault="00457F5B" w:rsidP="009551C9">
            <w:pPr>
              <w:spacing w:after="220"/>
              <w:jc w:val="center"/>
              <w:rPr>
                <w:szCs w:val="22"/>
              </w:rPr>
            </w:pPr>
            <w:r>
              <w:t>2013</w:t>
            </w:r>
          </w:p>
        </w:tc>
        <w:tc>
          <w:tcPr>
            <w:tcW w:w="1210" w:type="dxa"/>
          </w:tcPr>
          <w:p w14:paraId="439C4D77" w14:textId="77777777" w:rsidR="00457F5B" w:rsidRPr="00457F5B" w:rsidRDefault="00457F5B" w:rsidP="009551C9">
            <w:pPr>
              <w:spacing w:after="220"/>
              <w:jc w:val="center"/>
              <w:rPr>
                <w:szCs w:val="22"/>
              </w:rPr>
            </w:pPr>
            <w:r>
              <w:t>2023</w:t>
            </w:r>
          </w:p>
        </w:tc>
      </w:tr>
      <w:tr w:rsidR="00457F5B" w14:paraId="650EBD1B" w14:textId="77777777" w:rsidTr="009551C9">
        <w:tc>
          <w:tcPr>
            <w:tcW w:w="2089" w:type="dxa"/>
          </w:tcPr>
          <w:p w14:paraId="73446F3D" w14:textId="715A2646" w:rsidR="00457F5B" w:rsidRDefault="00457F5B" w:rsidP="00AE5F84">
            <w:pPr>
              <w:spacing w:after="120"/>
            </w:pPr>
            <w:r>
              <w:t>Число Договаривающихся государств</w:t>
            </w:r>
          </w:p>
        </w:tc>
        <w:tc>
          <w:tcPr>
            <w:tcW w:w="1209" w:type="dxa"/>
            <w:vAlign w:val="center"/>
          </w:tcPr>
          <w:p w14:paraId="236C7484" w14:textId="17AABB9A" w:rsidR="00457F5B" w:rsidRDefault="002065DD" w:rsidP="009551C9">
            <w:pPr>
              <w:spacing w:after="220"/>
              <w:jc w:val="center"/>
            </w:pPr>
            <w:r>
              <w:t>6</w:t>
            </w:r>
          </w:p>
        </w:tc>
        <w:tc>
          <w:tcPr>
            <w:tcW w:w="1209" w:type="dxa"/>
            <w:vAlign w:val="center"/>
          </w:tcPr>
          <w:p w14:paraId="12BEC173" w14:textId="68104E85" w:rsidR="00457F5B" w:rsidRDefault="002065DD" w:rsidP="009551C9">
            <w:pPr>
              <w:spacing w:after="220"/>
              <w:jc w:val="center"/>
            </w:pPr>
            <w:r>
              <w:t>14</w:t>
            </w:r>
          </w:p>
        </w:tc>
        <w:tc>
          <w:tcPr>
            <w:tcW w:w="1210" w:type="dxa"/>
            <w:vAlign w:val="center"/>
          </w:tcPr>
          <w:p w14:paraId="3B1015EB" w14:textId="6122F1F4" w:rsidR="00457F5B" w:rsidRDefault="002065DD" w:rsidP="009551C9">
            <w:pPr>
              <w:spacing w:after="220"/>
              <w:jc w:val="center"/>
            </w:pPr>
            <w:r>
              <w:t>28</w:t>
            </w:r>
          </w:p>
        </w:tc>
        <w:tc>
          <w:tcPr>
            <w:tcW w:w="1209" w:type="dxa"/>
            <w:vAlign w:val="center"/>
          </w:tcPr>
          <w:p w14:paraId="7325BA99" w14:textId="0C44F797" w:rsidR="00457F5B" w:rsidRDefault="002065DD" w:rsidP="009551C9">
            <w:pPr>
              <w:spacing w:after="220"/>
              <w:jc w:val="center"/>
            </w:pPr>
            <w:r>
              <w:t>58</w:t>
            </w:r>
          </w:p>
        </w:tc>
        <w:tc>
          <w:tcPr>
            <w:tcW w:w="1209" w:type="dxa"/>
            <w:vAlign w:val="center"/>
          </w:tcPr>
          <w:p w14:paraId="097484CF" w14:textId="0BCD6B85" w:rsidR="00457F5B" w:rsidRDefault="002065DD" w:rsidP="009551C9">
            <w:pPr>
              <w:spacing w:after="220"/>
              <w:jc w:val="center"/>
            </w:pPr>
            <w:r>
              <w:t>78</w:t>
            </w:r>
          </w:p>
        </w:tc>
        <w:tc>
          <w:tcPr>
            <w:tcW w:w="1210" w:type="dxa"/>
            <w:vAlign w:val="center"/>
          </w:tcPr>
          <w:p w14:paraId="5617AB2D" w14:textId="38C80CE7" w:rsidR="00457F5B" w:rsidRDefault="000F3714" w:rsidP="009551C9">
            <w:pPr>
              <w:spacing w:after="220"/>
              <w:jc w:val="center"/>
            </w:pPr>
            <w:r>
              <w:t>89</w:t>
            </w:r>
          </w:p>
        </w:tc>
      </w:tr>
    </w:tbl>
    <w:p w14:paraId="3C9A6CDD" w14:textId="518D4094" w:rsidR="00457F5B" w:rsidRPr="002A1CED" w:rsidRDefault="002A1CED" w:rsidP="00457F5B">
      <w:pPr>
        <w:spacing w:after="220"/>
      </w:pPr>
      <w:r>
        <w:t xml:space="preserve"> </w:t>
      </w:r>
    </w:p>
    <w:bookmarkEnd w:id="5"/>
    <w:p w14:paraId="63C736A8" w14:textId="0235D962" w:rsidR="002928D3" w:rsidRDefault="0083083E" w:rsidP="002A1CED">
      <w:pPr>
        <w:pStyle w:val="ONUME"/>
      </w:pPr>
      <w:r>
        <w:t>В соответствии со статьей 9(1)(a) Будапештского договора любая межправительственная организация промышленной собственности, отвечающая условиям, изложенным в данном положении, может подать декларацию о том, что она принимает обязательства и последствия, предусмотренные настоящим Договором и Инструкцией к Будапештскому договору (Инструкция).  Африканская организация интеллектуальной собственности (АОИС) подала такую декларацию 15 декабря 2022 года.  Таким образом, по состоянию на 12 апреля 2024 года в соответствии со статьей 9(1)(a) данную декларацию подали четыре межправительственные организации промышленной собственности, а именно АОИС, Африканская региональная организация интеллектуальной собственности (АРОИС), Евразийская патентная организация (ЕАПО) и Европейская патентная организация (EПO).</w:t>
      </w:r>
    </w:p>
    <w:p w14:paraId="13659D05" w14:textId="15A1F366" w:rsidR="00DB24F6" w:rsidRDefault="0083083E" w:rsidP="00DB24F6">
      <w:pPr>
        <w:pStyle w:val="ONUME"/>
      </w:pPr>
      <w:r>
        <w:t>Что касается Международных органов по депонированию (МОД), 26 января 2023 года Коллекция плазмид и микроорганизмов (KPD), расположенная в Польше, и 25 апреля 2024 года Коллекция культур бактерий Университета Коимбры (UCCCB), расположенная в Португалии, получили статус Международного органа по депонированию, став 49-м и 50-м МОД, соответственно.  В таблице 2 показана динамика изменения числа МОД.</w:t>
      </w:r>
    </w:p>
    <w:p w14:paraId="2BE9D42D" w14:textId="60484CF9" w:rsidR="007C23D4" w:rsidRDefault="007C23D4" w:rsidP="00AE5F84">
      <w:pPr>
        <w:pStyle w:val="ONUME"/>
        <w:numPr>
          <w:ilvl w:val="0"/>
          <w:numId w:val="0"/>
        </w:numPr>
        <w:jc w:val="center"/>
      </w:pPr>
      <w:r>
        <w:t>Таблица 2: Динамика изменения числа МОД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099"/>
        <w:gridCol w:w="1099"/>
        <w:gridCol w:w="1099"/>
        <w:gridCol w:w="1099"/>
        <w:gridCol w:w="1099"/>
        <w:gridCol w:w="1100"/>
        <w:gridCol w:w="984"/>
      </w:tblGrid>
      <w:tr w:rsidR="00CD4DD6" w:rsidRPr="00457F5B" w14:paraId="26CAEDAC" w14:textId="6C0D8477" w:rsidTr="00914FA1">
        <w:tc>
          <w:tcPr>
            <w:tcW w:w="1766" w:type="dxa"/>
          </w:tcPr>
          <w:p w14:paraId="6871429F" w14:textId="77777777" w:rsidR="00CD4DD6" w:rsidRDefault="00CD4DD6" w:rsidP="001A6438">
            <w:pPr>
              <w:spacing w:after="220"/>
            </w:pPr>
          </w:p>
        </w:tc>
        <w:tc>
          <w:tcPr>
            <w:tcW w:w="1099" w:type="dxa"/>
          </w:tcPr>
          <w:p w14:paraId="5C15BAB5" w14:textId="7BC7A47E" w:rsidR="00CD4DD6" w:rsidRPr="00457F5B" w:rsidRDefault="00CD4DD6" w:rsidP="001A6438">
            <w:pPr>
              <w:spacing w:after="220"/>
              <w:jc w:val="center"/>
              <w:rPr>
                <w:sz w:val="20"/>
              </w:rPr>
            </w:pPr>
            <w:r>
              <w:t xml:space="preserve">1980 </w:t>
            </w:r>
          </w:p>
        </w:tc>
        <w:tc>
          <w:tcPr>
            <w:tcW w:w="1099" w:type="dxa"/>
          </w:tcPr>
          <w:p w14:paraId="48A88FA4" w14:textId="77777777" w:rsidR="00CD4DD6" w:rsidRPr="00457F5B" w:rsidRDefault="00CD4DD6" w:rsidP="001A6438">
            <w:pPr>
              <w:spacing w:after="220"/>
              <w:jc w:val="center"/>
              <w:rPr>
                <w:szCs w:val="22"/>
              </w:rPr>
            </w:pPr>
            <w:r>
              <w:t>1983</w:t>
            </w:r>
          </w:p>
        </w:tc>
        <w:tc>
          <w:tcPr>
            <w:tcW w:w="1099" w:type="dxa"/>
          </w:tcPr>
          <w:p w14:paraId="059B50E9" w14:textId="77777777" w:rsidR="00CD4DD6" w:rsidRPr="00457F5B" w:rsidRDefault="00CD4DD6" w:rsidP="001A6438">
            <w:pPr>
              <w:spacing w:after="220"/>
              <w:jc w:val="center"/>
              <w:rPr>
                <w:szCs w:val="22"/>
              </w:rPr>
            </w:pPr>
            <w:r>
              <w:t>1993</w:t>
            </w:r>
          </w:p>
        </w:tc>
        <w:tc>
          <w:tcPr>
            <w:tcW w:w="1099" w:type="dxa"/>
          </w:tcPr>
          <w:p w14:paraId="327BB551" w14:textId="77777777" w:rsidR="00CD4DD6" w:rsidRPr="00457F5B" w:rsidRDefault="00CD4DD6" w:rsidP="001A6438">
            <w:pPr>
              <w:spacing w:after="220"/>
              <w:jc w:val="center"/>
              <w:rPr>
                <w:szCs w:val="22"/>
              </w:rPr>
            </w:pPr>
            <w:r>
              <w:t>2003</w:t>
            </w:r>
          </w:p>
        </w:tc>
        <w:tc>
          <w:tcPr>
            <w:tcW w:w="1099" w:type="dxa"/>
          </w:tcPr>
          <w:p w14:paraId="4EE7A085" w14:textId="77777777" w:rsidR="00CD4DD6" w:rsidRPr="00457F5B" w:rsidRDefault="00CD4DD6" w:rsidP="001A6438">
            <w:pPr>
              <w:spacing w:after="220"/>
              <w:jc w:val="center"/>
              <w:rPr>
                <w:szCs w:val="22"/>
              </w:rPr>
            </w:pPr>
            <w:r>
              <w:t>2013</w:t>
            </w:r>
          </w:p>
        </w:tc>
        <w:tc>
          <w:tcPr>
            <w:tcW w:w="1100" w:type="dxa"/>
          </w:tcPr>
          <w:p w14:paraId="2705DBB8" w14:textId="77777777" w:rsidR="00CD4DD6" w:rsidRPr="00457F5B" w:rsidRDefault="00CD4DD6" w:rsidP="001A6438">
            <w:pPr>
              <w:spacing w:after="220"/>
              <w:jc w:val="center"/>
              <w:rPr>
                <w:szCs w:val="22"/>
              </w:rPr>
            </w:pPr>
            <w:r>
              <w:t>2023</w:t>
            </w:r>
          </w:p>
        </w:tc>
        <w:tc>
          <w:tcPr>
            <w:tcW w:w="984" w:type="dxa"/>
          </w:tcPr>
          <w:p w14:paraId="5D9FB68D" w14:textId="7A1D4FF9" w:rsidR="00CD4DD6" w:rsidRPr="00457F5B" w:rsidRDefault="00CD4DD6" w:rsidP="001A6438">
            <w:pPr>
              <w:spacing w:after="220"/>
              <w:jc w:val="center"/>
              <w:rPr>
                <w:szCs w:val="22"/>
              </w:rPr>
            </w:pPr>
            <w:r>
              <w:t>2024</w:t>
            </w:r>
          </w:p>
        </w:tc>
      </w:tr>
      <w:tr w:rsidR="00CD4DD6" w14:paraId="7D0F9907" w14:textId="532B19A9" w:rsidTr="00914FA1">
        <w:tc>
          <w:tcPr>
            <w:tcW w:w="1766" w:type="dxa"/>
          </w:tcPr>
          <w:p w14:paraId="520CB26E" w14:textId="2F46078E" w:rsidR="00CD4DD6" w:rsidRDefault="00CD4DD6" w:rsidP="001A6438">
            <w:pPr>
              <w:spacing w:after="220"/>
            </w:pPr>
            <w:r>
              <w:t>Число МОД</w:t>
            </w:r>
          </w:p>
        </w:tc>
        <w:tc>
          <w:tcPr>
            <w:tcW w:w="1099" w:type="dxa"/>
            <w:vAlign w:val="center"/>
          </w:tcPr>
          <w:p w14:paraId="4C2602B9" w14:textId="2482BDC0" w:rsidR="00CD4DD6" w:rsidRDefault="00CD4DD6" w:rsidP="00502DF6">
            <w:pPr>
              <w:spacing w:after="220"/>
              <w:jc w:val="center"/>
            </w:pPr>
            <w:r>
              <w:t>0</w:t>
            </w:r>
          </w:p>
        </w:tc>
        <w:tc>
          <w:tcPr>
            <w:tcW w:w="1099" w:type="dxa"/>
            <w:vAlign w:val="center"/>
          </w:tcPr>
          <w:p w14:paraId="69434819" w14:textId="34685BC9" w:rsidR="00CD4DD6" w:rsidRDefault="00CD4DD6" w:rsidP="00502DF6">
            <w:pPr>
              <w:spacing w:after="220"/>
              <w:jc w:val="center"/>
            </w:pPr>
            <w:r>
              <w:t>11</w:t>
            </w:r>
          </w:p>
        </w:tc>
        <w:tc>
          <w:tcPr>
            <w:tcW w:w="1099" w:type="dxa"/>
            <w:vAlign w:val="center"/>
          </w:tcPr>
          <w:p w14:paraId="5531DF91" w14:textId="478726B0" w:rsidR="00CD4DD6" w:rsidRDefault="00CD4DD6" w:rsidP="00502DF6">
            <w:pPr>
              <w:spacing w:after="220"/>
              <w:jc w:val="center"/>
            </w:pPr>
            <w:r>
              <w:t>26</w:t>
            </w:r>
          </w:p>
        </w:tc>
        <w:tc>
          <w:tcPr>
            <w:tcW w:w="1099" w:type="dxa"/>
            <w:vAlign w:val="center"/>
          </w:tcPr>
          <w:p w14:paraId="755A9A82" w14:textId="7B1EE034" w:rsidR="00CD4DD6" w:rsidRDefault="00CD4DD6" w:rsidP="00502DF6">
            <w:pPr>
              <w:spacing w:after="220"/>
              <w:jc w:val="center"/>
            </w:pPr>
            <w:r>
              <w:t>34</w:t>
            </w:r>
          </w:p>
        </w:tc>
        <w:tc>
          <w:tcPr>
            <w:tcW w:w="1099" w:type="dxa"/>
            <w:vAlign w:val="center"/>
          </w:tcPr>
          <w:p w14:paraId="2FE66F74" w14:textId="2B4A8621" w:rsidR="00CD4DD6" w:rsidRDefault="00CD4DD6" w:rsidP="00502DF6">
            <w:pPr>
              <w:spacing w:after="220"/>
              <w:jc w:val="center"/>
            </w:pPr>
            <w:r>
              <w:t>42</w:t>
            </w:r>
          </w:p>
        </w:tc>
        <w:tc>
          <w:tcPr>
            <w:tcW w:w="1100" w:type="dxa"/>
            <w:vAlign w:val="center"/>
          </w:tcPr>
          <w:p w14:paraId="364E834B" w14:textId="4CEF230F" w:rsidR="00CD4DD6" w:rsidRDefault="00CD4DD6" w:rsidP="00502DF6">
            <w:pPr>
              <w:spacing w:after="220"/>
              <w:jc w:val="center"/>
            </w:pPr>
            <w:r>
              <w:t>49</w:t>
            </w:r>
          </w:p>
        </w:tc>
        <w:tc>
          <w:tcPr>
            <w:tcW w:w="984" w:type="dxa"/>
            <w:vAlign w:val="center"/>
          </w:tcPr>
          <w:p w14:paraId="37844B73" w14:textId="31917C89" w:rsidR="00CD4DD6" w:rsidRDefault="00CD4DD6" w:rsidP="00CD4DD6">
            <w:pPr>
              <w:spacing w:after="220"/>
              <w:jc w:val="center"/>
            </w:pPr>
            <w:r>
              <w:t>50</w:t>
            </w:r>
          </w:p>
        </w:tc>
      </w:tr>
    </w:tbl>
    <w:p w14:paraId="12C94EF8" w14:textId="77777777" w:rsidR="00DB24F6" w:rsidRPr="00DB24F6" w:rsidRDefault="00DB24F6" w:rsidP="00AE5F84">
      <w:pPr>
        <w:pStyle w:val="ONUME"/>
        <w:numPr>
          <w:ilvl w:val="0"/>
          <w:numId w:val="0"/>
        </w:numPr>
      </w:pPr>
    </w:p>
    <w:p w14:paraId="2A0CCDEA" w14:textId="50BDE444" w:rsidR="002A1CED" w:rsidRPr="002A1CED" w:rsidRDefault="00DB24F6" w:rsidP="00DB24F6">
      <w:pPr>
        <w:pStyle w:val="ONUME"/>
        <w:numPr>
          <w:ilvl w:val="0"/>
          <w:numId w:val="0"/>
        </w:numPr>
      </w:pPr>
      <w:r>
        <w:t>В настоящее время МОД входят в следующие группы: Африка (1</w:t>
      </w:r>
      <w:r w:rsidR="002A1CED">
        <w:rPr>
          <w:rStyle w:val="FootnoteReference"/>
        </w:rPr>
        <w:footnoteReference w:id="2"/>
      </w:r>
      <w:r>
        <w:t>), Азиатско-Тихоокеанский регион (7</w:t>
      </w:r>
      <w:r w:rsidR="002A1CED">
        <w:rPr>
          <w:rStyle w:val="FootnoteReference"/>
        </w:rPr>
        <w:footnoteReference w:id="3"/>
      </w:r>
      <w:r>
        <w:t>), страны Центральной Азии, Кавказа и Восточной Европы (2</w:t>
      </w:r>
      <w:r w:rsidR="00917176">
        <w:rPr>
          <w:rStyle w:val="FootnoteReference"/>
        </w:rPr>
        <w:footnoteReference w:id="4"/>
      </w:r>
      <w:r>
        <w:t>), Центральная Европа и страны Балтии (8</w:t>
      </w:r>
      <w:r w:rsidR="00917176">
        <w:rPr>
          <w:rStyle w:val="FootnoteReference"/>
        </w:rPr>
        <w:footnoteReference w:id="5"/>
      </w:r>
      <w:r>
        <w:t>), Китай (3), Группа B (27</w:t>
      </w:r>
      <w:r w:rsidR="00917176">
        <w:rPr>
          <w:rStyle w:val="FootnoteReference"/>
        </w:rPr>
        <w:footnoteReference w:id="6"/>
      </w:r>
      <w:r>
        <w:t>) и Латинская Америка и Карибский бассейн (2</w:t>
      </w:r>
      <w:r w:rsidR="002A1CED">
        <w:rPr>
          <w:rStyle w:val="FootnoteReference"/>
        </w:rPr>
        <w:footnoteReference w:id="7"/>
      </w:r>
      <w:r>
        <w:t xml:space="preserve">).  </w:t>
      </w:r>
    </w:p>
    <w:p w14:paraId="20CEBB6B" w14:textId="5F1297DD" w:rsidR="00914FA1" w:rsidRDefault="001A45B9" w:rsidP="00914FA1">
      <w:pPr>
        <w:pStyle w:val="ONUME"/>
      </w:pPr>
      <w:r>
        <w:t xml:space="preserve">Следует отметить, что как состав участников Договора, так и местонахождение МОД с течением времени приобретают все большее географическое разнообразие.  Список Договаривающихся государств Будапештского договора и МОД доступен на </w:t>
      </w:r>
      <w:hyperlink r:id="rId9" w:history="1">
        <w:r>
          <w:rPr>
            <w:rStyle w:val="Hyperlink"/>
          </w:rPr>
          <w:t>веб-странице Будапештского договора</w:t>
        </w:r>
      </w:hyperlink>
      <w:r>
        <w:t>.</w:t>
      </w:r>
    </w:p>
    <w:p w14:paraId="3A6B0B93" w14:textId="77777777" w:rsidR="001A151C" w:rsidRDefault="001A151C" w:rsidP="001A151C">
      <w:pPr>
        <w:pStyle w:val="ONUME"/>
        <w:numPr>
          <w:ilvl w:val="0"/>
          <w:numId w:val="0"/>
        </w:numPr>
      </w:pPr>
    </w:p>
    <w:p w14:paraId="3DCB6246" w14:textId="77777777" w:rsidR="001A151C" w:rsidRPr="002A1CED" w:rsidRDefault="001A151C" w:rsidP="001A151C">
      <w:pPr>
        <w:pStyle w:val="ONUME"/>
        <w:numPr>
          <w:ilvl w:val="0"/>
          <w:numId w:val="0"/>
        </w:numPr>
      </w:pPr>
    </w:p>
    <w:p w14:paraId="0261EA9A" w14:textId="3CFE9524" w:rsidR="002A1CED" w:rsidRDefault="002A1CED" w:rsidP="0088518C">
      <w:pPr>
        <w:pStyle w:val="Heading3"/>
      </w:pPr>
      <w:r>
        <w:t>Изменения в Инструкции к Будапештскому договору</w:t>
      </w:r>
    </w:p>
    <w:p w14:paraId="25A631A3" w14:textId="77777777" w:rsidR="0088518C" w:rsidRPr="0088518C" w:rsidRDefault="0088518C" w:rsidP="0088518C"/>
    <w:p w14:paraId="02A5844E" w14:textId="19F7211E" w:rsidR="002A1CED" w:rsidRDefault="002A1CED" w:rsidP="002A1CED">
      <w:pPr>
        <w:pStyle w:val="ONUME"/>
      </w:pPr>
      <w:r>
        <w:t xml:space="preserve">В 2022 году Ассамблея Будапештского союза приняла решение о внесении поправок в правило 11.4(a)(i) и (b) Будапештского договора, расширив языковой охват некоторых сообщений, адресованных МОД, до шести официальных языков ВОИС.  Данные изменения вступили в силу 1 января 2023 года. </w:t>
      </w:r>
    </w:p>
    <w:p w14:paraId="183E6B4A" w14:textId="57127400" w:rsidR="002A1CED" w:rsidRPr="002A1CED" w:rsidRDefault="00FF6CF8" w:rsidP="002A1CED">
      <w:pPr>
        <w:pStyle w:val="ONUME"/>
      </w:pPr>
      <w:r>
        <w:t xml:space="preserve">Кроме того, в соответствии с решением Ассамблеи Международное бюро (МБ) опубликовало </w:t>
      </w:r>
      <w:hyperlink r:id="rId10" w:history="1">
        <w:r>
          <w:rPr>
            <w:rStyle w:val="Hyperlink"/>
          </w:rPr>
          <w:t>новые бланки к Будапештскому договору</w:t>
        </w:r>
      </w:hyperlink>
      <w:r>
        <w:t xml:space="preserve"> на шести официальных языках ВОИС.  В этих бланках теперь предусмотрены поля для указания адресов электронной почты и номеров телефонов соответствующих сторон. </w:t>
      </w:r>
    </w:p>
    <w:p w14:paraId="212D1264" w14:textId="0A369F5C" w:rsidR="002A1CED" w:rsidRDefault="002A1CED" w:rsidP="0088518C">
      <w:pPr>
        <w:pStyle w:val="Heading3"/>
      </w:pPr>
      <w:r>
        <w:t>Уведомления и сообщения</w:t>
      </w:r>
    </w:p>
    <w:p w14:paraId="651B313C" w14:textId="77777777" w:rsidR="0088518C" w:rsidRPr="0088518C" w:rsidRDefault="0088518C" w:rsidP="0088518C"/>
    <w:p w14:paraId="4B5ABF7B" w14:textId="62C9D4C6" w:rsidR="002A1CED" w:rsidRPr="00917176" w:rsidRDefault="002A1CED" w:rsidP="002A1CED">
      <w:pPr>
        <w:pStyle w:val="ONUME"/>
      </w:pPr>
      <w:r>
        <w:t xml:space="preserve">Будапештский договор регулирует различные виды сообщений от Договаривающихся государств и межправительственных организаций промышленной собственности в адрес МБ.  Они могут касаться, например, получения статуса МОД или требований, предъявляемых к МОД при приеме материалов для депонирования, включая изменения в перечне пошлин и сборов МОД.  В дополнение к уведомлениям о присоединившихся членах/ратификации Будапештского договора и новым декларациям в соответствии со статьей 9(1)(a) МБ осуществляет уведомление и публикует соответствующие </w:t>
      </w:r>
      <w:hyperlink r:id="rId11" w:history="1">
        <w:r>
          <w:rPr>
            <w:rStyle w:val="Hyperlink"/>
          </w:rPr>
          <w:t>сообщения</w:t>
        </w:r>
      </w:hyperlink>
      <w:r>
        <w:t xml:space="preserve"> на веб-странице Будапештского договора.  </w:t>
      </w:r>
    </w:p>
    <w:p w14:paraId="23199891" w14:textId="78395E11" w:rsidR="002A1CED" w:rsidRPr="002A1CED" w:rsidRDefault="002A1CED" w:rsidP="002A1CED">
      <w:pPr>
        <w:pStyle w:val="ONUME"/>
      </w:pPr>
      <w:r>
        <w:t>С июля 2022 года МБ уведомил и опубликовал сообщения, полученные от Соединенного Королевства, Европейского патентного ведомства, Польши, Японии, Испании, Соединенных Штатов Америки, Финляндии и Португалии (в порядке публикации).</w:t>
      </w:r>
    </w:p>
    <w:p w14:paraId="1081AFC0" w14:textId="2DE5B551" w:rsidR="002A1CED" w:rsidRDefault="002A1CED" w:rsidP="0088518C">
      <w:pPr>
        <w:pStyle w:val="Heading3"/>
      </w:pPr>
      <w:r>
        <w:t>Обновление Руководства по депонированию микроорганизмов в рамках Будапештского договора</w:t>
      </w:r>
    </w:p>
    <w:p w14:paraId="69F609D9" w14:textId="77777777" w:rsidR="0088518C" w:rsidRPr="0088518C" w:rsidRDefault="0088518C" w:rsidP="0088518C"/>
    <w:p w14:paraId="5CABA960" w14:textId="07BD9796" w:rsidR="002A1CED" w:rsidRDefault="00C96DF5" w:rsidP="002A1CED">
      <w:pPr>
        <w:pStyle w:val="ONUME"/>
      </w:pPr>
      <w:hyperlink r:id="rId12" w:history="1">
        <w:r w:rsidR="00D321FD">
          <w:rPr>
            <w:rStyle w:val="Hyperlink"/>
          </w:rPr>
          <w:t>Руководство по депонированию микроорганизмов в рамках Будапештского договора</w:t>
        </w:r>
      </w:hyperlink>
      <w:r w:rsidR="00D321FD">
        <w:t xml:space="preserve"> содержит информацию об обязательных требованиях и процедурах для пользователей Будапештской системы при депонировании микроорганизмов и получении образцов депонированных микроорганизмов согласно Будапештскому договору.</w:t>
      </w:r>
    </w:p>
    <w:p w14:paraId="34D81978" w14:textId="47D50E0A" w:rsidR="002A1CED" w:rsidRPr="009551C9" w:rsidRDefault="002A1CED" w:rsidP="002A1CED">
      <w:pPr>
        <w:pStyle w:val="ONUME"/>
      </w:pPr>
      <w:r>
        <w:t>Помимо общего описания Будапештского договора и общих требований к депонированию и предоставлению образцов, в разделе D Руководства представлены технические и административные требования каждого МОД при приеме микроорганизмов для депонирования и выдаче образцов депонированных микроорганизмов (например, виды принятых микроорганизмов, форма и количество, в котором должны быть получены микроорганизмы, перечень пошлин и сборов и т. д.).</w:t>
      </w:r>
    </w:p>
    <w:p w14:paraId="4E7B763F" w14:textId="6BB9DA19" w:rsidR="002A1CED" w:rsidRPr="009551C9" w:rsidRDefault="002A1CED" w:rsidP="002A1CED">
      <w:pPr>
        <w:pStyle w:val="ONUME"/>
      </w:pPr>
      <w:r>
        <w:t xml:space="preserve">Раздел D регулярно обновляется на основе информации, получаемой от Договаривающихся государств или МОД (в зависимости от обстоятельств).  В 2024 году была обновлена информация по 16 МОД.  </w:t>
      </w:r>
    </w:p>
    <w:p w14:paraId="42307448" w14:textId="60285D08" w:rsidR="002A1CED" w:rsidRPr="002A1CED" w:rsidRDefault="002A1CED" w:rsidP="002A1CED">
      <w:pPr>
        <w:pStyle w:val="ONUME"/>
      </w:pPr>
      <w:r>
        <w:t xml:space="preserve">В разделе E данного Руководства содержится информация о требованиях ведомств интеллектуальной собственности (ИС) и региональных патентных организаций в отношении депонирования микроорганизмов и предоставления их образцов в соответствии с Будапештским договором (например, когда должно производиться депонирование, на каких условиях можно получить образец депонированного микроорганизма, используемого в патентной заявке).  МБ регулярно обращается к </w:t>
      </w:r>
      <w:r>
        <w:lastRenderedPageBreak/>
        <w:t>Договаривающимся государствам с просьбой предоставить или обновить информацию об их соответствующих требованиях.</w:t>
      </w:r>
    </w:p>
    <w:p w14:paraId="6D06558F" w14:textId="2E6EE268" w:rsidR="00E76BC2" w:rsidRPr="00AA120F" w:rsidRDefault="002A1CED" w:rsidP="00E62C7A">
      <w:pPr>
        <w:pStyle w:val="ONUME"/>
        <w:rPr>
          <w:bCs/>
          <w:szCs w:val="26"/>
          <w:u w:val="single"/>
        </w:rPr>
      </w:pPr>
      <w:r>
        <w:t xml:space="preserve">В 2024 году МБ обновило раздел E на основе информации, полученной от АОИС, Беларуси, Болгарии, Венгрии, ЕПВ, Исландии, Испании, Латвии, Перу, Польши, Республики Молдова, Сербии, Сингапура, Словении, Соединенного Королевства, </w:t>
      </w:r>
      <w:bookmarkStart w:id="6" w:name="_Hlk163485267"/>
      <w:r>
        <w:t>Турции</w:t>
      </w:r>
      <w:bookmarkEnd w:id="6"/>
      <w:r>
        <w:t>, Чешской Республики, Чили.</w:t>
      </w:r>
    </w:p>
    <w:p w14:paraId="28A9B6F4" w14:textId="26BE4914" w:rsidR="002A1CED" w:rsidRDefault="002A1CED" w:rsidP="0088518C">
      <w:pPr>
        <w:pStyle w:val="Heading3"/>
      </w:pPr>
      <w:r>
        <w:t>Статистика</w:t>
      </w:r>
    </w:p>
    <w:p w14:paraId="6B13A449" w14:textId="77777777" w:rsidR="0088518C" w:rsidRPr="0088518C" w:rsidRDefault="0088518C" w:rsidP="0088518C"/>
    <w:p w14:paraId="07DA7075" w14:textId="65B5DB7D" w:rsidR="002A1CED" w:rsidRDefault="002A1CED" w:rsidP="002A1CED">
      <w:pPr>
        <w:pStyle w:val="ONUME"/>
      </w:pPr>
      <w:r>
        <w:t xml:space="preserve">МБ собирает и публикует ежегодные статистические данные о </w:t>
      </w:r>
      <w:hyperlink r:id="rId13" w:history="1">
        <w:r>
          <w:rPr>
            <w:rStyle w:val="Hyperlink"/>
          </w:rPr>
          <w:t>числе депонированных микроорганизмов и числе  образцов депонированных микроорганизмов, представленных</w:t>
        </w:r>
      </w:hyperlink>
      <w:r>
        <w:t xml:space="preserve"> в соответствии с Будапештским договором, на основе получаемых от МОД сведений.  На рисунке 1 ниже показано, что в 2022 году в МОД было депонировано в общей сложности 9808 микроорганизмов.  Это на 12% микроорганизмов больше, чем в 2021 году.  Число депонированных микроорганизмов неуклонно растет с 2002 года (заметным исключением стал 2020 год), удвоившись за последние 10 лет.  На рисунке 2 представлено распределение микроорганизмов, депонированных в 2022 году, в сортировке по странам местонахождения МОД.</w:t>
      </w:r>
    </w:p>
    <w:p w14:paraId="1A8AEB5B" w14:textId="190A74F1" w:rsidR="002A1CED" w:rsidRDefault="004A1CFA" w:rsidP="002A1CED">
      <w:pPr>
        <w:pStyle w:val="ONUME"/>
        <w:numPr>
          <w:ilvl w:val="0"/>
          <w:numId w:val="0"/>
        </w:numPr>
        <w:rPr>
          <w:b/>
          <w:bCs/>
        </w:rPr>
      </w:pPr>
      <w:r>
        <w:rPr>
          <w:b/>
        </w:rPr>
        <w:t>Рисунок 1</w:t>
      </w:r>
    </w:p>
    <w:p w14:paraId="48DD1834" w14:textId="2FB029EB" w:rsidR="002A1CED" w:rsidRDefault="002A1CED" w:rsidP="002A1CED">
      <w:pPr>
        <w:pStyle w:val="ONUME"/>
        <w:numPr>
          <w:ilvl w:val="0"/>
          <w:numId w:val="0"/>
        </w:num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444E4D4" wp14:editId="7FFC6B44">
            <wp:extent cx="4865298" cy="2743200"/>
            <wp:effectExtent l="0" t="0" r="12065" b="0"/>
            <wp:docPr id="6" name="Chart 6" descr="Общее число депонированных микроорганизмов (2012–2022 годы)&#10;">
              <a:extLst xmlns:a="http://schemas.openxmlformats.org/drawingml/2006/main">
                <a:ext uri="{FF2B5EF4-FFF2-40B4-BE49-F238E27FC236}">
                  <a16:creationId xmlns:a16="http://schemas.microsoft.com/office/drawing/2014/main" id="{FAF58AE1-B6A4-8C39-9173-FFA72EDC39E9}"/>
                </a:ext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E7D3111" w14:textId="6EF077A3" w:rsidR="00AA120F" w:rsidRDefault="00AA120F">
      <w:pPr>
        <w:rPr>
          <w:b/>
          <w:bCs/>
        </w:rPr>
      </w:pPr>
      <w:r>
        <w:rPr>
          <w:b/>
          <w:bCs/>
        </w:rPr>
        <w:br w:type="page"/>
      </w:r>
    </w:p>
    <w:p w14:paraId="395320C5" w14:textId="6C655CB2" w:rsidR="002A1CED" w:rsidRDefault="004A1CFA" w:rsidP="002A1CED">
      <w:pPr>
        <w:rPr>
          <w:b/>
          <w:bCs/>
        </w:rPr>
      </w:pPr>
      <w:r>
        <w:rPr>
          <w:b/>
        </w:rPr>
        <w:lastRenderedPageBreak/>
        <w:t>Рисунок 2</w:t>
      </w:r>
    </w:p>
    <w:p w14:paraId="5E36C8AC" w14:textId="77777777" w:rsidR="00C53FEF" w:rsidRDefault="00C53FEF" w:rsidP="002A1CED">
      <w:pPr>
        <w:rPr>
          <w:b/>
          <w:bCs/>
        </w:rPr>
      </w:pPr>
    </w:p>
    <w:p w14:paraId="2087C893" w14:textId="5133069C" w:rsidR="002A1CED" w:rsidRDefault="001B0DC7" w:rsidP="00C53FEF">
      <w:pPr>
        <w:jc w:val="center"/>
      </w:pPr>
      <w:r>
        <w:rPr>
          <w:noProof/>
        </w:rPr>
        <w:drawing>
          <wp:inline distT="0" distB="0" distL="0" distR="0" wp14:anchorId="35BB4171" wp14:editId="2C704FB4">
            <wp:extent cx="5048250" cy="3295650"/>
            <wp:effectExtent l="0" t="0" r="0" b="0"/>
            <wp:docPr id="1" name="Chart 1" descr="На этой диаграмме показано распределение по странам микроорганизмов, депонированных в 2022 году.&#10;">
              <a:extLst xmlns:a="http://schemas.openxmlformats.org/drawingml/2006/main">
                <a:ext uri="{FF2B5EF4-FFF2-40B4-BE49-F238E27FC236}">
                  <a16:creationId xmlns:a16="http://schemas.microsoft.com/office/drawing/2014/main" id="{F48E8FF0-5C2D-151C-415A-BD02299D74C4}"/>
                </a:ext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B2A678B" w14:textId="77777777" w:rsidR="000B3B06" w:rsidRDefault="000B3B06" w:rsidP="00C53FEF">
      <w:pPr>
        <w:jc w:val="center"/>
      </w:pPr>
    </w:p>
    <w:p w14:paraId="1C4FDD56" w14:textId="3D6ABCBC" w:rsidR="002A1CED" w:rsidRDefault="002A1CED" w:rsidP="002A1CED">
      <w:pPr>
        <w:pStyle w:val="ONUME"/>
      </w:pPr>
      <w:r>
        <w:t>Что касается образцов депонированных микроорганизмов, выданных МОД, то в 2022 году в общей сложности был предоставлен 1751 образец (</w:t>
      </w:r>
      <w:r w:rsidR="0020464F">
        <w:t>рисунок</w:t>
      </w:r>
      <w:r>
        <w:t xml:space="preserve"> 3).  </w:t>
      </w:r>
    </w:p>
    <w:p w14:paraId="65B12658" w14:textId="07A21439" w:rsidR="002A1CED" w:rsidRDefault="004A1CFA" w:rsidP="002A1CED">
      <w:pPr>
        <w:pStyle w:val="ONUME"/>
        <w:numPr>
          <w:ilvl w:val="0"/>
          <w:numId w:val="0"/>
        </w:numPr>
        <w:rPr>
          <w:b/>
          <w:bCs/>
        </w:rPr>
      </w:pPr>
      <w:r>
        <w:rPr>
          <w:b/>
        </w:rPr>
        <w:t>Рисунок 3</w:t>
      </w:r>
    </w:p>
    <w:p w14:paraId="3371A194" w14:textId="1B1DF0D8" w:rsidR="002A1CED" w:rsidRDefault="002A1CED" w:rsidP="002A1CED">
      <w:pPr>
        <w:pStyle w:val="ONUME"/>
        <w:numPr>
          <w:ilvl w:val="0"/>
          <w:numId w:val="0"/>
        </w:num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6AD5127" wp14:editId="0015CC2C">
            <wp:extent cx="4572000" cy="2743200"/>
            <wp:effectExtent l="0" t="0" r="0" b="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9F85BAD0-D3F2-DF85-A7B3-A2FA1561E527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E18B73A" w14:textId="77777777" w:rsidR="002A1CED" w:rsidRDefault="002A1CED" w:rsidP="002A1CED">
      <w:pPr>
        <w:rPr>
          <w:b/>
          <w:bCs/>
        </w:rPr>
      </w:pPr>
    </w:p>
    <w:p w14:paraId="6C6EFD04" w14:textId="13757A71" w:rsidR="002A1CED" w:rsidRDefault="008D2667" w:rsidP="002A1CED">
      <w:pPr>
        <w:pStyle w:val="ONUME"/>
      </w:pPr>
      <w:r>
        <w:t xml:space="preserve">В таблице 3 указано распределение числа предоставленных образцов по типам сторон, запросивших образцы депонированных материалов в рамках Будапештского договора.  Подавляющее большинство образцов депонированных микроорганизмов выдаются МОД депозитору или стороне, уполномоченной депозитором в соответствии с правилом 11.2 Инструкции.  Общее число образцов, предоставленных ведомствам ИС согласно правилу 11.1, было крайне низким: меньше десяти в год или в целом равнялось нулю в некоторые годы.  Однако в 2021 году их число резко возросло — в общей </w:t>
      </w:r>
      <w:r>
        <w:lastRenderedPageBreak/>
        <w:t xml:space="preserve">сложности ведомствам ИС было выдано 100 образцов.  В 2022 году данная тенденция продолжилась: ведомствам ИС было предоставлено 87 образцов. </w:t>
      </w:r>
    </w:p>
    <w:p w14:paraId="2F32AE53" w14:textId="654845F1" w:rsidR="002A1CED" w:rsidRDefault="002A1CED" w:rsidP="002A1CED">
      <w:pPr>
        <w:pStyle w:val="ONUME"/>
      </w:pPr>
      <w:r>
        <w:t xml:space="preserve">Что касается общего числа образцов, выданных имеющим на это право сторонам согласно правилу 11.3, то оно неуклонно снижалось: с 467 образцов в 2017 году до 246 образцов в 2021 году.  За пятилетний период данный показатель снизился почти на 50%.  В 2022 году число предоставленных образцов немного увеличилось до 287. </w:t>
      </w:r>
    </w:p>
    <w:p w14:paraId="04B847AF" w14:textId="2C4F2688" w:rsidR="002A1CED" w:rsidRPr="002A1CED" w:rsidRDefault="002A1CED" w:rsidP="00B11EDA">
      <w:pPr>
        <w:pStyle w:val="ONUME"/>
        <w:numPr>
          <w:ilvl w:val="0"/>
          <w:numId w:val="0"/>
        </w:numPr>
        <w:jc w:val="center"/>
      </w:pPr>
      <w:r>
        <w:t>Таблица 3: Общее число выданных МОД образцов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24"/>
        <w:gridCol w:w="1003"/>
        <w:gridCol w:w="1004"/>
        <w:gridCol w:w="1004"/>
        <w:gridCol w:w="1004"/>
        <w:gridCol w:w="1004"/>
        <w:gridCol w:w="1002"/>
      </w:tblGrid>
      <w:tr w:rsidR="002A1CED" w:rsidRPr="002A1CED" w14:paraId="65150B9B" w14:textId="77777777" w:rsidTr="00A72DFE">
        <w:tc>
          <w:tcPr>
            <w:tcW w:w="1779" w:type="pct"/>
          </w:tcPr>
          <w:p w14:paraId="5F0A599F" w14:textId="77777777" w:rsidR="002A1CED" w:rsidRPr="002A1CED" w:rsidRDefault="002A1CED" w:rsidP="002A1CED"/>
        </w:tc>
        <w:tc>
          <w:tcPr>
            <w:tcW w:w="537" w:type="pct"/>
          </w:tcPr>
          <w:p w14:paraId="2B1CFEEE" w14:textId="0E8C6737" w:rsidR="002A1CED" w:rsidRPr="002A1CED" w:rsidRDefault="002A1CED" w:rsidP="00B11EDA">
            <w:pPr>
              <w:jc w:val="center"/>
            </w:pPr>
            <w:r>
              <w:t>2017</w:t>
            </w:r>
            <w:r w:rsidR="00C53FEF">
              <w:rPr>
                <w:rStyle w:val="FootnoteReference"/>
              </w:rPr>
              <w:footnoteReference w:id="8"/>
            </w:r>
          </w:p>
        </w:tc>
        <w:tc>
          <w:tcPr>
            <w:tcW w:w="537" w:type="pct"/>
          </w:tcPr>
          <w:p w14:paraId="126CC5F5" w14:textId="77777777" w:rsidR="002A1CED" w:rsidRPr="002A1CED" w:rsidRDefault="002A1CED" w:rsidP="00B11EDA">
            <w:pPr>
              <w:jc w:val="center"/>
            </w:pPr>
            <w:r>
              <w:t>2018</w:t>
            </w:r>
          </w:p>
        </w:tc>
        <w:tc>
          <w:tcPr>
            <w:tcW w:w="537" w:type="pct"/>
          </w:tcPr>
          <w:p w14:paraId="71F30525" w14:textId="77777777" w:rsidR="002A1CED" w:rsidRPr="002A1CED" w:rsidRDefault="002A1CED" w:rsidP="00B11EDA">
            <w:pPr>
              <w:jc w:val="center"/>
            </w:pPr>
            <w:r>
              <w:t>2019</w:t>
            </w:r>
          </w:p>
        </w:tc>
        <w:tc>
          <w:tcPr>
            <w:tcW w:w="537" w:type="pct"/>
          </w:tcPr>
          <w:p w14:paraId="13193EAD" w14:textId="77777777" w:rsidR="002A1CED" w:rsidRPr="002A1CED" w:rsidRDefault="002A1CED" w:rsidP="00B11EDA">
            <w:pPr>
              <w:jc w:val="center"/>
            </w:pPr>
            <w:r>
              <w:t>2020</w:t>
            </w:r>
          </w:p>
        </w:tc>
        <w:tc>
          <w:tcPr>
            <w:tcW w:w="537" w:type="pct"/>
          </w:tcPr>
          <w:p w14:paraId="4A862B6B" w14:textId="77777777" w:rsidR="002A1CED" w:rsidRPr="002A1CED" w:rsidRDefault="002A1CED" w:rsidP="00B11EDA">
            <w:pPr>
              <w:jc w:val="center"/>
            </w:pPr>
            <w:r>
              <w:t>2021</w:t>
            </w:r>
          </w:p>
        </w:tc>
        <w:tc>
          <w:tcPr>
            <w:tcW w:w="537" w:type="pct"/>
          </w:tcPr>
          <w:p w14:paraId="183C8708" w14:textId="77777777" w:rsidR="002A1CED" w:rsidRPr="002A1CED" w:rsidRDefault="002A1CED" w:rsidP="00B11EDA">
            <w:pPr>
              <w:spacing w:after="120"/>
              <w:jc w:val="center"/>
            </w:pPr>
            <w:r>
              <w:t>2022</w:t>
            </w:r>
          </w:p>
        </w:tc>
      </w:tr>
      <w:tr w:rsidR="002A1CED" w:rsidRPr="002A1CED" w14:paraId="12FC8A93" w14:textId="77777777" w:rsidTr="00A72DFE">
        <w:tc>
          <w:tcPr>
            <w:tcW w:w="1779" w:type="pct"/>
          </w:tcPr>
          <w:p w14:paraId="736B2102" w14:textId="121C5299" w:rsidR="002A1CED" w:rsidRPr="002A1CED" w:rsidRDefault="002A1CED" w:rsidP="002A1CED">
            <w:r>
              <w:t>Образцы, выданные ведомствам промышленной собственности (правило 11.1)</w:t>
            </w:r>
          </w:p>
        </w:tc>
        <w:tc>
          <w:tcPr>
            <w:tcW w:w="537" w:type="pct"/>
          </w:tcPr>
          <w:p w14:paraId="6FDE328C" w14:textId="77777777" w:rsidR="002A1CED" w:rsidRPr="002A1CED" w:rsidRDefault="002A1CED" w:rsidP="00B11EDA">
            <w:pPr>
              <w:jc w:val="center"/>
            </w:pPr>
            <w:r>
              <w:t>5</w:t>
            </w:r>
          </w:p>
        </w:tc>
        <w:tc>
          <w:tcPr>
            <w:tcW w:w="537" w:type="pct"/>
          </w:tcPr>
          <w:p w14:paraId="3A46298F" w14:textId="77777777" w:rsidR="002A1CED" w:rsidRPr="002A1CED" w:rsidRDefault="002A1CED" w:rsidP="00B11EDA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14:paraId="30B520CD" w14:textId="77777777" w:rsidR="002A1CED" w:rsidRPr="002A1CED" w:rsidRDefault="002A1CED" w:rsidP="00B11EDA">
            <w:pPr>
              <w:jc w:val="center"/>
            </w:pPr>
            <w:r>
              <w:t>3</w:t>
            </w:r>
          </w:p>
        </w:tc>
        <w:tc>
          <w:tcPr>
            <w:tcW w:w="537" w:type="pct"/>
          </w:tcPr>
          <w:p w14:paraId="2FB827C0" w14:textId="77777777" w:rsidR="002A1CED" w:rsidRPr="002A1CED" w:rsidRDefault="002A1CED" w:rsidP="00B11EDA">
            <w:pPr>
              <w:jc w:val="center"/>
            </w:pPr>
            <w:r>
              <w:t>8</w:t>
            </w:r>
          </w:p>
        </w:tc>
        <w:tc>
          <w:tcPr>
            <w:tcW w:w="537" w:type="pct"/>
          </w:tcPr>
          <w:p w14:paraId="46D9AAF8" w14:textId="77777777" w:rsidR="002A1CED" w:rsidRPr="002A1CED" w:rsidRDefault="002A1CED" w:rsidP="00B11EDA">
            <w:pPr>
              <w:jc w:val="center"/>
            </w:pPr>
            <w:r>
              <w:t>100</w:t>
            </w:r>
          </w:p>
        </w:tc>
        <w:tc>
          <w:tcPr>
            <w:tcW w:w="537" w:type="pct"/>
          </w:tcPr>
          <w:p w14:paraId="2780CB1B" w14:textId="77777777" w:rsidR="002A1CED" w:rsidRPr="002A1CED" w:rsidRDefault="002A1CED" w:rsidP="00B11EDA">
            <w:pPr>
              <w:jc w:val="center"/>
            </w:pPr>
            <w:r>
              <w:t>87</w:t>
            </w:r>
          </w:p>
        </w:tc>
      </w:tr>
      <w:tr w:rsidR="002A1CED" w:rsidRPr="002A1CED" w14:paraId="124F1975" w14:textId="77777777" w:rsidTr="00A72DFE">
        <w:tc>
          <w:tcPr>
            <w:tcW w:w="1779" w:type="pct"/>
          </w:tcPr>
          <w:p w14:paraId="7D5CF2FA" w14:textId="7A01D846" w:rsidR="002A1CED" w:rsidRPr="002A1CED" w:rsidRDefault="002A1CED" w:rsidP="002A1CED">
            <w:r>
              <w:t>Образцы, выданные депозитору или уполномоченной стороне (правило 11.2)</w:t>
            </w:r>
          </w:p>
        </w:tc>
        <w:tc>
          <w:tcPr>
            <w:tcW w:w="537" w:type="pct"/>
          </w:tcPr>
          <w:p w14:paraId="71E26F42" w14:textId="77777777" w:rsidR="002A1CED" w:rsidRPr="002A1CED" w:rsidRDefault="002A1CED" w:rsidP="00B11EDA">
            <w:pPr>
              <w:jc w:val="center"/>
            </w:pPr>
            <w:r>
              <w:t>1 243</w:t>
            </w:r>
          </w:p>
        </w:tc>
        <w:tc>
          <w:tcPr>
            <w:tcW w:w="537" w:type="pct"/>
          </w:tcPr>
          <w:p w14:paraId="16D31C5B" w14:textId="77777777" w:rsidR="002A1CED" w:rsidRPr="002A1CED" w:rsidRDefault="002A1CED" w:rsidP="00B11EDA">
            <w:pPr>
              <w:jc w:val="center"/>
            </w:pPr>
            <w:r>
              <w:t>1 275</w:t>
            </w:r>
          </w:p>
        </w:tc>
        <w:tc>
          <w:tcPr>
            <w:tcW w:w="537" w:type="pct"/>
          </w:tcPr>
          <w:p w14:paraId="3BF39FC2" w14:textId="77777777" w:rsidR="002A1CED" w:rsidRPr="002A1CED" w:rsidRDefault="002A1CED" w:rsidP="00B11EDA">
            <w:pPr>
              <w:jc w:val="center"/>
            </w:pPr>
            <w:r>
              <w:t>1 174</w:t>
            </w:r>
          </w:p>
        </w:tc>
        <w:tc>
          <w:tcPr>
            <w:tcW w:w="537" w:type="pct"/>
          </w:tcPr>
          <w:p w14:paraId="0C44A102" w14:textId="77777777" w:rsidR="002A1CED" w:rsidRPr="002A1CED" w:rsidRDefault="002A1CED" w:rsidP="00B11EDA">
            <w:pPr>
              <w:jc w:val="center"/>
            </w:pPr>
            <w:r>
              <w:t>1 619</w:t>
            </w:r>
          </w:p>
        </w:tc>
        <w:tc>
          <w:tcPr>
            <w:tcW w:w="537" w:type="pct"/>
          </w:tcPr>
          <w:p w14:paraId="3FE180CD" w14:textId="77777777" w:rsidR="002A1CED" w:rsidRPr="002A1CED" w:rsidRDefault="002A1CED" w:rsidP="00B11EDA">
            <w:pPr>
              <w:jc w:val="center"/>
            </w:pPr>
            <w:r>
              <w:t>1 354</w:t>
            </w:r>
          </w:p>
        </w:tc>
        <w:tc>
          <w:tcPr>
            <w:tcW w:w="537" w:type="pct"/>
          </w:tcPr>
          <w:p w14:paraId="4916FF5B" w14:textId="77777777" w:rsidR="002A1CED" w:rsidRPr="002A1CED" w:rsidRDefault="002A1CED" w:rsidP="00B11EDA">
            <w:pPr>
              <w:jc w:val="center"/>
            </w:pPr>
            <w:r>
              <w:t>1 377</w:t>
            </w:r>
          </w:p>
        </w:tc>
      </w:tr>
      <w:tr w:rsidR="002A1CED" w:rsidRPr="002A1CED" w14:paraId="457794C5" w14:textId="77777777" w:rsidTr="00A72DFE">
        <w:tc>
          <w:tcPr>
            <w:tcW w:w="1779" w:type="pct"/>
          </w:tcPr>
          <w:p w14:paraId="7F905758" w14:textId="77A286B6" w:rsidR="002A1CED" w:rsidRPr="002A1CED" w:rsidRDefault="002A1CED" w:rsidP="002A1CED">
            <w:r>
              <w:t>Образцы, выданные имеющим на это право сторонам (правило 11.3)</w:t>
            </w:r>
          </w:p>
        </w:tc>
        <w:tc>
          <w:tcPr>
            <w:tcW w:w="537" w:type="pct"/>
          </w:tcPr>
          <w:p w14:paraId="5F73D3DC" w14:textId="77777777" w:rsidR="002A1CED" w:rsidRPr="002A1CED" w:rsidRDefault="002A1CED" w:rsidP="00B11EDA">
            <w:pPr>
              <w:jc w:val="center"/>
            </w:pPr>
            <w:r>
              <w:t>467</w:t>
            </w:r>
          </w:p>
        </w:tc>
        <w:tc>
          <w:tcPr>
            <w:tcW w:w="537" w:type="pct"/>
          </w:tcPr>
          <w:p w14:paraId="799399BA" w14:textId="77777777" w:rsidR="002A1CED" w:rsidRPr="002A1CED" w:rsidRDefault="002A1CED" w:rsidP="00B11EDA">
            <w:pPr>
              <w:jc w:val="center"/>
            </w:pPr>
            <w:r>
              <w:t>413</w:t>
            </w:r>
          </w:p>
        </w:tc>
        <w:tc>
          <w:tcPr>
            <w:tcW w:w="537" w:type="pct"/>
          </w:tcPr>
          <w:p w14:paraId="2E7D699C" w14:textId="77777777" w:rsidR="002A1CED" w:rsidRPr="002A1CED" w:rsidRDefault="002A1CED" w:rsidP="00B11EDA">
            <w:pPr>
              <w:jc w:val="center"/>
            </w:pPr>
            <w:r>
              <w:t>307</w:t>
            </w:r>
          </w:p>
        </w:tc>
        <w:tc>
          <w:tcPr>
            <w:tcW w:w="537" w:type="pct"/>
          </w:tcPr>
          <w:p w14:paraId="1C495506" w14:textId="77777777" w:rsidR="002A1CED" w:rsidRPr="002A1CED" w:rsidRDefault="002A1CED" w:rsidP="00B11EDA">
            <w:pPr>
              <w:jc w:val="center"/>
            </w:pPr>
            <w:r>
              <w:t>259</w:t>
            </w:r>
          </w:p>
        </w:tc>
        <w:tc>
          <w:tcPr>
            <w:tcW w:w="537" w:type="pct"/>
          </w:tcPr>
          <w:p w14:paraId="444F885E" w14:textId="77777777" w:rsidR="002A1CED" w:rsidRPr="002A1CED" w:rsidRDefault="002A1CED" w:rsidP="00B11EDA">
            <w:pPr>
              <w:jc w:val="center"/>
            </w:pPr>
            <w:r>
              <w:t>246</w:t>
            </w:r>
          </w:p>
        </w:tc>
        <w:tc>
          <w:tcPr>
            <w:tcW w:w="537" w:type="pct"/>
          </w:tcPr>
          <w:p w14:paraId="3A2F590A" w14:textId="77777777" w:rsidR="002A1CED" w:rsidRPr="002A1CED" w:rsidRDefault="002A1CED" w:rsidP="00B11EDA">
            <w:pPr>
              <w:jc w:val="center"/>
            </w:pPr>
            <w:r>
              <w:t>287</w:t>
            </w:r>
          </w:p>
        </w:tc>
      </w:tr>
    </w:tbl>
    <w:p w14:paraId="4F299FFF" w14:textId="77777777" w:rsidR="002A1CED" w:rsidRDefault="002A1CED" w:rsidP="002A1CED"/>
    <w:p w14:paraId="63B16124" w14:textId="20B02C0F" w:rsidR="002A1CED" w:rsidRDefault="002A1CED" w:rsidP="0088518C">
      <w:pPr>
        <w:pStyle w:val="Heading3"/>
      </w:pPr>
      <w:r>
        <w:t>Совещание государств-членов и МОД в рамках Будапештского договора</w:t>
      </w:r>
    </w:p>
    <w:p w14:paraId="65946880" w14:textId="77777777" w:rsidR="002A1CED" w:rsidRDefault="002A1CED" w:rsidP="002A1CED">
      <w:pPr>
        <w:rPr>
          <w:u w:val="single"/>
        </w:rPr>
      </w:pPr>
    </w:p>
    <w:p w14:paraId="25AF97F0" w14:textId="7E24CC5A" w:rsidR="002A1CED" w:rsidRDefault="002A1CED" w:rsidP="002A1CED">
      <w:pPr>
        <w:pStyle w:val="ONUME"/>
      </w:pPr>
      <w:r>
        <w:t>Одна из основных особенностей Будапештской системы заключается в том, что для целей своей патентной процедуры Договаривающиеся государства признают действие депонирования микроорганизма в любом МОД.  Следовательно, хотя МОД расположены только в некоторых из Договаривающихся государств, услуги, оказываемые каким-либо МОД, могут потенциально охватывать ведомства ИС любых государств-членов.  Это означает, что сотрудничество между ведомствами ИС и МОД осуществляется как на национальном, так и на международном уровне.</w:t>
      </w:r>
    </w:p>
    <w:p w14:paraId="698A8632" w14:textId="221D4102" w:rsidR="00163311" w:rsidRDefault="00DE018B" w:rsidP="002A1CED">
      <w:pPr>
        <w:pStyle w:val="ONUME"/>
      </w:pPr>
      <w:r>
        <w:t>Как показано в таблицах 1 и 2, с момента вступления в силу Будапештского договора в 1980 году число Договаривающихся государств и МОД неуклонно растет.  Для того чтобы предоставить государствам-членам и МОД возможность обменяться на международном уровне информацией и опытом в области реализации Договора, МБ организовало и провело 13 и 14 ноября 2023 года в Женеве Совещание государств-членов и МОД</w:t>
      </w:r>
      <w:bookmarkStart w:id="7" w:name="_Hlk163230670"/>
      <w:r>
        <w:t xml:space="preserve"> в рамках Будапештского договора.</w:t>
      </w:r>
    </w:p>
    <w:p w14:paraId="593EF3CF" w14:textId="473F8209" w:rsidR="00163311" w:rsidRPr="00163311" w:rsidRDefault="00163311" w:rsidP="00163311">
      <w:pPr>
        <w:pStyle w:val="ONUME"/>
      </w:pPr>
      <w:r>
        <w:t xml:space="preserve"> Совещание посетили 92 участника из 36 государств-членов, двух межправительственных организаций промышленной собственности и 29 МОД. </w:t>
      </w:r>
    </w:p>
    <w:bookmarkEnd w:id="7"/>
    <w:p w14:paraId="69813A9C" w14:textId="5D82E995" w:rsidR="00DC064C" w:rsidRPr="00774A9B" w:rsidRDefault="00DC064C" w:rsidP="003220C3">
      <w:pPr>
        <w:pStyle w:val="ONUME"/>
      </w:pPr>
      <w:r>
        <w:t xml:space="preserve">Целью Совещания было проведение обсуждений между государствами-членами и МОД в очном формате по различным темам, касающимся депонирования микроорганизмов в связи с патентной процедурой.  Это была встреча ad hoc, не предназначенная для принятия каких-либо решений или вынесения рекомендаций.  Совещание стало для участников возможностью плодотворно обменяться мнениями в неформальной обстановке.  </w:t>
      </w:r>
    </w:p>
    <w:p w14:paraId="7D5155A2" w14:textId="12C29FC4" w:rsidR="000A1B41" w:rsidRDefault="000A1B41" w:rsidP="000A1B41">
      <w:pPr>
        <w:pStyle w:val="ONUME"/>
      </w:pPr>
      <w:r>
        <w:lastRenderedPageBreak/>
        <w:t xml:space="preserve">Программа Совещания охватывала следующие темы: </w:t>
      </w:r>
    </w:p>
    <w:p w14:paraId="5FC9BEC2" w14:textId="0E3E4D54" w:rsidR="000A1B41" w:rsidRDefault="000A1B41" w:rsidP="00B20B0C">
      <w:pPr>
        <w:pStyle w:val="ONUME"/>
        <w:numPr>
          <w:ilvl w:val="0"/>
          <w:numId w:val="0"/>
        </w:numPr>
        <w:ind w:left="540"/>
      </w:pPr>
      <w:r>
        <w:t>Тема 1: «Информирование о последних изменениях в рамках Будапештской системы»;</w:t>
      </w:r>
    </w:p>
    <w:p w14:paraId="587B0A64" w14:textId="328E0ABA" w:rsidR="000A1B41" w:rsidRDefault="000A1B41" w:rsidP="00B20B0C">
      <w:pPr>
        <w:pStyle w:val="ONUME"/>
        <w:numPr>
          <w:ilvl w:val="0"/>
          <w:numId w:val="0"/>
        </w:numPr>
        <w:ind w:left="540"/>
      </w:pPr>
      <w:r>
        <w:t xml:space="preserve">Тема 2: «Депонирование биологического материала»; </w:t>
      </w:r>
    </w:p>
    <w:p w14:paraId="33B1251F" w14:textId="761584A1" w:rsidR="000A1B41" w:rsidRDefault="000A1B41" w:rsidP="00B20B0C">
      <w:pPr>
        <w:pStyle w:val="ONUME"/>
        <w:numPr>
          <w:ilvl w:val="0"/>
          <w:numId w:val="0"/>
        </w:numPr>
        <w:ind w:left="540"/>
      </w:pPr>
      <w:r>
        <w:t xml:space="preserve">Тема 3: «Выдача образцов депонированных биологических материалов»; </w:t>
      </w:r>
    </w:p>
    <w:p w14:paraId="3A9CCB61" w14:textId="3C391CE0" w:rsidR="000A1B41" w:rsidRDefault="000A1B41" w:rsidP="00B20B0C">
      <w:pPr>
        <w:pStyle w:val="ONUME"/>
        <w:numPr>
          <w:ilvl w:val="0"/>
          <w:numId w:val="0"/>
        </w:numPr>
        <w:ind w:left="540"/>
      </w:pPr>
      <w:r>
        <w:t>Тема 4: «Сотрудничество между МОД и ведомствами ИС»;</w:t>
      </w:r>
    </w:p>
    <w:p w14:paraId="4E73E4C5" w14:textId="6D0A38FC" w:rsidR="000A1B41" w:rsidRDefault="000A1B41" w:rsidP="00B20B0C">
      <w:pPr>
        <w:pStyle w:val="ONUME"/>
        <w:numPr>
          <w:ilvl w:val="0"/>
          <w:numId w:val="0"/>
        </w:numPr>
        <w:ind w:left="1440" w:hanging="900"/>
      </w:pPr>
      <w:r>
        <w:t>Тема 5: «Практика различных МОД в рамках Будапештского договора».  В рамках этой темы МОД представили свои наработки по: (a) обращению с депонированным биологическим материалом после окончания обязательного срока хранения, предусмотренного Будапештским договором; (b) Нагойскому протоколу; (c) другим вопросам;</w:t>
      </w:r>
    </w:p>
    <w:p w14:paraId="34AF6A89" w14:textId="52E813DF" w:rsidR="000A1B41" w:rsidRDefault="000A1B41" w:rsidP="00B20B0C">
      <w:pPr>
        <w:pStyle w:val="ONUME"/>
        <w:numPr>
          <w:ilvl w:val="0"/>
          <w:numId w:val="0"/>
        </w:numPr>
        <w:ind w:left="1440" w:hanging="900"/>
      </w:pPr>
      <w:r>
        <w:t>Тема 6: «Депонирование биологических материалов: технологические тенденции и новые методы работы в МОД»;</w:t>
      </w:r>
    </w:p>
    <w:p w14:paraId="39003712" w14:textId="07293522" w:rsidR="000A1B41" w:rsidRDefault="000A1B41" w:rsidP="00B20B0C">
      <w:pPr>
        <w:pStyle w:val="ONUME"/>
        <w:numPr>
          <w:ilvl w:val="0"/>
          <w:numId w:val="0"/>
        </w:numPr>
        <w:ind w:left="1440" w:hanging="900"/>
      </w:pPr>
      <w:r>
        <w:t>Тема 7: «Технологический прогресс в области биотехнологий: влияние на требование о достаточном для воспроизведения раскрытии и депонирование биологических материалов»;</w:t>
      </w:r>
    </w:p>
    <w:p w14:paraId="678215E0" w14:textId="46EDC7CE" w:rsidR="000A1B41" w:rsidRDefault="000A1B41" w:rsidP="00B20B0C">
      <w:pPr>
        <w:pStyle w:val="ONUME"/>
        <w:numPr>
          <w:ilvl w:val="0"/>
          <w:numId w:val="0"/>
        </w:numPr>
        <w:ind w:left="540"/>
      </w:pPr>
      <w:r>
        <w:t xml:space="preserve">Тема 8: «Будущее развитие Будапештской системы».  </w:t>
      </w:r>
    </w:p>
    <w:p w14:paraId="18F3BF24" w14:textId="14DBB36E" w:rsidR="007864D4" w:rsidRPr="006715BF" w:rsidRDefault="006715BF" w:rsidP="006715BF">
      <w:pPr>
        <w:pStyle w:val="ONUME"/>
        <w:rPr>
          <w:rFonts w:eastAsiaTheme="minorHAnsi"/>
          <w:shd w:val="clear" w:color="auto" w:fill="FFFFFF"/>
        </w:rPr>
      </w:pPr>
      <w:r>
        <w:rPr>
          <w:shd w:val="clear" w:color="auto" w:fill="FFFFFF"/>
        </w:rPr>
        <w:t>Для того чтобы способствовать всестороннему обсуждению каждой темы, доклады были представлены участниками, представляющими ведомства ИС и МОД, а также внешними экспертами, как это указано в программе</w:t>
      </w:r>
      <w:r>
        <w:t xml:space="preserve">.  Для содействия обсуждению по темам 3 и 5 МБ подготовило три справочных документа, касающихся обращения с микроорганизмами, депонированными в рамках Будапештского договора, после окончания срока хранения, выдачи образцов депонированного биологического материала, а также Нагойского протокола и Будапештского договора.  </w:t>
      </w:r>
      <w:hyperlink r:id="rId17" w:history="1">
        <w:r>
          <w:rPr>
            <w:rStyle w:val="Hyperlink"/>
          </w:rPr>
          <w:t>Все документы</w:t>
        </w:r>
      </w:hyperlink>
      <w:r>
        <w:t xml:space="preserve">, подготовленные МБ, включая Краткий отчет о ходе Совещания и доклады, доступны на веб-странице Совещания. </w:t>
      </w:r>
    </w:p>
    <w:p w14:paraId="2FBDC036" w14:textId="4596D92B" w:rsidR="007864D4" w:rsidRPr="007864D4" w:rsidRDefault="00EA77E7" w:rsidP="007864D4">
      <w:pPr>
        <w:pStyle w:val="ONUME"/>
      </w:pPr>
      <w:bookmarkStart w:id="8" w:name="_Hlk163230602"/>
      <w:r>
        <w:t>В рамках темы 8 участники также обсудили, есть ли в Будапештской системе области, в которых можно внедрить усовершенствования, а также то, как это можно осуществить.  В пункте 38 Краткого отчета</w:t>
      </w:r>
      <w:bookmarkEnd w:id="8"/>
      <w:r>
        <w:t xml:space="preserve"> приводятся основные выводы в рамках обсуждения по данной теме, а именно: </w:t>
      </w:r>
    </w:p>
    <w:p w14:paraId="27A7246F" w14:textId="759D5ED4" w:rsidR="007864D4" w:rsidRDefault="007864D4" w:rsidP="00B20B0C">
      <w:pPr>
        <w:pStyle w:val="ONUME"/>
        <w:numPr>
          <w:ilvl w:val="0"/>
          <w:numId w:val="10"/>
        </w:numPr>
        <w:ind w:left="1260" w:hanging="720"/>
      </w:pPr>
      <w:r>
        <w:t>необходимо улучшить коммуникацию между ведомствами ИС, МОД и МБ на национальном и международном уровнях, а также с депозиторами и заявителями на патенты;</w:t>
      </w:r>
    </w:p>
    <w:p w14:paraId="7213BDC4" w14:textId="04C096DF" w:rsidR="000A1B41" w:rsidRDefault="007864D4" w:rsidP="00B20B0C">
      <w:pPr>
        <w:pStyle w:val="ONUME"/>
        <w:numPr>
          <w:ilvl w:val="0"/>
          <w:numId w:val="10"/>
        </w:numPr>
        <w:ind w:left="1260" w:hanging="720"/>
      </w:pPr>
      <w:r>
        <w:t>ведомства ИС, МОД и МБ могут рассмотреть возможность создания дополнительных механизмов для обмена передовой практикой и опытом;</w:t>
      </w:r>
    </w:p>
    <w:p w14:paraId="5D465A06" w14:textId="6A8AF7C2" w:rsidR="007864D4" w:rsidRDefault="007864D4" w:rsidP="00B20B0C">
      <w:pPr>
        <w:pStyle w:val="ONUME"/>
        <w:numPr>
          <w:ilvl w:val="0"/>
          <w:numId w:val="10"/>
        </w:numPr>
        <w:ind w:left="1260" w:hanging="720"/>
      </w:pPr>
      <w:r>
        <w:t>МОД и ведомства ИС могут изучить новые способы обмена информацией и данными в целях поддержания деятельности организаций;</w:t>
      </w:r>
    </w:p>
    <w:p w14:paraId="6EF879BC" w14:textId="3799107B" w:rsidR="007864D4" w:rsidRDefault="006A37D4" w:rsidP="00B20B0C">
      <w:pPr>
        <w:pStyle w:val="ONUME"/>
        <w:numPr>
          <w:ilvl w:val="0"/>
          <w:numId w:val="10"/>
        </w:numPr>
        <w:ind w:left="1260" w:hanging="720"/>
      </w:pPr>
      <w:r>
        <w:t xml:space="preserve">Договаривающиеся государства Будапештского договора могут дать указания относительно того, как МОД должны обращаться с образцами депонированного биологического материала после окончания срока их хранения, предусмотренного Будапештским договором; </w:t>
      </w:r>
    </w:p>
    <w:p w14:paraId="1CE1F969" w14:textId="77777777" w:rsidR="007864D4" w:rsidRDefault="007864D4" w:rsidP="00B20B0C">
      <w:pPr>
        <w:pStyle w:val="ONUME"/>
        <w:numPr>
          <w:ilvl w:val="0"/>
          <w:numId w:val="10"/>
        </w:numPr>
        <w:ind w:left="1260" w:hanging="720"/>
      </w:pPr>
      <w:r>
        <w:lastRenderedPageBreak/>
        <w:t>необходимо следить за техническими достижениями, которые могут помочь МОД лучше сохранять и передавать депонированный биологический материал, включая новые виды материалов;</w:t>
      </w:r>
    </w:p>
    <w:p w14:paraId="765CB79F" w14:textId="3982AC78" w:rsidR="007864D4" w:rsidRDefault="007864D4" w:rsidP="00B20B0C">
      <w:pPr>
        <w:pStyle w:val="ONUME"/>
        <w:numPr>
          <w:ilvl w:val="0"/>
          <w:numId w:val="10"/>
        </w:numPr>
        <w:ind w:left="1260" w:hanging="720"/>
      </w:pPr>
      <w:r>
        <w:t>изучить возможность использования информации о секвенировании генома в дополнение к депонированию физических биологических материалов.</w:t>
      </w:r>
    </w:p>
    <w:p w14:paraId="0DA194C4" w14:textId="4F304C2E" w:rsidR="00172A2F" w:rsidRPr="009551C9" w:rsidRDefault="00E31143" w:rsidP="00275485">
      <w:pPr>
        <w:pStyle w:val="ONUME"/>
      </w:pPr>
      <w:r>
        <w:t xml:space="preserve">С целью содействовать коммуникации и сотрудничеству между ведомствами ИС и МОД, а также пользуясь возможностью ввиду получения просьбы об обновлении информации в разделе E Руководства (см. пункт 13), МБ предложил ведомствам ИС предоставить адреса электронной почты, которые могут быть использованы МОД для связи с ними.  На основе полученной информации раздел E Руководства был соответствующим образом обновлен.  МБ также изучает возможность повышения удобства поиска по опубликованным патентным документам, связанным с депонированным биологическим материалом, в PATENTSCOPE. </w:t>
      </w:r>
    </w:p>
    <w:p w14:paraId="5259E395" w14:textId="17A6C41D" w:rsidR="007864D4" w:rsidRPr="007864D4" w:rsidRDefault="007864D4" w:rsidP="004947AE">
      <w:pPr>
        <w:pStyle w:val="ONUME"/>
        <w:spacing w:after="720"/>
        <w:ind w:left="5533"/>
        <w:rPr>
          <w:i/>
          <w:iCs/>
        </w:rPr>
      </w:pPr>
      <w:r>
        <w:rPr>
          <w:i/>
        </w:rPr>
        <w:t>Ассамблее Будапештского союза предлагается принять к сведению «Отчет о функционировании Будапештской системы» (документ BP/A/41/1).</w:t>
      </w:r>
    </w:p>
    <w:p w14:paraId="5D7C9EF9" w14:textId="010F3696" w:rsidR="007864D4" w:rsidRDefault="007864D4" w:rsidP="007864D4">
      <w:pPr>
        <w:pStyle w:val="Endofdocument-Annex"/>
      </w:pPr>
      <w:r>
        <w:t>[Конец документа]</w:t>
      </w:r>
    </w:p>
    <w:p w14:paraId="70E05FA0" w14:textId="0AB2A100" w:rsidR="00BC309E" w:rsidRPr="00BC309E" w:rsidRDefault="00BC309E" w:rsidP="00B20B0C">
      <w:pPr>
        <w:tabs>
          <w:tab w:val="left" w:pos="4008"/>
        </w:tabs>
      </w:pPr>
      <w:bookmarkStart w:id="9" w:name="TITUS1HeaderEvenPages"/>
      <w:bookmarkEnd w:id="9"/>
    </w:p>
    <w:sectPr w:rsidR="00BC309E" w:rsidRPr="00BC309E" w:rsidSect="002A1CED">
      <w:headerReference w:type="default" r:id="rId1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05ABF" w14:textId="77777777" w:rsidR="00FD2A28" w:rsidRDefault="00FD2A28">
      <w:r>
        <w:separator/>
      </w:r>
    </w:p>
  </w:endnote>
  <w:endnote w:type="continuationSeparator" w:id="0">
    <w:p w14:paraId="4C9C8C9B" w14:textId="77777777" w:rsidR="00FD2A28" w:rsidRDefault="00FD2A28" w:rsidP="003B38C1">
      <w:r>
        <w:separator/>
      </w:r>
    </w:p>
    <w:p w14:paraId="2CCB056E" w14:textId="77777777" w:rsidR="00FD2A28" w:rsidRPr="00673791" w:rsidRDefault="00FD2A28" w:rsidP="003B38C1">
      <w:pPr>
        <w:spacing w:after="60"/>
        <w:rPr>
          <w:sz w:val="17"/>
          <w:lang w:val="en-US"/>
        </w:rPr>
      </w:pPr>
      <w:r w:rsidRPr="00673791">
        <w:rPr>
          <w:sz w:val="17"/>
          <w:lang w:val="en-US"/>
        </w:rPr>
        <w:t>[Endnote continued from previous page]</w:t>
      </w:r>
    </w:p>
  </w:endnote>
  <w:endnote w:type="continuationNotice" w:id="1">
    <w:p w14:paraId="14EEA1A9" w14:textId="77777777" w:rsidR="00FD2A28" w:rsidRPr="00673791" w:rsidRDefault="00FD2A28" w:rsidP="003B38C1">
      <w:pPr>
        <w:spacing w:before="60"/>
        <w:jc w:val="right"/>
        <w:rPr>
          <w:sz w:val="17"/>
          <w:szCs w:val="17"/>
          <w:lang w:val="en-US"/>
        </w:rPr>
      </w:pPr>
      <w:r w:rsidRPr="00673791">
        <w:rPr>
          <w:sz w:val="17"/>
          <w:szCs w:val="17"/>
          <w:lang w:val="en-US"/>
        </w:rPr>
        <w:t xml:space="preserve">[Endnote </w:t>
      </w:r>
      <w:proofErr w:type="gramStart"/>
      <w:r w:rsidRPr="00673791">
        <w:rPr>
          <w:sz w:val="17"/>
          <w:szCs w:val="17"/>
          <w:lang w:val="en-US"/>
        </w:rPr>
        <w:t>continued on</w:t>
      </w:r>
      <w:proofErr w:type="gramEnd"/>
      <w:r w:rsidRPr="00673791">
        <w:rPr>
          <w:sz w:val="17"/>
          <w:szCs w:val="17"/>
          <w:lang w:val="en-US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FB02" w14:textId="77777777" w:rsidR="00FD2A28" w:rsidRDefault="00FD2A28">
      <w:r>
        <w:separator/>
      </w:r>
    </w:p>
  </w:footnote>
  <w:footnote w:type="continuationSeparator" w:id="0">
    <w:p w14:paraId="33927795" w14:textId="77777777" w:rsidR="00FD2A28" w:rsidRDefault="00FD2A28" w:rsidP="008B60B2">
      <w:r>
        <w:separator/>
      </w:r>
    </w:p>
    <w:p w14:paraId="15025B7C" w14:textId="77777777" w:rsidR="00FD2A28" w:rsidRPr="00673791" w:rsidRDefault="00FD2A28" w:rsidP="008B60B2">
      <w:pPr>
        <w:spacing w:after="60"/>
        <w:rPr>
          <w:sz w:val="17"/>
          <w:szCs w:val="17"/>
          <w:lang w:val="en-US"/>
        </w:rPr>
      </w:pPr>
      <w:r w:rsidRPr="00673791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3BBD9B46" w14:textId="77777777" w:rsidR="00FD2A28" w:rsidRPr="00673791" w:rsidRDefault="00FD2A28" w:rsidP="008B60B2">
      <w:pPr>
        <w:spacing w:before="60"/>
        <w:jc w:val="right"/>
        <w:rPr>
          <w:sz w:val="17"/>
          <w:szCs w:val="17"/>
          <w:lang w:val="en-US"/>
        </w:rPr>
      </w:pPr>
      <w:r w:rsidRPr="00673791">
        <w:rPr>
          <w:sz w:val="17"/>
          <w:szCs w:val="17"/>
          <w:lang w:val="en-US"/>
        </w:rPr>
        <w:t xml:space="preserve">[Footnote </w:t>
      </w:r>
      <w:proofErr w:type="gramStart"/>
      <w:r w:rsidRPr="00673791">
        <w:rPr>
          <w:sz w:val="17"/>
          <w:szCs w:val="17"/>
          <w:lang w:val="en-US"/>
        </w:rPr>
        <w:t>continued on</w:t>
      </w:r>
      <w:proofErr w:type="gramEnd"/>
      <w:r w:rsidRPr="00673791">
        <w:rPr>
          <w:sz w:val="17"/>
          <w:szCs w:val="17"/>
          <w:lang w:val="en-US"/>
        </w:rPr>
        <w:t xml:space="preserve"> next page]</w:t>
      </w:r>
    </w:p>
  </w:footnote>
  <w:footnote w:id="2">
    <w:p w14:paraId="6F19EDBC" w14:textId="0A12F677" w:rsidR="002A1CED" w:rsidRDefault="002A1CED">
      <w:pPr>
        <w:pStyle w:val="FootnoteText"/>
      </w:pPr>
      <w:r>
        <w:rPr>
          <w:rStyle w:val="FootnoteReference"/>
        </w:rPr>
        <w:footnoteRef/>
      </w:r>
      <w:r>
        <w:t xml:space="preserve"> В Марокко.</w:t>
      </w:r>
    </w:p>
  </w:footnote>
  <w:footnote w:id="3">
    <w:p w14:paraId="226284A9" w14:textId="6A771648" w:rsidR="002A1CED" w:rsidRDefault="002A1CED">
      <w:pPr>
        <w:pStyle w:val="FootnoteText"/>
      </w:pPr>
      <w:r>
        <w:rPr>
          <w:rStyle w:val="FootnoteReference"/>
        </w:rPr>
        <w:footnoteRef/>
      </w:r>
      <w:r>
        <w:t xml:space="preserve"> В Индии (3) и Республике Корея (4). </w:t>
      </w:r>
    </w:p>
  </w:footnote>
  <w:footnote w:id="4">
    <w:p w14:paraId="736F79B0" w14:textId="77777777" w:rsidR="00917176" w:rsidRDefault="00917176" w:rsidP="00917176">
      <w:pPr>
        <w:pStyle w:val="FootnoteText"/>
      </w:pPr>
      <w:r>
        <w:rPr>
          <w:rStyle w:val="FootnoteReference"/>
        </w:rPr>
        <w:footnoteRef/>
      </w:r>
      <w:r>
        <w:t xml:space="preserve"> В Российской Федерации (2).</w:t>
      </w:r>
    </w:p>
  </w:footnote>
  <w:footnote w:id="5">
    <w:p w14:paraId="1AA26A82" w14:textId="77777777" w:rsidR="00917176" w:rsidRDefault="00917176" w:rsidP="00917176">
      <w:pPr>
        <w:pStyle w:val="FootnoteText"/>
      </w:pPr>
      <w:r>
        <w:rPr>
          <w:rStyle w:val="FootnoteReference"/>
        </w:rPr>
        <w:footnoteRef/>
      </w:r>
      <w:r>
        <w:t xml:space="preserve"> В Болгарии (1), Чехии (1), Венгрии (1), Латвии (1), Польше (3), Словакии (1).</w:t>
      </w:r>
    </w:p>
  </w:footnote>
  <w:footnote w:id="6">
    <w:p w14:paraId="11F26218" w14:textId="7E9978AE" w:rsidR="00917176" w:rsidRDefault="00917176" w:rsidP="00917176">
      <w:pPr>
        <w:pStyle w:val="FootnoteText"/>
      </w:pPr>
      <w:r>
        <w:rPr>
          <w:rStyle w:val="FootnoteReference"/>
        </w:rPr>
        <w:footnoteRef/>
      </w:r>
      <w:r>
        <w:t xml:space="preserve"> В Австралии (2), Бельгии (1), Канаде (1), Финляндии (1), Франции (1), Германии (1), Италии (3), Японии (2), Нидерландах (Королевство) (1), Португалии (1), Испании (2), Швейцарии (1), Соединенном Королевстве (7) и Соединенных Штатах Америки (3).</w:t>
      </w:r>
    </w:p>
  </w:footnote>
  <w:footnote w:id="7">
    <w:p w14:paraId="15D9B200" w14:textId="0EE69D98" w:rsidR="002A1CED" w:rsidRDefault="002A1CED">
      <w:pPr>
        <w:pStyle w:val="FootnoteText"/>
      </w:pPr>
      <w:r>
        <w:rPr>
          <w:rStyle w:val="FootnoteReference"/>
        </w:rPr>
        <w:footnoteRef/>
      </w:r>
      <w:r>
        <w:t xml:space="preserve"> В Чили (1) и Мексике (1).</w:t>
      </w:r>
    </w:p>
  </w:footnote>
  <w:footnote w:id="8">
    <w:p w14:paraId="3B606A52" w14:textId="5908FD9D" w:rsidR="00C53FEF" w:rsidRDefault="00C53FEF">
      <w:pPr>
        <w:pStyle w:val="FootnoteText"/>
      </w:pPr>
      <w:r>
        <w:rPr>
          <w:rStyle w:val="FootnoteReference"/>
        </w:rPr>
        <w:footnoteRef/>
      </w:r>
      <w:r>
        <w:t xml:space="preserve"> В 2017 году один МОД уведомил об общем числе выданных образцов (7 образцов), не указав при этом распределение по типам сторон, которым были предоставлены образцы.  Таким образом, общее число выданных в 2017 году образцов (рисунок 3) составило 1722, в то время как их общее число, подсчитанное на основе данных из таблицы 3, равняется 1715. 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9A2E" w14:textId="77777777" w:rsidR="00EC4E49" w:rsidRDefault="002A1CED" w:rsidP="00477D6B">
    <w:pPr>
      <w:jc w:val="right"/>
    </w:pPr>
    <w:bookmarkStart w:id="10" w:name="Code2"/>
    <w:bookmarkEnd w:id="10"/>
    <w:r>
      <w:t>BP/A/41/1</w:t>
    </w:r>
  </w:p>
  <w:p w14:paraId="07C2A5C4" w14:textId="77777777" w:rsidR="00EC4E49" w:rsidRDefault="00EC4E49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E671A6">
      <w:t>2</w:t>
    </w:r>
    <w:r>
      <w:fldChar w:fldCharType="end"/>
    </w:r>
  </w:p>
  <w:p w14:paraId="6E46D6B5" w14:textId="77777777" w:rsidR="00EB6FEE" w:rsidRDefault="00EB6F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1EB0C79"/>
    <w:multiLevelType w:val="hybridMultilevel"/>
    <w:tmpl w:val="53EAC83C"/>
    <w:lvl w:ilvl="0" w:tplc="8EA24C6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B35F06"/>
    <w:multiLevelType w:val="hybridMultilevel"/>
    <w:tmpl w:val="FA4600F6"/>
    <w:lvl w:ilvl="0" w:tplc="8EA24C64">
      <w:numFmt w:val="bullet"/>
      <w:lvlText w:val="-"/>
      <w:lvlJc w:val="left"/>
      <w:pPr>
        <w:ind w:left="930" w:hanging="57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3C8B4E81"/>
    <w:multiLevelType w:val="hybridMultilevel"/>
    <w:tmpl w:val="DCDEDC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11B0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8720907">
    <w:abstractNumId w:val="3"/>
  </w:num>
  <w:num w:numId="2" w16cid:durableId="2072847089">
    <w:abstractNumId w:val="8"/>
  </w:num>
  <w:num w:numId="3" w16cid:durableId="1625842177">
    <w:abstractNumId w:val="0"/>
  </w:num>
  <w:num w:numId="4" w16cid:durableId="1752114583">
    <w:abstractNumId w:val="9"/>
  </w:num>
  <w:num w:numId="5" w16cid:durableId="1082339995">
    <w:abstractNumId w:val="1"/>
  </w:num>
  <w:num w:numId="6" w16cid:durableId="1714691948">
    <w:abstractNumId w:val="5"/>
  </w:num>
  <w:num w:numId="7" w16cid:durableId="1594239650">
    <w:abstractNumId w:val="6"/>
  </w:num>
  <w:num w:numId="8" w16cid:durableId="1696346143">
    <w:abstractNumId w:val="7"/>
  </w:num>
  <w:num w:numId="9" w16cid:durableId="1704017241">
    <w:abstractNumId w:val="4"/>
  </w:num>
  <w:num w:numId="10" w16cid:durableId="1542980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ED"/>
    <w:rsid w:val="0000138B"/>
    <w:rsid w:val="0000408F"/>
    <w:rsid w:val="0001647B"/>
    <w:rsid w:val="000329B0"/>
    <w:rsid w:val="00037950"/>
    <w:rsid w:val="00042478"/>
    <w:rsid w:val="00043CAA"/>
    <w:rsid w:val="00075432"/>
    <w:rsid w:val="000968ED"/>
    <w:rsid w:val="000A1B41"/>
    <w:rsid w:val="000B3B06"/>
    <w:rsid w:val="000B3B17"/>
    <w:rsid w:val="000C0F52"/>
    <w:rsid w:val="000E1129"/>
    <w:rsid w:val="000F3714"/>
    <w:rsid w:val="000F5E56"/>
    <w:rsid w:val="00101526"/>
    <w:rsid w:val="001024FE"/>
    <w:rsid w:val="00111443"/>
    <w:rsid w:val="00131F47"/>
    <w:rsid w:val="001362EE"/>
    <w:rsid w:val="00142868"/>
    <w:rsid w:val="001513F2"/>
    <w:rsid w:val="00163311"/>
    <w:rsid w:val="00172A2F"/>
    <w:rsid w:val="001832A6"/>
    <w:rsid w:val="001A151C"/>
    <w:rsid w:val="001A45B9"/>
    <w:rsid w:val="001B0DC7"/>
    <w:rsid w:val="001C6808"/>
    <w:rsid w:val="001D05BB"/>
    <w:rsid w:val="001D0E8B"/>
    <w:rsid w:val="001F5A7A"/>
    <w:rsid w:val="0020464F"/>
    <w:rsid w:val="002065DD"/>
    <w:rsid w:val="002121FA"/>
    <w:rsid w:val="002313B1"/>
    <w:rsid w:val="00233251"/>
    <w:rsid w:val="00257DF2"/>
    <w:rsid w:val="002634C4"/>
    <w:rsid w:val="002700DC"/>
    <w:rsid w:val="00275485"/>
    <w:rsid w:val="00287D28"/>
    <w:rsid w:val="002928D3"/>
    <w:rsid w:val="002A1CED"/>
    <w:rsid w:val="002A54A4"/>
    <w:rsid w:val="002B2C20"/>
    <w:rsid w:val="002C1F40"/>
    <w:rsid w:val="002C340C"/>
    <w:rsid w:val="002E6C1A"/>
    <w:rsid w:val="002F1FE6"/>
    <w:rsid w:val="002F4E68"/>
    <w:rsid w:val="00312F7F"/>
    <w:rsid w:val="003144B1"/>
    <w:rsid w:val="003220C3"/>
    <w:rsid w:val="003228B7"/>
    <w:rsid w:val="00332FED"/>
    <w:rsid w:val="00342BB0"/>
    <w:rsid w:val="003508A3"/>
    <w:rsid w:val="003673CF"/>
    <w:rsid w:val="0037719A"/>
    <w:rsid w:val="003804C8"/>
    <w:rsid w:val="003845C1"/>
    <w:rsid w:val="003A6F89"/>
    <w:rsid w:val="003B38C1"/>
    <w:rsid w:val="003C50A7"/>
    <w:rsid w:val="003D352A"/>
    <w:rsid w:val="0041138D"/>
    <w:rsid w:val="00412D60"/>
    <w:rsid w:val="00423E3E"/>
    <w:rsid w:val="00427AF4"/>
    <w:rsid w:val="004400E2"/>
    <w:rsid w:val="004429FD"/>
    <w:rsid w:val="00444A6C"/>
    <w:rsid w:val="00446B83"/>
    <w:rsid w:val="00457F5B"/>
    <w:rsid w:val="00461632"/>
    <w:rsid w:val="004647DA"/>
    <w:rsid w:val="00467385"/>
    <w:rsid w:val="00474062"/>
    <w:rsid w:val="00477D6B"/>
    <w:rsid w:val="004947AE"/>
    <w:rsid w:val="004A1CFA"/>
    <w:rsid w:val="004D39C4"/>
    <w:rsid w:val="00502DF6"/>
    <w:rsid w:val="0051126C"/>
    <w:rsid w:val="00511AB3"/>
    <w:rsid w:val="00516CD4"/>
    <w:rsid w:val="00517F2F"/>
    <w:rsid w:val="0053057A"/>
    <w:rsid w:val="0055221F"/>
    <w:rsid w:val="00560A29"/>
    <w:rsid w:val="0056137D"/>
    <w:rsid w:val="00580DE7"/>
    <w:rsid w:val="00594D27"/>
    <w:rsid w:val="005B4721"/>
    <w:rsid w:val="005B6787"/>
    <w:rsid w:val="005C3357"/>
    <w:rsid w:val="005F6678"/>
    <w:rsid w:val="00601760"/>
    <w:rsid w:val="00605827"/>
    <w:rsid w:val="00606531"/>
    <w:rsid w:val="00646050"/>
    <w:rsid w:val="006467C0"/>
    <w:rsid w:val="006713CA"/>
    <w:rsid w:val="006715BF"/>
    <w:rsid w:val="00673791"/>
    <w:rsid w:val="00676C5C"/>
    <w:rsid w:val="00691BD9"/>
    <w:rsid w:val="00695558"/>
    <w:rsid w:val="006A37D4"/>
    <w:rsid w:val="006A6297"/>
    <w:rsid w:val="006D5E0F"/>
    <w:rsid w:val="006D7863"/>
    <w:rsid w:val="006E37DA"/>
    <w:rsid w:val="006F14DF"/>
    <w:rsid w:val="0070187A"/>
    <w:rsid w:val="007058FB"/>
    <w:rsid w:val="0072658E"/>
    <w:rsid w:val="00745D6B"/>
    <w:rsid w:val="007663DA"/>
    <w:rsid w:val="007673AA"/>
    <w:rsid w:val="00774A9B"/>
    <w:rsid w:val="007864D4"/>
    <w:rsid w:val="007907E1"/>
    <w:rsid w:val="007A65AA"/>
    <w:rsid w:val="007A6729"/>
    <w:rsid w:val="007B6A58"/>
    <w:rsid w:val="007C23D4"/>
    <w:rsid w:val="007C2D50"/>
    <w:rsid w:val="007D1613"/>
    <w:rsid w:val="007D1EC2"/>
    <w:rsid w:val="007F0CFC"/>
    <w:rsid w:val="00816E39"/>
    <w:rsid w:val="0083083E"/>
    <w:rsid w:val="008515C5"/>
    <w:rsid w:val="00873EE5"/>
    <w:rsid w:val="0088518C"/>
    <w:rsid w:val="008B2CC1"/>
    <w:rsid w:val="008B4B5E"/>
    <w:rsid w:val="008B60B2"/>
    <w:rsid w:val="008B7EB0"/>
    <w:rsid w:val="008D2667"/>
    <w:rsid w:val="008E266A"/>
    <w:rsid w:val="009043DD"/>
    <w:rsid w:val="009053E5"/>
    <w:rsid w:val="0090731E"/>
    <w:rsid w:val="00914FA1"/>
    <w:rsid w:val="00916EE2"/>
    <w:rsid w:val="00917176"/>
    <w:rsid w:val="00936FD7"/>
    <w:rsid w:val="00937C0D"/>
    <w:rsid w:val="00941CF8"/>
    <w:rsid w:val="00947CD4"/>
    <w:rsid w:val="009551C9"/>
    <w:rsid w:val="009627D3"/>
    <w:rsid w:val="00965A6F"/>
    <w:rsid w:val="00966A22"/>
    <w:rsid w:val="0096722F"/>
    <w:rsid w:val="00980843"/>
    <w:rsid w:val="00983E4F"/>
    <w:rsid w:val="0099504E"/>
    <w:rsid w:val="009B0860"/>
    <w:rsid w:val="009C051A"/>
    <w:rsid w:val="009C1FD9"/>
    <w:rsid w:val="009C2B08"/>
    <w:rsid w:val="009D7FBE"/>
    <w:rsid w:val="009E2791"/>
    <w:rsid w:val="009E3F6F"/>
    <w:rsid w:val="009F3BF9"/>
    <w:rsid w:val="009F499F"/>
    <w:rsid w:val="009F7EF4"/>
    <w:rsid w:val="00A03010"/>
    <w:rsid w:val="00A213B8"/>
    <w:rsid w:val="00A26641"/>
    <w:rsid w:val="00A3763B"/>
    <w:rsid w:val="00A42DAF"/>
    <w:rsid w:val="00A42DC6"/>
    <w:rsid w:val="00A45BD8"/>
    <w:rsid w:val="00A72DFE"/>
    <w:rsid w:val="00A778BF"/>
    <w:rsid w:val="00A85B8E"/>
    <w:rsid w:val="00AA120F"/>
    <w:rsid w:val="00AA79AE"/>
    <w:rsid w:val="00AC205C"/>
    <w:rsid w:val="00AC61AD"/>
    <w:rsid w:val="00AE5F84"/>
    <w:rsid w:val="00AF5C73"/>
    <w:rsid w:val="00B042B1"/>
    <w:rsid w:val="00B05A69"/>
    <w:rsid w:val="00B11EDA"/>
    <w:rsid w:val="00B20B0C"/>
    <w:rsid w:val="00B40598"/>
    <w:rsid w:val="00B41BA4"/>
    <w:rsid w:val="00B45924"/>
    <w:rsid w:val="00B50B99"/>
    <w:rsid w:val="00B57A42"/>
    <w:rsid w:val="00B62CD9"/>
    <w:rsid w:val="00B67402"/>
    <w:rsid w:val="00B82547"/>
    <w:rsid w:val="00B8507B"/>
    <w:rsid w:val="00B91881"/>
    <w:rsid w:val="00B95AB3"/>
    <w:rsid w:val="00B9734B"/>
    <w:rsid w:val="00BB0B3E"/>
    <w:rsid w:val="00BB3152"/>
    <w:rsid w:val="00BC278C"/>
    <w:rsid w:val="00BC309E"/>
    <w:rsid w:val="00BD2456"/>
    <w:rsid w:val="00BF6E96"/>
    <w:rsid w:val="00C06646"/>
    <w:rsid w:val="00C11BFE"/>
    <w:rsid w:val="00C22E08"/>
    <w:rsid w:val="00C277FE"/>
    <w:rsid w:val="00C53FEF"/>
    <w:rsid w:val="00C94629"/>
    <w:rsid w:val="00C96DF5"/>
    <w:rsid w:val="00CC5B5F"/>
    <w:rsid w:val="00CD4DD6"/>
    <w:rsid w:val="00CE65D4"/>
    <w:rsid w:val="00D13D2B"/>
    <w:rsid w:val="00D321FD"/>
    <w:rsid w:val="00D4337E"/>
    <w:rsid w:val="00D45252"/>
    <w:rsid w:val="00D5732C"/>
    <w:rsid w:val="00D66F61"/>
    <w:rsid w:val="00D71B4D"/>
    <w:rsid w:val="00D7243F"/>
    <w:rsid w:val="00D93D55"/>
    <w:rsid w:val="00DB24F6"/>
    <w:rsid w:val="00DB60D6"/>
    <w:rsid w:val="00DB6C27"/>
    <w:rsid w:val="00DC064C"/>
    <w:rsid w:val="00DD5137"/>
    <w:rsid w:val="00DE018B"/>
    <w:rsid w:val="00DE709F"/>
    <w:rsid w:val="00E161A2"/>
    <w:rsid w:val="00E26B63"/>
    <w:rsid w:val="00E31143"/>
    <w:rsid w:val="00E3226E"/>
    <w:rsid w:val="00E335FE"/>
    <w:rsid w:val="00E5021F"/>
    <w:rsid w:val="00E5071C"/>
    <w:rsid w:val="00E671A6"/>
    <w:rsid w:val="00E76BC2"/>
    <w:rsid w:val="00E82269"/>
    <w:rsid w:val="00E823DF"/>
    <w:rsid w:val="00E945EB"/>
    <w:rsid w:val="00EA77E7"/>
    <w:rsid w:val="00EB47D2"/>
    <w:rsid w:val="00EB6FEE"/>
    <w:rsid w:val="00EC4E49"/>
    <w:rsid w:val="00ED43E3"/>
    <w:rsid w:val="00ED77FB"/>
    <w:rsid w:val="00EE0F99"/>
    <w:rsid w:val="00EF393D"/>
    <w:rsid w:val="00EF56D8"/>
    <w:rsid w:val="00F021A6"/>
    <w:rsid w:val="00F05810"/>
    <w:rsid w:val="00F11D94"/>
    <w:rsid w:val="00F32384"/>
    <w:rsid w:val="00F66152"/>
    <w:rsid w:val="00F864D9"/>
    <w:rsid w:val="00FA6ED1"/>
    <w:rsid w:val="00FB09D2"/>
    <w:rsid w:val="00FD2A28"/>
    <w:rsid w:val="00FE56E8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CE11BF"/>
  <w15:docId w15:val="{2A8458D9-4DA7-40B9-AB17-F6F4E8C1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semiHidden/>
    <w:unhideWhenUsed/>
    <w:rsid w:val="002A1CED"/>
    <w:rPr>
      <w:vertAlign w:val="superscript"/>
    </w:rPr>
  </w:style>
  <w:style w:type="table" w:styleId="TableGrid">
    <w:name w:val="Table Grid"/>
    <w:basedOn w:val="TableNormal"/>
    <w:rsid w:val="002A1CE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4D4"/>
    <w:pPr>
      <w:ind w:left="720"/>
      <w:contextualSpacing/>
    </w:pPr>
  </w:style>
  <w:style w:type="paragraph" w:styleId="Revision">
    <w:name w:val="Revision"/>
    <w:hidden/>
    <w:uiPriority w:val="99"/>
    <w:semiHidden/>
    <w:rsid w:val="00965A6F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941CF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1CF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1CF8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941CF8"/>
    <w:rPr>
      <w:rFonts w:ascii="Arial" w:eastAsia="SimSun" w:hAnsi="Arial" w:cs="Arial"/>
      <w:b/>
      <w:bCs/>
      <w:sz w:val="18"/>
      <w:lang w:val="ru-RU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917176"/>
    <w:rPr>
      <w:rFonts w:ascii="Arial" w:eastAsia="SimSun" w:hAnsi="Arial" w:cs="Arial"/>
      <w:sz w:val="18"/>
      <w:lang w:val="ru-RU" w:eastAsia="zh-CN"/>
    </w:rPr>
  </w:style>
  <w:style w:type="character" w:styleId="Hyperlink">
    <w:name w:val="Hyperlink"/>
    <w:basedOn w:val="DefaultParagraphFont"/>
    <w:unhideWhenUsed/>
    <w:rsid w:val="001513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3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030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7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ipo.int/budapest/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po.int/budapest/en/guide" TargetMode="External"/><Relationship Id="rId17" Type="http://schemas.openxmlformats.org/officeDocument/2006/relationships/hyperlink" Target="https://www.wipo.int/meetings/ru/details.jsp?meeting_id=76968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wipolex/ru/treaties/ShowResults?search_what=N&amp;treaty_id=7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hyperlink" Target="https://www.wipo.int/budapest/ru/guide/appendix_3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ipo.int/treaties/ru/registration/budapest/" TargetMode="External"/><Relationship Id="rId14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BP_A_41%20(E).do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2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Число депонированных</a:t>
            </a:r>
            <a:r>
              <a:rPr lang="ru-RU" baseline="0"/>
              <a:t> в МОД микроорганизмов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Sheet1!$A$23</c:f>
              <c:strCache>
                <c:ptCount val="1"/>
                <c:pt idx="0">
                  <c:v>Overall Total Deposits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Sheet1!$B$22:$L$22</c:f>
              <c:numCache>
                <c:formatCode>General</c:formatCod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</c:numCache>
            </c:numRef>
          </c:cat>
          <c:val>
            <c:numRef>
              <c:f>Sheet1!$B$23:$L$23</c:f>
              <c:numCache>
                <c:formatCode>General</c:formatCode>
                <c:ptCount val="11"/>
                <c:pt idx="0">
                  <c:v>4790</c:v>
                </c:pt>
                <c:pt idx="1">
                  <c:v>5003</c:v>
                </c:pt>
                <c:pt idx="2">
                  <c:v>4957</c:v>
                </c:pt>
                <c:pt idx="3">
                  <c:v>4893</c:v>
                </c:pt>
                <c:pt idx="4">
                  <c:v>5127</c:v>
                </c:pt>
                <c:pt idx="5">
                  <c:v>5806</c:v>
                </c:pt>
                <c:pt idx="6">
                  <c:v>6303</c:v>
                </c:pt>
                <c:pt idx="7">
                  <c:v>7368</c:v>
                </c:pt>
                <c:pt idx="8">
                  <c:v>6756</c:v>
                </c:pt>
                <c:pt idx="9">
                  <c:v>8714</c:v>
                </c:pt>
                <c:pt idx="10">
                  <c:v>9808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4B-4138-A073-E39F3BD570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77008608"/>
        <c:axId val="1508200704"/>
      </c:barChart>
      <c:catAx>
        <c:axId val="1577008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8200704"/>
        <c:crosses val="autoZero"/>
        <c:auto val="1"/>
        <c:lblAlgn val="ctr"/>
        <c:lblOffset val="100"/>
        <c:noMultiLvlLbl val="0"/>
      </c:catAx>
      <c:valAx>
        <c:axId val="150820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77008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000" b="0" baseline="0">
                <a:solidFill>
                  <a:schemeClr val="bg1">
                    <a:lumMod val="50000"/>
                  </a:schemeClr>
                </a:solidFill>
                <a:latin typeface="Arial" panose="020B0604020202020204" pitchFamily="34" charset="0"/>
                <a:cs typeface="Arial" panose="020B0604020202020204" pitchFamily="34" charset="0"/>
              </a:rPr>
              <a:t>Распределение числа допонированых в МОД микроорганизмов по странам расположения МОД (2022 год)</a:t>
            </a:r>
            <a:endParaRPr lang="en-US" sz="1000" b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699361240559215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66C-4ED2-94C4-27D18FF51CE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66C-4ED2-94C4-27D18FF51CE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F66C-4ED2-94C4-27D18FF51CE0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F66C-4ED2-94C4-27D18FF51CE0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F66C-4ED2-94C4-27D18FF51CE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F66C-4ED2-94C4-27D18FF51CE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F66C-4ED2-94C4-27D18FF51CE0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F66C-4ED2-94C4-27D18FF51CE0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F66C-4ED2-94C4-27D18FF51CE0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F66C-4ED2-94C4-27D18FF51CE0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F66C-4ED2-94C4-27D18FF51CE0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F66C-4ED2-94C4-27D18FF51CE0}"/>
              </c:ext>
            </c:extLst>
          </c:dPt>
          <c:cat>
            <c:strRef>
              <c:f>'geographical distribution'!$K$47:$K$58</c:f>
              <c:strCache>
                <c:ptCount val="12"/>
                <c:pt idx="0">
                  <c:v>Китай</c:v>
                </c:pt>
                <c:pt idx="1">
                  <c:v>Соединенные Штаты Америки</c:v>
                </c:pt>
                <c:pt idx="2">
                  <c:v>Республика Корея</c:v>
                </c:pt>
                <c:pt idx="3">
                  <c:v>Германия</c:v>
                </c:pt>
                <c:pt idx="4">
                  <c:v>Соединенное Королевство</c:v>
                </c:pt>
                <c:pt idx="5">
                  <c:v>Япония</c:v>
                </c:pt>
                <c:pt idx="6">
                  <c:v>Франция</c:v>
                </c:pt>
                <c:pt idx="7">
                  <c:v>Индия</c:v>
                </c:pt>
                <c:pt idx="8">
                  <c:v>Польша</c:v>
                </c:pt>
                <c:pt idx="9">
                  <c:v>Канада</c:v>
                </c:pt>
                <c:pt idx="10">
                  <c:v>Испания</c:v>
                </c:pt>
                <c:pt idx="11">
                  <c:v>Другие</c:v>
                </c:pt>
              </c:strCache>
            </c:strRef>
          </c:cat>
          <c:val>
            <c:numRef>
              <c:f>'geographical distribution'!$L$47:$L$58</c:f>
              <c:numCache>
                <c:formatCode>General</c:formatCode>
                <c:ptCount val="12"/>
                <c:pt idx="0">
                  <c:v>6396</c:v>
                </c:pt>
                <c:pt idx="1">
                  <c:v>1517</c:v>
                </c:pt>
                <c:pt idx="2">
                  <c:v>638</c:v>
                </c:pt>
                <c:pt idx="3">
                  <c:v>215</c:v>
                </c:pt>
                <c:pt idx="4">
                  <c:v>200</c:v>
                </c:pt>
                <c:pt idx="5">
                  <c:v>128</c:v>
                </c:pt>
                <c:pt idx="6">
                  <c:v>126</c:v>
                </c:pt>
                <c:pt idx="7">
                  <c:v>126</c:v>
                </c:pt>
                <c:pt idx="8">
                  <c:v>122</c:v>
                </c:pt>
                <c:pt idx="9">
                  <c:v>59</c:v>
                </c:pt>
                <c:pt idx="10">
                  <c:v>53</c:v>
                </c:pt>
                <c:pt idx="11">
                  <c:v>228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F66C-4ED2-94C4-27D18FF51C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Число выданных МОД образцов депонированных микроогранизмов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Sheet1!$A$49</c:f>
              <c:strCache>
                <c:ptCount val="1"/>
                <c:pt idx="0">
                  <c:v>Overall Total Samples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Sheet1!$B$48:$L$48</c:f>
              <c:numCache>
                <c:formatCode>General</c:formatCod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</c:numCache>
            </c:numRef>
          </c:cat>
          <c:val>
            <c:numRef>
              <c:f>Sheet1!$B$49:$L$49</c:f>
              <c:numCache>
                <c:formatCode>General</c:formatCode>
                <c:ptCount val="11"/>
                <c:pt idx="0">
                  <c:v>950</c:v>
                </c:pt>
                <c:pt idx="1">
                  <c:v>852</c:v>
                </c:pt>
                <c:pt idx="2">
                  <c:v>838</c:v>
                </c:pt>
                <c:pt idx="3">
                  <c:v>997</c:v>
                </c:pt>
                <c:pt idx="4">
                  <c:v>1079</c:v>
                </c:pt>
                <c:pt idx="5">
                  <c:v>1722</c:v>
                </c:pt>
                <c:pt idx="6">
                  <c:v>1689</c:v>
                </c:pt>
                <c:pt idx="7">
                  <c:v>1484</c:v>
                </c:pt>
                <c:pt idx="8">
                  <c:v>1886</c:v>
                </c:pt>
                <c:pt idx="9">
                  <c:v>1700</c:v>
                </c:pt>
                <c:pt idx="10">
                  <c:v>1751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5B-4048-831D-1576C403CB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01090416"/>
        <c:axId val="1357838960"/>
      </c:barChart>
      <c:catAx>
        <c:axId val="1501090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57838960"/>
        <c:crosses val="autoZero"/>
        <c:auto val="1"/>
        <c:lblAlgn val="ctr"/>
        <c:lblOffset val="100"/>
        <c:noMultiLvlLbl val="0"/>
      </c:catAx>
      <c:valAx>
        <c:axId val="1357838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1090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0.08611</cdr:x>
      <cdr:y>0.5162</cdr:y>
    </cdr:from>
    <cdr:to>
      <cdr:x>0.20625</cdr:x>
      <cdr:y>0.60416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2DCE50A6-9187-FAEA-AB08-65C607A02992}"/>
            </a:ext>
          </a:extLst>
        </cdr:cNvPr>
        <cdr:cNvSpPr txBox="1"/>
      </cdr:nvSpPr>
      <cdr:spPr>
        <a:xfrm xmlns:a="http://schemas.openxmlformats.org/drawingml/2006/main">
          <a:off x="393700" y="1416050"/>
          <a:ext cx="549280" cy="2412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4790</a:t>
          </a:r>
        </a:p>
      </cdr:txBody>
    </cdr:sp>
  </cdr:relSizeAnchor>
  <cdr:relSizeAnchor xmlns:cdr="http://schemas.openxmlformats.org/drawingml/2006/chartDrawing">
    <cdr:from>
      <cdr:x>0.16944</cdr:x>
      <cdr:y>0.52315</cdr:y>
    </cdr:from>
    <cdr:to>
      <cdr:x>0.27014</cdr:x>
      <cdr:y>0.60648</cdr:y>
    </cdr:to>
    <cdr:sp macro="" textlink="">
      <cdr:nvSpPr>
        <cdr:cNvPr id="3" name="TextBox 1">
          <a:extLst xmlns:a="http://schemas.openxmlformats.org/drawingml/2006/main">
            <a:ext uri="{FF2B5EF4-FFF2-40B4-BE49-F238E27FC236}">
              <a16:creationId xmlns:a16="http://schemas.microsoft.com/office/drawing/2014/main" id="{0B791A1E-6DC4-6ED2-33D0-2D306342585B}"/>
            </a:ext>
          </a:extLst>
        </cdr:cNvPr>
        <cdr:cNvSpPr txBox="1"/>
      </cdr:nvSpPr>
      <cdr:spPr>
        <a:xfrm xmlns:a="http://schemas.openxmlformats.org/drawingml/2006/main">
          <a:off x="774700" y="1435100"/>
          <a:ext cx="460400" cy="2285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5003</a:t>
          </a:r>
        </a:p>
      </cdr:txBody>
    </cdr:sp>
  </cdr:relSizeAnchor>
  <cdr:relSizeAnchor xmlns:cdr="http://schemas.openxmlformats.org/drawingml/2006/chartDrawing">
    <cdr:from>
      <cdr:x>0.25139</cdr:x>
      <cdr:y>0.51389</cdr:y>
    </cdr:from>
    <cdr:to>
      <cdr:x>0.35208</cdr:x>
      <cdr:y>0.59491</cdr:y>
    </cdr:to>
    <cdr:sp macro="" textlink="">
      <cdr:nvSpPr>
        <cdr:cNvPr id="4" name="TextBox 1">
          <a:extLst xmlns:a="http://schemas.openxmlformats.org/drawingml/2006/main">
            <a:ext uri="{FF2B5EF4-FFF2-40B4-BE49-F238E27FC236}">
              <a16:creationId xmlns:a16="http://schemas.microsoft.com/office/drawing/2014/main" id="{8C6D9CF7-6B67-96F0-2129-BBAA13B7A55B}"/>
            </a:ext>
          </a:extLst>
        </cdr:cNvPr>
        <cdr:cNvSpPr txBox="1"/>
      </cdr:nvSpPr>
      <cdr:spPr>
        <a:xfrm xmlns:a="http://schemas.openxmlformats.org/drawingml/2006/main">
          <a:off x="1149350" y="1409700"/>
          <a:ext cx="460355" cy="2222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4957</a:t>
          </a:r>
        </a:p>
      </cdr:txBody>
    </cdr:sp>
  </cdr:relSizeAnchor>
  <cdr:relSizeAnchor xmlns:cdr="http://schemas.openxmlformats.org/drawingml/2006/chartDrawing">
    <cdr:from>
      <cdr:x>0.32778</cdr:x>
      <cdr:y>0.48611</cdr:y>
    </cdr:from>
    <cdr:to>
      <cdr:x>0.42916</cdr:x>
      <cdr:y>0.56482</cdr:y>
    </cdr:to>
    <cdr:sp macro="" textlink="">
      <cdr:nvSpPr>
        <cdr:cNvPr id="5" name="TextBox 1">
          <a:extLst xmlns:a="http://schemas.openxmlformats.org/drawingml/2006/main">
            <a:ext uri="{FF2B5EF4-FFF2-40B4-BE49-F238E27FC236}">
              <a16:creationId xmlns:a16="http://schemas.microsoft.com/office/drawing/2014/main" id="{B3F687AB-CE05-B976-30B4-91900593E616}"/>
            </a:ext>
          </a:extLst>
        </cdr:cNvPr>
        <cdr:cNvSpPr txBox="1"/>
      </cdr:nvSpPr>
      <cdr:spPr>
        <a:xfrm xmlns:a="http://schemas.openxmlformats.org/drawingml/2006/main">
          <a:off x="1498600" y="1333500"/>
          <a:ext cx="463510" cy="2159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4893</a:t>
          </a:r>
        </a:p>
      </cdr:txBody>
    </cdr:sp>
  </cdr:relSizeAnchor>
  <cdr:relSizeAnchor xmlns:cdr="http://schemas.openxmlformats.org/drawingml/2006/chartDrawing">
    <cdr:from>
      <cdr:x>0.40278</cdr:x>
      <cdr:y>0.47454</cdr:y>
    </cdr:from>
    <cdr:to>
      <cdr:x>0.49305</cdr:x>
      <cdr:y>0.56945</cdr:y>
    </cdr:to>
    <cdr:sp macro="" textlink="">
      <cdr:nvSpPr>
        <cdr:cNvPr id="7" name="TextBox 1">
          <a:extLst xmlns:a="http://schemas.openxmlformats.org/drawingml/2006/main">
            <a:ext uri="{FF2B5EF4-FFF2-40B4-BE49-F238E27FC236}">
              <a16:creationId xmlns:a16="http://schemas.microsoft.com/office/drawing/2014/main" id="{28D9C691-8A13-76BA-558C-5617D40B987D}"/>
            </a:ext>
          </a:extLst>
        </cdr:cNvPr>
        <cdr:cNvSpPr txBox="1"/>
      </cdr:nvSpPr>
      <cdr:spPr>
        <a:xfrm xmlns:a="http://schemas.openxmlformats.org/drawingml/2006/main">
          <a:off x="1841500" y="1301750"/>
          <a:ext cx="412715" cy="2603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5127</a:t>
          </a:r>
        </a:p>
      </cdr:txBody>
    </cdr:sp>
  </cdr:relSizeAnchor>
  <cdr:relSizeAnchor xmlns:cdr="http://schemas.openxmlformats.org/drawingml/2006/chartDrawing">
    <cdr:from>
      <cdr:x>0.48333</cdr:x>
      <cdr:y>0.47222</cdr:y>
    </cdr:from>
    <cdr:to>
      <cdr:x>0.5861</cdr:x>
      <cdr:y>0.56713</cdr:y>
    </cdr:to>
    <cdr:sp macro="" textlink="">
      <cdr:nvSpPr>
        <cdr:cNvPr id="8" name="TextBox 1">
          <a:extLst xmlns:a="http://schemas.openxmlformats.org/drawingml/2006/main">
            <a:ext uri="{FF2B5EF4-FFF2-40B4-BE49-F238E27FC236}">
              <a16:creationId xmlns:a16="http://schemas.microsoft.com/office/drawing/2014/main" id="{2DFE4E92-0556-6E58-BF7D-1134B897B01D}"/>
            </a:ext>
          </a:extLst>
        </cdr:cNvPr>
        <cdr:cNvSpPr txBox="1"/>
      </cdr:nvSpPr>
      <cdr:spPr>
        <a:xfrm xmlns:a="http://schemas.openxmlformats.org/drawingml/2006/main">
          <a:off x="2209800" y="1295400"/>
          <a:ext cx="469865" cy="2603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5806</a:t>
          </a:r>
        </a:p>
      </cdr:txBody>
    </cdr:sp>
  </cdr:relSizeAnchor>
  <cdr:relSizeAnchor xmlns:cdr="http://schemas.openxmlformats.org/drawingml/2006/chartDrawing">
    <cdr:from>
      <cdr:x>0.56111</cdr:x>
      <cdr:y>0.43287</cdr:y>
    </cdr:from>
    <cdr:to>
      <cdr:x>0.65972</cdr:x>
      <cdr:y>0.52315</cdr:y>
    </cdr:to>
    <cdr:sp macro="" textlink="">
      <cdr:nvSpPr>
        <cdr:cNvPr id="9" name="TextBox 1">
          <a:extLst xmlns:a="http://schemas.openxmlformats.org/drawingml/2006/main">
            <a:ext uri="{FF2B5EF4-FFF2-40B4-BE49-F238E27FC236}">
              <a16:creationId xmlns:a16="http://schemas.microsoft.com/office/drawing/2014/main" id="{02545E80-CADB-2ED8-B7BE-3F270023F2C0}"/>
            </a:ext>
          </a:extLst>
        </cdr:cNvPr>
        <cdr:cNvSpPr txBox="1"/>
      </cdr:nvSpPr>
      <cdr:spPr>
        <a:xfrm xmlns:a="http://schemas.openxmlformats.org/drawingml/2006/main">
          <a:off x="2565400" y="1187450"/>
          <a:ext cx="450845" cy="2476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6303</a:t>
          </a:r>
        </a:p>
      </cdr:txBody>
    </cdr:sp>
  </cdr:relSizeAnchor>
  <cdr:relSizeAnchor xmlns:cdr="http://schemas.openxmlformats.org/drawingml/2006/chartDrawing">
    <cdr:from>
      <cdr:x>0.62917</cdr:x>
      <cdr:y>0.37269</cdr:y>
    </cdr:from>
    <cdr:to>
      <cdr:x>0.74028</cdr:x>
      <cdr:y>0.45602</cdr:y>
    </cdr:to>
    <cdr:sp macro="" textlink="">
      <cdr:nvSpPr>
        <cdr:cNvPr id="10" name="TextBox 1">
          <a:extLst xmlns:a="http://schemas.openxmlformats.org/drawingml/2006/main">
            <a:ext uri="{FF2B5EF4-FFF2-40B4-BE49-F238E27FC236}">
              <a16:creationId xmlns:a16="http://schemas.microsoft.com/office/drawing/2014/main" id="{13105A3C-F4F3-5DCD-C33E-1EC7980D9F07}"/>
            </a:ext>
          </a:extLst>
        </cdr:cNvPr>
        <cdr:cNvSpPr txBox="1"/>
      </cdr:nvSpPr>
      <cdr:spPr>
        <a:xfrm xmlns:a="http://schemas.openxmlformats.org/drawingml/2006/main">
          <a:off x="2876550" y="1022350"/>
          <a:ext cx="507995" cy="2285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7368</a:t>
          </a:r>
        </a:p>
      </cdr:txBody>
    </cdr:sp>
  </cdr:relSizeAnchor>
  <cdr:relSizeAnchor xmlns:cdr="http://schemas.openxmlformats.org/drawingml/2006/chartDrawing">
    <cdr:from>
      <cdr:x>0.71807</cdr:x>
      <cdr:y>0.40516</cdr:y>
    </cdr:from>
    <cdr:to>
      <cdr:x>0.81668</cdr:x>
      <cdr:y>0.48849</cdr:y>
    </cdr:to>
    <cdr:sp macro="" textlink="">
      <cdr:nvSpPr>
        <cdr:cNvPr id="12" name="TextBox 1">
          <a:extLst xmlns:a="http://schemas.openxmlformats.org/drawingml/2006/main">
            <a:ext uri="{FF2B5EF4-FFF2-40B4-BE49-F238E27FC236}">
              <a16:creationId xmlns:a16="http://schemas.microsoft.com/office/drawing/2014/main" id="{3E0D3A6C-FECA-7E08-BD6D-C0E038D86A75}"/>
            </a:ext>
          </a:extLst>
        </cdr:cNvPr>
        <cdr:cNvSpPr txBox="1"/>
      </cdr:nvSpPr>
      <cdr:spPr>
        <a:xfrm xmlns:a="http://schemas.openxmlformats.org/drawingml/2006/main">
          <a:off x="3493234" y="1111440"/>
          <a:ext cx="479711" cy="2285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6756</a:t>
          </a:r>
        </a:p>
      </cdr:txBody>
    </cdr:sp>
  </cdr:relSizeAnchor>
  <cdr:relSizeAnchor xmlns:cdr="http://schemas.openxmlformats.org/drawingml/2006/chartDrawing">
    <cdr:from>
      <cdr:x>0.7931</cdr:x>
      <cdr:y>0.28849</cdr:y>
    </cdr:from>
    <cdr:to>
      <cdr:x>0.88894</cdr:x>
      <cdr:y>0.39265</cdr:y>
    </cdr:to>
    <cdr:sp macro="" textlink="">
      <cdr:nvSpPr>
        <cdr:cNvPr id="13" name="TextBox 1">
          <a:extLst xmlns:a="http://schemas.openxmlformats.org/drawingml/2006/main">
            <a:ext uri="{FF2B5EF4-FFF2-40B4-BE49-F238E27FC236}">
              <a16:creationId xmlns:a16="http://schemas.microsoft.com/office/drawing/2014/main" id="{650888D8-6CAA-D01D-AEEF-1C773463E252}"/>
            </a:ext>
          </a:extLst>
        </cdr:cNvPr>
        <cdr:cNvSpPr txBox="1"/>
      </cdr:nvSpPr>
      <cdr:spPr>
        <a:xfrm xmlns:a="http://schemas.openxmlformats.org/drawingml/2006/main">
          <a:off x="3858213" y="791392"/>
          <a:ext cx="466236" cy="2857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8714</a:t>
          </a:r>
        </a:p>
      </cdr:txBody>
    </cdr:sp>
  </cdr:relSizeAnchor>
  <cdr:relSizeAnchor xmlns:cdr="http://schemas.openxmlformats.org/drawingml/2006/chartDrawing">
    <cdr:from>
      <cdr:x>0.86771</cdr:x>
      <cdr:y>0.18981</cdr:y>
    </cdr:from>
    <cdr:to>
      <cdr:x>1</cdr:x>
      <cdr:y>0.26157</cdr:y>
    </cdr:to>
    <cdr:sp macro="" textlink="">
      <cdr:nvSpPr>
        <cdr:cNvPr id="14" name="TextBox 1">
          <a:extLst xmlns:a="http://schemas.openxmlformats.org/drawingml/2006/main">
            <a:ext uri="{FF2B5EF4-FFF2-40B4-BE49-F238E27FC236}">
              <a16:creationId xmlns:a16="http://schemas.microsoft.com/office/drawing/2014/main" id="{AAA011B9-71B3-CDE4-398E-D9D567DC1741}"/>
            </a:ext>
          </a:extLst>
        </cdr:cNvPr>
        <cdr:cNvSpPr txBox="1"/>
      </cdr:nvSpPr>
      <cdr:spPr>
        <a:xfrm xmlns:a="http://schemas.openxmlformats.org/drawingml/2006/main">
          <a:off x="4221195" y="520699"/>
          <a:ext cx="643540" cy="1968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9808 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0.08194</cdr:x>
      <cdr:y>0.43287</cdr:y>
    </cdr:from>
    <cdr:to>
      <cdr:x>0.16925</cdr:x>
      <cdr:y>0.52931</cdr:y>
    </cdr:to>
    <cdr:sp macro="" textlink="">
      <cdr:nvSpPr>
        <cdr:cNvPr id="2" name="TextBox 13">
          <a:extLst xmlns:a="http://schemas.openxmlformats.org/drawingml/2006/main">
            <a:ext uri="{FF2B5EF4-FFF2-40B4-BE49-F238E27FC236}">
              <a16:creationId xmlns:a16="http://schemas.microsoft.com/office/drawing/2014/main" id="{4B5901D4-1F22-FED2-103B-4476B056F2C8}"/>
            </a:ext>
          </a:extLst>
        </cdr:cNvPr>
        <cdr:cNvSpPr txBox="1"/>
      </cdr:nvSpPr>
      <cdr:spPr>
        <a:xfrm xmlns:a="http://schemas.openxmlformats.org/drawingml/2006/main">
          <a:off x="374650" y="1187450"/>
          <a:ext cx="399148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950</a:t>
          </a:r>
        </a:p>
      </cdr:txBody>
    </cdr:sp>
  </cdr:relSizeAnchor>
  <cdr:relSizeAnchor xmlns:cdr="http://schemas.openxmlformats.org/drawingml/2006/chartDrawing">
    <cdr:from>
      <cdr:x>0.16944</cdr:x>
      <cdr:y>0.47685</cdr:y>
    </cdr:from>
    <cdr:to>
      <cdr:x>0.25675</cdr:x>
      <cdr:y>0.57329</cdr:y>
    </cdr:to>
    <cdr:sp macro="" textlink="">
      <cdr:nvSpPr>
        <cdr:cNvPr id="3" name="TextBox 12">
          <a:extLst xmlns:a="http://schemas.openxmlformats.org/drawingml/2006/main">
            <a:ext uri="{FF2B5EF4-FFF2-40B4-BE49-F238E27FC236}">
              <a16:creationId xmlns:a16="http://schemas.microsoft.com/office/drawing/2014/main" id="{09A34B8D-929D-9078-0FA8-E96266C04693}"/>
            </a:ext>
          </a:extLst>
        </cdr:cNvPr>
        <cdr:cNvSpPr txBox="1"/>
      </cdr:nvSpPr>
      <cdr:spPr>
        <a:xfrm xmlns:a="http://schemas.openxmlformats.org/drawingml/2006/main">
          <a:off x="774700" y="1308100"/>
          <a:ext cx="399148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852</a:t>
          </a:r>
        </a:p>
      </cdr:txBody>
    </cdr:sp>
  </cdr:relSizeAnchor>
  <cdr:relSizeAnchor xmlns:cdr="http://schemas.openxmlformats.org/drawingml/2006/chartDrawing">
    <cdr:from>
      <cdr:x>0.32222</cdr:x>
      <cdr:y>0.42824</cdr:y>
    </cdr:from>
    <cdr:to>
      <cdr:x>0.40952</cdr:x>
      <cdr:y>0.52468</cdr:y>
    </cdr:to>
    <cdr:sp macro="" textlink="">
      <cdr:nvSpPr>
        <cdr:cNvPr id="5" name="TextBox 10">
          <a:extLst xmlns:a="http://schemas.openxmlformats.org/drawingml/2006/main">
            <a:ext uri="{FF2B5EF4-FFF2-40B4-BE49-F238E27FC236}">
              <a16:creationId xmlns:a16="http://schemas.microsoft.com/office/drawing/2014/main" id="{6376570F-9047-2BFB-8BAC-32705B9C5EC6}"/>
            </a:ext>
          </a:extLst>
        </cdr:cNvPr>
        <cdr:cNvSpPr txBox="1"/>
      </cdr:nvSpPr>
      <cdr:spPr>
        <a:xfrm xmlns:a="http://schemas.openxmlformats.org/drawingml/2006/main">
          <a:off x="1473200" y="1174750"/>
          <a:ext cx="399148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997</a:t>
          </a:r>
        </a:p>
      </cdr:txBody>
    </cdr:sp>
  </cdr:relSizeAnchor>
  <cdr:relSizeAnchor xmlns:cdr="http://schemas.openxmlformats.org/drawingml/2006/chartDrawing">
    <cdr:from>
      <cdr:x>0.39444</cdr:x>
      <cdr:y>0.36806</cdr:y>
    </cdr:from>
    <cdr:to>
      <cdr:x>0.49738</cdr:x>
      <cdr:y>0.4645</cdr:y>
    </cdr:to>
    <cdr:sp macro="" textlink="">
      <cdr:nvSpPr>
        <cdr:cNvPr id="6" name="TextBox 9">
          <a:extLst xmlns:a="http://schemas.openxmlformats.org/drawingml/2006/main">
            <a:ext uri="{FF2B5EF4-FFF2-40B4-BE49-F238E27FC236}">
              <a16:creationId xmlns:a16="http://schemas.microsoft.com/office/drawing/2014/main" id="{37CA0581-60BC-258E-A21A-72715CC001FB}"/>
            </a:ext>
          </a:extLst>
        </cdr:cNvPr>
        <cdr:cNvSpPr txBox="1"/>
      </cdr:nvSpPr>
      <cdr:spPr>
        <a:xfrm xmlns:a="http://schemas.openxmlformats.org/drawingml/2006/main">
          <a:off x="1803400" y="1009650"/>
          <a:ext cx="470642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1079</a:t>
          </a:r>
        </a:p>
      </cdr:txBody>
    </cdr:sp>
  </cdr:relSizeAnchor>
  <cdr:relSizeAnchor xmlns:cdr="http://schemas.openxmlformats.org/drawingml/2006/chartDrawing">
    <cdr:from>
      <cdr:x>0.47083</cdr:x>
      <cdr:y>0.24537</cdr:y>
    </cdr:from>
    <cdr:to>
      <cdr:x>0.57377</cdr:x>
      <cdr:y>0.34181</cdr:y>
    </cdr:to>
    <cdr:sp macro="" textlink="">
      <cdr:nvSpPr>
        <cdr:cNvPr id="7" name="TextBox 8">
          <a:extLst xmlns:a="http://schemas.openxmlformats.org/drawingml/2006/main">
            <a:ext uri="{FF2B5EF4-FFF2-40B4-BE49-F238E27FC236}">
              <a16:creationId xmlns:a16="http://schemas.microsoft.com/office/drawing/2014/main" id="{BB10D69E-4C76-E88D-9A3C-E47C99A4B94F}"/>
            </a:ext>
          </a:extLst>
        </cdr:cNvPr>
        <cdr:cNvSpPr txBox="1"/>
      </cdr:nvSpPr>
      <cdr:spPr>
        <a:xfrm xmlns:a="http://schemas.openxmlformats.org/drawingml/2006/main">
          <a:off x="2152650" y="673100"/>
          <a:ext cx="470642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1722</a:t>
          </a:r>
        </a:p>
      </cdr:txBody>
    </cdr:sp>
  </cdr:relSizeAnchor>
  <cdr:relSizeAnchor xmlns:cdr="http://schemas.openxmlformats.org/drawingml/2006/chartDrawing">
    <cdr:from>
      <cdr:x>0.55</cdr:x>
      <cdr:y>0.23611</cdr:y>
    </cdr:from>
    <cdr:to>
      <cdr:x>0.65294</cdr:x>
      <cdr:y>0.33255</cdr:y>
    </cdr:to>
    <cdr:sp macro="" textlink="">
      <cdr:nvSpPr>
        <cdr:cNvPr id="8" name="TextBox 7">
          <a:extLst xmlns:a="http://schemas.openxmlformats.org/drawingml/2006/main">
            <a:ext uri="{FF2B5EF4-FFF2-40B4-BE49-F238E27FC236}">
              <a16:creationId xmlns:a16="http://schemas.microsoft.com/office/drawing/2014/main" id="{FC399FB3-0FE4-D496-8294-E8B96E57EC9F}"/>
            </a:ext>
          </a:extLst>
        </cdr:cNvPr>
        <cdr:cNvSpPr txBox="1"/>
      </cdr:nvSpPr>
      <cdr:spPr>
        <a:xfrm xmlns:a="http://schemas.openxmlformats.org/drawingml/2006/main">
          <a:off x="2514600" y="647700"/>
          <a:ext cx="470642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1689</a:t>
          </a:r>
        </a:p>
      </cdr:txBody>
    </cdr:sp>
  </cdr:relSizeAnchor>
  <cdr:relSizeAnchor xmlns:cdr="http://schemas.openxmlformats.org/drawingml/2006/chartDrawing">
    <cdr:from>
      <cdr:x>0.24444</cdr:x>
      <cdr:y>0.4838</cdr:y>
    </cdr:from>
    <cdr:to>
      <cdr:x>0.33175</cdr:x>
      <cdr:y>0.58024</cdr:y>
    </cdr:to>
    <cdr:sp macro="" textlink="">
      <cdr:nvSpPr>
        <cdr:cNvPr id="10" name="TextBox 11">
          <a:extLst xmlns:a="http://schemas.openxmlformats.org/drawingml/2006/main">
            <a:ext uri="{FF2B5EF4-FFF2-40B4-BE49-F238E27FC236}">
              <a16:creationId xmlns:a16="http://schemas.microsoft.com/office/drawing/2014/main" id="{CEC8439E-F576-8CC7-C13A-99E935DBDEA1}"/>
            </a:ext>
          </a:extLst>
        </cdr:cNvPr>
        <cdr:cNvSpPr txBox="1"/>
      </cdr:nvSpPr>
      <cdr:spPr>
        <a:xfrm xmlns:a="http://schemas.openxmlformats.org/drawingml/2006/main">
          <a:off x="1117600" y="1327150"/>
          <a:ext cx="399148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838</a:t>
          </a:r>
        </a:p>
      </cdr:txBody>
    </cdr:sp>
  </cdr:relSizeAnchor>
  <cdr:relSizeAnchor xmlns:cdr="http://schemas.openxmlformats.org/drawingml/2006/chartDrawing">
    <cdr:from>
      <cdr:x>0.63611</cdr:x>
      <cdr:y>0.29861</cdr:y>
    </cdr:from>
    <cdr:to>
      <cdr:x>0.73905</cdr:x>
      <cdr:y>0.39505</cdr:y>
    </cdr:to>
    <cdr:sp macro="" textlink="">
      <cdr:nvSpPr>
        <cdr:cNvPr id="11" name="TextBox 6">
          <a:extLst xmlns:a="http://schemas.openxmlformats.org/drawingml/2006/main">
            <a:ext uri="{FF2B5EF4-FFF2-40B4-BE49-F238E27FC236}">
              <a16:creationId xmlns:a16="http://schemas.microsoft.com/office/drawing/2014/main" id="{0B22CABF-0680-661A-6E02-434E937F7BBB}"/>
            </a:ext>
          </a:extLst>
        </cdr:cNvPr>
        <cdr:cNvSpPr txBox="1"/>
      </cdr:nvSpPr>
      <cdr:spPr>
        <a:xfrm xmlns:a="http://schemas.openxmlformats.org/drawingml/2006/main">
          <a:off x="2908300" y="819150"/>
          <a:ext cx="470642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1484</a:t>
          </a:r>
        </a:p>
      </cdr:txBody>
    </cdr:sp>
  </cdr:relSizeAnchor>
  <cdr:relSizeAnchor xmlns:cdr="http://schemas.openxmlformats.org/drawingml/2006/chartDrawing">
    <cdr:from>
      <cdr:x>0.70417</cdr:x>
      <cdr:y>0.18519</cdr:y>
    </cdr:from>
    <cdr:to>
      <cdr:x>0.80711</cdr:x>
      <cdr:y>0.28163</cdr:y>
    </cdr:to>
    <cdr:sp macro="" textlink="">
      <cdr:nvSpPr>
        <cdr:cNvPr id="12" name="TextBox 5">
          <a:extLst xmlns:a="http://schemas.openxmlformats.org/drawingml/2006/main">
            <a:ext uri="{FF2B5EF4-FFF2-40B4-BE49-F238E27FC236}">
              <a16:creationId xmlns:a16="http://schemas.microsoft.com/office/drawing/2014/main" id="{2038EF49-D9E7-215B-EA11-791D753511EE}"/>
            </a:ext>
          </a:extLst>
        </cdr:cNvPr>
        <cdr:cNvSpPr txBox="1"/>
      </cdr:nvSpPr>
      <cdr:spPr>
        <a:xfrm xmlns:a="http://schemas.openxmlformats.org/drawingml/2006/main">
          <a:off x="3219450" y="508000"/>
          <a:ext cx="470642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1886</a:t>
          </a:r>
        </a:p>
      </cdr:txBody>
    </cdr:sp>
  </cdr:relSizeAnchor>
  <cdr:relSizeAnchor xmlns:cdr="http://schemas.openxmlformats.org/drawingml/2006/chartDrawing">
    <cdr:from>
      <cdr:x>0.79167</cdr:x>
      <cdr:y>0.16435</cdr:y>
    </cdr:from>
    <cdr:to>
      <cdr:x>0.92987</cdr:x>
      <cdr:y>0.26403</cdr:y>
    </cdr:to>
    <cdr:sp macro="" textlink="">
      <cdr:nvSpPr>
        <cdr:cNvPr id="14" name="TextBox 1">
          <a:extLst xmlns:a="http://schemas.openxmlformats.org/drawingml/2006/main">
            <a:ext uri="{FF2B5EF4-FFF2-40B4-BE49-F238E27FC236}">
              <a16:creationId xmlns:a16="http://schemas.microsoft.com/office/drawing/2014/main" id="{1F21C3B9-C64B-5010-692E-59FB2E2CA53C}"/>
            </a:ext>
          </a:extLst>
        </cdr:cNvPr>
        <cdr:cNvSpPr txBox="1"/>
      </cdr:nvSpPr>
      <cdr:spPr>
        <a:xfrm xmlns:a="http://schemas.openxmlformats.org/drawingml/2006/main">
          <a:off x="3619500" y="450850"/>
          <a:ext cx="631864" cy="2734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1700</a:t>
          </a:r>
        </a:p>
      </cdr:txBody>
    </cdr:sp>
  </cdr:relSizeAnchor>
  <cdr:relSizeAnchor xmlns:cdr="http://schemas.openxmlformats.org/drawingml/2006/chartDrawing">
    <cdr:from>
      <cdr:x>0.87639</cdr:x>
      <cdr:y>0.13889</cdr:y>
    </cdr:from>
    <cdr:to>
      <cdr:x>0.97933</cdr:x>
      <cdr:y>0.23533</cdr:y>
    </cdr:to>
    <cdr:sp macro="" textlink="">
      <cdr:nvSpPr>
        <cdr:cNvPr id="15" name="TextBox 4">
          <a:extLst xmlns:a="http://schemas.openxmlformats.org/drawingml/2006/main">
            <a:ext uri="{FF2B5EF4-FFF2-40B4-BE49-F238E27FC236}">
              <a16:creationId xmlns:a16="http://schemas.microsoft.com/office/drawing/2014/main" id="{BE096EF5-D7D9-A7EB-156D-4DBD1079D8D4}"/>
            </a:ext>
          </a:extLst>
        </cdr:cNvPr>
        <cdr:cNvSpPr txBox="1"/>
      </cdr:nvSpPr>
      <cdr:spPr>
        <a:xfrm xmlns:a="http://schemas.openxmlformats.org/drawingml/2006/main">
          <a:off x="4006850" y="381000"/>
          <a:ext cx="470642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1751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99786-2A47-4F8B-9497-C3003E59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BP_A_41 (E).dotm</Template>
  <TotalTime>35</TotalTime>
  <Pages>8</Pages>
  <Words>1788</Words>
  <Characters>12420</Characters>
  <Application>Microsoft Office Word</Application>
  <DocSecurity>0</DocSecurity>
  <Lines>203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BP/A/41/1</vt:lpstr>
    </vt:vector>
  </TitlesOfParts>
  <Company>WIPO</Company>
  <LinksUpToDate>false</LinksUpToDate>
  <CharactersWithSpaces>14152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BP/A/41/1</dc:title>
  <dc:creator>WIPO</dc:creator>
  <cp:keywords/>
  <cp:lastModifiedBy>HÄFLIGER Patience</cp:lastModifiedBy>
  <cp:revision>5</cp:revision>
  <cp:lastPrinted>2024-04-19T08:11:00Z</cp:lastPrinted>
  <dcterms:created xsi:type="dcterms:W3CDTF">2024-04-23T08:31:00Z</dcterms:created>
  <dcterms:modified xsi:type="dcterms:W3CDTF">2024-05-02T07:25:00Z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2024-04-05T08:16:25Z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8ba76563-ed79-40d8-a212-a9d4729bb12c</vt:lpwstr>
  </property>
  <property fmtid="{D5CDD505-2E9C-101B-9397-08002B2CF9AE}" pid="14" name="MSIP_Label_20773ee6-353b-4fb9-a59d-0b94c8c67bea_ContentBits">
    <vt:lpwstr>0</vt:lpwstr>
  </property>
</Properties>
</file>