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A94D" w14:textId="77777777" w:rsidR="00011EB6" w:rsidRPr="00310866" w:rsidRDefault="00737E5D" w:rsidP="00737E5D">
      <w:pPr>
        <w:spacing w:after="120"/>
        <w:jc w:val="right"/>
        <w:rPr>
          <w:lang w:val="fr-FR"/>
        </w:rPr>
      </w:pPr>
      <w:bookmarkStart w:id="0" w:name="TitleOfDoc"/>
      <w:bookmarkStart w:id="1" w:name="Prepared"/>
      <w:r w:rsidRPr="00310866">
        <w:rPr>
          <w:noProof/>
          <w:lang w:val="fr-CH" w:eastAsia="fr-CH"/>
        </w:rPr>
        <w:drawing>
          <wp:inline distT="0" distB="0" distL="0" distR="0" wp14:anchorId="5F56D619" wp14:editId="21605D08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0866">
        <w:rPr>
          <w:rFonts w:ascii="Arial Black" w:hAnsi="Arial Black"/>
          <w:caps/>
          <w:noProof/>
          <w:sz w:val="15"/>
          <w:szCs w:val="15"/>
          <w:lang w:val="fr-CH" w:eastAsia="fr-CH"/>
        </w:rPr>
        <mc:AlternateContent>
          <mc:Choice Requires="wps">
            <w:drawing>
              <wp:inline distT="0" distB="0" distL="0" distR="0" wp14:anchorId="08DDC138" wp14:editId="3E4A357F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24DF4F9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10D02A15" w14:textId="77777777" w:rsidR="00011EB6" w:rsidRPr="00310866" w:rsidRDefault="00737E5D" w:rsidP="00737E5D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310866">
        <w:rPr>
          <w:rFonts w:ascii="Arial Black" w:hAnsi="Arial Black"/>
          <w:caps/>
          <w:sz w:val="15"/>
          <w:szCs w:val="15"/>
          <w:lang w:val="fr-FR"/>
        </w:rPr>
        <w:t>WO/CC/81/</w:t>
      </w:r>
      <w:bookmarkStart w:id="2" w:name="Code"/>
      <w:r w:rsidRPr="00310866">
        <w:rPr>
          <w:rFonts w:ascii="Arial Black" w:hAnsi="Arial Black"/>
          <w:caps/>
          <w:sz w:val="15"/>
          <w:szCs w:val="15"/>
          <w:lang w:val="fr-FR"/>
        </w:rPr>
        <w:t>INF/2</w:t>
      </w:r>
    </w:p>
    <w:bookmarkEnd w:id="2"/>
    <w:p w14:paraId="02508E6D" w14:textId="601A306A" w:rsidR="00011EB6" w:rsidRPr="00310866" w:rsidRDefault="00737E5D" w:rsidP="00737E5D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310866">
        <w:rPr>
          <w:rFonts w:ascii="Arial Black" w:hAnsi="Arial Black"/>
          <w:caps/>
          <w:sz w:val="15"/>
          <w:szCs w:val="15"/>
          <w:lang w:val="fr-FR"/>
        </w:rPr>
        <w:t>Original</w:t>
      </w:r>
      <w:r w:rsidR="001E0F97" w:rsidRPr="00310866">
        <w:rPr>
          <w:rFonts w:ascii="Arial Black" w:hAnsi="Arial Black"/>
          <w:caps/>
          <w:sz w:val="15"/>
          <w:szCs w:val="15"/>
          <w:lang w:val="fr-FR"/>
        </w:rPr>
        <w:t> :</w:t>
      </w:r>
      <w:r w:rsidRPr="00310866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3" w:name="Original"/>
      <w:r w:rsidRPr="00310866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3"/>
    <w:p w14:paraId="7DBA2816" w14:textId="5315FCA2" w:rsidR="00011EB6" w:rsidRPr="00310866" w:rsidRDefault="00737E5D" w:rsidP="00737E5D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310866">
        <w:rPr>
          <w:rFonts w:ascii="Arial Black" w:hAnsi="Arial Black"/>
          <w:caps/>
          <w:sz w:val="15"/>
          <w:szCs w:val="15"/>
          <w:lang w:val="fr-FR"/>
        </w:rPr>
        <w:t>date</w:t>
      </w:r>
      <w:r w:rsidR="001E0F97" w:rsidRPr="00310866">
        <w:rPr>
          <w:rFonts w:ascii="Arial Black" w:hAnsi="Arial Black"/>
          <w:caps/>
          <w:sz w:val="15"/>
          <w:szCs w:val="15"/>
          <w:lang w:val="fr-FR"/>
        </w:rPr>
        <w:t> :</w:t>
      </w:r>
      <w:r w:rsidRPr="00310866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4" w:name="Date"/>
      <w:r w:rsidRPr="00310866">
        <w:rPr>
          <w:rFonts w:ascii="Arial Black" w:hAnsi="Arial Black"/>
          <w:caps/>
          <w:sz w:val="15"/>
          <w:szCs w:val="15"/>
          <w:lang w:val="fr-FR"/>
        </w:rPr>
        <w:t>1</w:t>
      </w:r>
      <w:r w:rsidR="00153ACE" w:rsidRPr="00310866">
        <w:rPr>
          <w:rFonts w:ascii="Arial Black" w:hAnsi="Arial Black"/>
          <w:caps/>
          <w:sz w:val="15"/>
          <w:szCs w:val="15"/>
          <w:lang w:val="fr-FR"/>
        </w:rPr>
        <w:t>3 mai 20</w:t>
      </w:r>
      <w:r w:rsidRPr="00310866">
        <w:rPr>
          <w:rFonts w:ascii="Arial Black" w:hAnsi="Arial Black"/>
          <w:caps/>
          <w:sz w:val="15"/>
          <w:szCs w:val="15"/>
          <w:lang w:val="fr-FR"/>
        </w:rPr>
        <w:t>22</w:t>
      </w:r>
    </w:p>
    <w:bookmarkEnd w:id="4"/>
    <w:p w14:paraId="57BA6DC6" w14:textId="097705ED" w:rsidR="00011EB6" w:rsidRPr="00310866" w:rsidRDefault="00737E5D" w:rsidP="00737E5D">
      <w:pPr>
        <w:spacing w:after="600"/>
        <w:rPr>
          <w:b/>
          <w:sz w:val="28"/>
          <w:szCs w:val="28"/>
          <w:lang w:val="fr-FR"/>
        </w:rPr>
      </w:pPr>
      <w:r w:rsidRPr="00310866">
        <w:rPr>
          <w:b/>
          <w:sz w:val="28"/>
          <w:szCs w:val="28"/>
          <w:lang w:val="fr-FR"/>
        </w:rPr>
        <w:t>Comité de coordination de I</w:t>
      </w:r>
      <w:r w:rsidR="001E0F97" w:rsidRPr="00310866">
        <w:rPr>
          <w:b/>
          <w:sz w:val="28"/>
          <w:szCs w:val="28"/>
          <w:lang w:val="fr-FR"/>
        </w:rPr>
        <w:t>’</w:t>
      </w:r>
      <w:r w:rsidRPr="00310866">
        <w:rPr>
          <w:b/>
          <w:sz w:val="28"/>
          <w:szCs w:val="28"/>
          <w:lang w:val="fr-FR"/>
        </w:rPr>
        <w:t>OMPI</w:t>
      </w:r>
    </w:p>
    <w:p w14:paraId="23F631EB" w14:textId="173E2D29" w:rsidR="00011EB6" w:rsidRPr="00310866" w:rsidRDefault="00737E5D" w:rsidP="00737E5D">
      <w:pPr>
        <w:rPr>
          <w:b/>
          <w:sz w:val="24"/>
          <w:szCs w:val="24"/>
          <w:lang w:val="fr-FR"/>
        </w:rPr>
      </w:pPr>
      <w:r w:rsidRPr="00310866">
        <w:rPr>
          <w:b/>
          <w:sz w:val="24"/>
          <w:szCs w:val="24"/>
          <w:lang w:val="fr-FR"/>
        </w:rPr>
        <w:t>Quatre</w:t>
      </w:r>
      <w:r w:rsidR="00F27F99">
        <w:rPr>
          <w:b/>
          <w:sz w:val="24"/>
          <w:szCs w:val="24"/>
          <w:lang w:val="fr-FR"/>
        </w:rPr>
        <w:noBreakHyphen/>
      </w:r>
      <w:r w:rsidRPr="00310866">
        <w:rPr>
          <w:b/>
          <w:sz w:val="24"/>
          <w:szCs w:val="24"/>
          <w:lang w:val="fr-FR"/>
        </w:rPr>
        <w:t>vingt</w:t>
      </w:r>
      <w:r w:rsidR="00F27F99">
        <w:rPr>
          <w:b/>
          <w:sz w:val="24"/>
          <w:szCs w:val="24"/>
          <w:lang w:val="fr-FR"/>
        </w:rPr>
        <w:noBreakHyphen/>
      </w:r>
      <w:r w:rsidRPr="00310866">
        <w:rPr>
          <w:b/>
          <w:sz w:val="24"/>
          <w:szCs w:val="24"/>
          <w:lang w:val="fr-FR"/>
        </w:rPr>
        <w:t>un</w:t>
      </w:r>
      <w:r w:rsidR="001E0F97" w:rsidRPr="00310866">
        <w:rPr>
          <w:b/>
          <w:sz w:val="24"/>
          <w:szCs w:val="24"/>
          <w:lang w:val="fr-FR"/>
        </w:rPr>
        <w:t>ième session</w:t>
      </w:r>
      <w:r w:rsidRPr="00310866">
        <w:rPr>
          <w:b/>
          <w:sz w:val="24"/>
          <w:szCs w:val="24"/>
          <w:lang w:val="fr-FR"/>
        </w:rPr>
        <w:t xml:space="preserve"> (53</w:t>
      </w:r>
      <w:r w:rsidRPr="00310866">
        <w:rPr>
          <w:b/>
          <w:sz w:val="24"/>
          <w:szCs w:val="24"/>
          <w:vertAlign w:val="superscript"/>
          <w:lang w:val="fr-FR"/>
        </w:rPr>
        <w:t>e</w:t>
      </w:r>
      <w:r w:rsidR="002269E9" w:rsidRPr="00310866">
        <w:rPr>
          <w:b/>
          <w:sz w:val="24"/>
          <w:szCs w:val="24"/>
          <w:lang w:val="fr-FR"/>
        </w:rPr>
        <w:t> </w:t>
      </w:r>
      <w:r w:rsidRPr="00310866">
        <w:rPr>
          <w:b/>
          <w:sz w:val="24"/>
          <w:szCs w:val="24"/>
          <w:lang w:val="fr-FR"/>
        </w:rPr>
        <w:t>session ordinaire)</w:t>
      </w:r>
    </w:p>
    <w:p w14:paraId="25CDB160" w14:textId="7A1C2570" w:rsidR="00011EB6" w:rsidRPr="00310866" w:rsidRDefault="00737E5D" w:rsidP="00737E5D">
      <w:pPr>
        <w:spacing w:after="720"/>
        <w:rPr>
          <w:b/>
          <w:sz w:val="24"/>
          <w:szCs w:val="24"/>
          <w:lang w:val="fr-FR"/>
        </w:rPr>
      </w:pPr>
      <w:r w:rsidRPr="00310866">
        <w:rPr>
          <w:b/>
          <w:sz w:val="24"/>
          <w:szCs w:val="24"/>
          <w:lang w:val="fr-FR"/>
        </w:rPr>
        <w:t>Genève, 1</w:t>
      </w:r>
      <w:r w:rsidR="00BA7548" w:rsidRPr="00310866">
        <w:rPr>
          <w:b/>
          <w:sz w:val="24"/>
          <w:szCs w:val="24"/>
          <w:lang w:val="fr-FR"/>
        </w:rPr>
        <w:t>4</w:t>
      </w:r>
      <w:r w:rsidRPr="00310866">
        <w:rPr>
          <w:b/>
          <w:sz w:val="24"/>
          <w:szCs w:val="24"/>
          <w:lang w:val="fr-FR"/>
        </w:rPr>
        <w:t xml:space="preserve"> – 2</w:t>
      </w:r>
      <w:r w:rsidR="00153ACE" w:rsidRPr="00310866">
        <w:rPr>
          <w:b/>
          <w:sz w:val="24"/>
          <w:szCs w:val="24"/>
          <w:lang w:val="fr-FR"/>
        </w:rPr>
        <w:t>2 juillet 20</w:t>
      </w:r>
      <w:r w:rsidRPr="00310866">
        <w:rPr>
          <w:b/>
          <w:sz w:val="24"/>
          <w:szCs w:val="24"/>
          <w:lang w:val="fr-FR"/>
        </w:rPr>
        <w:t>22</w:t>
      </w:r>
    </w:p>
    <w:p w14:paraId="3509A5AF" w14:textId="4975C83C" w:rsidR="00011EB6" w:rsidRPr="00F27F99" w:rsidRDefault="00F27F99" w:rsidP="00F27F99">
      <w:pPr>
        <w:spacing w:after="360"/>
        <w:rPr>
          <w:caps/>
          <w:sz w:val="24"/>
          <w:lang w:val="fr-FR"/>
        </w:rPr>
      </w:pPr>
      <w:r w:rsidRPr="00F27F99">
        <w:rPr>
          <w:caps/>
          <w:sz w:val="24"/>
          <w:lang w:val="fr-FR"/>
        </w:rPr>
        <w:t>Rapport annuel du bureau de la déontologie</w:t>
      </w:r>
    </w:p>
    <w:bookmarkEnd w:id="0"/>
    <w:p w14:paraId="6FE97EC6" w14:textId="2BD7978F" w:rsidR="00011EB6" w:rsidRPr="00310866" w:rsidRDefault="00011EB6" w:rsidP="00011EB6">
      <w:pPr>
        <w:spacing w:after="960"/>
        <w:rPr>
          <w:i/>
          <w:lang w:val="fr-FR"/>
        </w:rPr>
      </w:pPr>
      <w:proofErr w:type="gramStart"/>
      <w:r w:rsidRPr="00310866">
        <w:rPr>
          <w:i/>
          <w:lang w:val="fr-FR"/>
        </w:rPr>
        <w:t>établi</w:t>
      </w:r>
      <w:proofErr w:type="gramEnd"/>
      <w:r w:rsidRPr="00310866">
        <w:rPr>
          <w:i/>
          <w:lang w:val="fr-FR"/>
        </w:rPr>
        <w:t xml:space="preserve"> par le Secrétariat</w:t>
      </w:r>
    </w:p>
    <w:bookmarkEnd w:id="1"/>
    <w:p w14:paraId="6B6B476F" w14:textId="20DFC98C" w:rsidR="00011EB6" w:rsidRPr="00310866" w:rsidRDefault="00011EB6" w:rsidP="00F27F99">
      <w:pPr>
        <w:pStyle w:val="ONUMFS"/>
        <w:rPr>
          <w:lang w:val="fr-FR"/>
        </w:rPr>
      </w:pPr>
      <w:r w:rsidRPr="00310866">
        <w:rPr>
          <w:lang w:val="fr-FR"/>
        </w:rPr>
        <w:t>Le présent rapport annuel est soumis à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Assemblée générale de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OMPI</w:t>
      </w:r>
      <w:r w:rsidR="001E4141" w:rsidRPr="00310866">
        <w:rPr>
          <w:lang w:val="fr-FR"/>
        </w:rPr>
        <w:t>,</w:t>
      </w:r>
      <w:r w:rsidRPr="00310866">
        <w:rPr>
          <w:lang w:val="fr-FR"/>
        </w:rPr>
        <w:t xml:space="preserve"> </w:t>
      </w:r>
      <w:r w:rsidR="001E4141" w:rsidRPr="00310866">
        <w:rPr>
          <w:lang w:val="fr-FR"/>
        </w:rPr>
        <w:t>par l</w:t>
      </w:r>
      <w:r w:rsidR="001E0F97" w:rsidRPr="00310866">
        <w:rPr>
          <w:lang w:val="fr-FR"/>
        </w:rPr>
        <w:t>’</w:t>
      </w:r>
      <w:r w:rsidR="001E4141" w:rsidRPr="00310866">
        <w:rPr>
          <w:lang w:val="fr-FR"/>
        </w:rPr>
        <w:t>intermédiaire du D</w:t>
      </w:r>
      <w:r w:rsidRPr="00310866">
        <w:rPr>
          <w:lang w:val="fr-FR"/>
        </w:rPr>
        <w:t>irecteur général</w:t>
      </w:r>
      <w:r w:rsidR="001E4141" w:rsidRPr="00310866">
        <w:rPr>
          <w:lang w:val="fr-FR"/>
        </w:rPr>
        <w:t>,</w:t>
      </w:r>
      <w:r w:rsidRPr="00310866">
        <w:rPr>
          <w:lang w:val="fr-FR"/>
        </w:rPr>
        <w:t xml:space="preserve"> </w:t>
      </w:r>
      <w:r w:rsidR="001E4141" w:rsidRPr="00310866">
        <w:rPr>
          <w:lang w:val="fr-FR"/>
        </w:rPr>
        <w:t>à l</w:t>
      </w:r>
      <w:r w:rsidR="001E0F97" w:rsidRPr="00310866">
        <w:rPr>
          <w:lang w:val="fr-FR"/>
        </w:rPr>
        <w:t>’</w:t>
      </w:r>
      <w:r w:rsidR="001E4141" w:rsidRPr="00310866">
        <w:rPr>
          <w:lang w:val="fr-FR"/>
        </w:rPr>
        <w:t>occasion</w:t>
      </w:r>
      <w:r w:rsidRPr="00310866">
        <w:rPr>
          <w:lang w:val="fr-FR"/>
        </w:rPr>
        <w:t xml:space="preserve"> de sa quatre</w:t>
      </w:r>
      <w:r w:rsidR="00F27F99">
        <w:rPr>
          <w:lang w:val="fr-FR"/>
        </w:rPr>
        <w:noBreakHyphen/>
      </w:r>
      <w:r w:rsidRPr="00310866">
        <w:rPr>
          <w:lang w:val="fr-FR"/>
        </w:rPr>
        <w:t>vingt</w:t>
      </w:r>
      <w:r w:rsidR="00F27F99">
        <w:rPr>
          <w:lang w:val="fr-FR"/>
        </w:rPr>
        <w:noBreakHyphen/>
      </w:r>
      <w:r w:rsidRPr="00310866">
        <w:rPr>
          <w:lang w:val="fr-FR"/>
        </w:rPr>
        <w:t>un</w:t>
      </w:r>
      <w:r w:rsidR="001E0F97" w:rsidRPr="00310866">
        <w:rPr>
          <w:lang w:val="fr-FR"/>
        </w:rPr>
        <w:t>ième sessi</w:t>
      </w:r>
      <w:r w:rsidR="00310866" w:rsidRPr="00310866">
        <w:rPr>
          <w:lang w:val="fr-FR"/>
        </w:rPr>
        <w:t>on.  Ce</w:t>
      </w:r>
      <w:r w:rsidRPr="00310866">
        <w:rPr>
          <w:lang w:val="fr-FR"/>
        </w:rPr>
        <w:t xml:space="preserve"> rapport a été </w:t>
      </w:r>
      <w:r w:rsidR="001E4141" w:rsidRPr="00310866">
        <w:rPr>
          <w:lang w:val="fr-FR"/>
        </w:rPr>
        <w:t>présenté</w:t>
      </w:r>
      <w:r w:rsidRPr="00310866">
        <w:rPr>
          <w:lang w:val="fr-FR"/>
        </w:rPr>
        <w:t xml:space="preserve"> </w:t>
      </w:r>
      <w:r w:rsidR="001E4141" w:rsidRPr="00310866">
        <w:rPr>
          <w:lang w:val="fr-FR"/>
        </w:rPr>
        <w:t>d</w:t>
      </w:r>
      <w:r w:rsidRPr="00310866">
        <w:rPr>
          <w:lang w:val="fr-FR"/>
        </w:rPr>
        <w:t xml:space="preserve">irectement au </w:t>
      </w:r>
      <w:r w:rsidR="001E4141" w:rsidRPr="00310866">
        <w:rPr>
          <w:lang w:val="fr-FR"/>
        </w:rPr>
        <w:t>D</w:t>
      </w:r>
      <w:r w:rsidRPr="00310866">
        <w:rPr>
          <w:lang w:val="fr-FR"/>
        </w:rPr>
        <w:t xml:space="preserve">irecteur général conformément à </w:t>
      </w:r>
      <w:r w:rsidR="001E4141" w:rsidRPr="00310866">
        <w:rPr>
          <w:lang w:val="fr-FR"/>
        </w:rPr>
        <w:t>l</w:t>
      </w:r>
      <w:r w:rsidR="001E0F97" w:rsidRPr="00310866">
        <w:rPr>
          <w:lang w:val="fr-FR"/>
        </w:rPr>
        <w:t>’</w:t>
      </w:r>
      <w:r w:rsidR="001E4141" w:rsidRPr="00310866">
        <w:rPr>
          <w:lang w:val="fr-FR"/>
        </w:rPr>
        <w:t>ordre de service</w:t>
      </w:r>
      <w:r w:rsidRPr="00310866">
        <w:rPr>
          <w:lang w:val="fr-FR"/>
        </w:rPr>
        <w:t xml:space="preserve"> n°</w:t>
      </w:r>
      <w:r w:rsidR="004768AA" w:rsidRPr="00310866">
        <w:rPr>
          <w:lang w:val="fr-FR"/>
        </w:rPr>
        <w:t> </w:t>
      </w:r>
      <w:r w:rsidRPr="00310866">
        <w:rPr>
          <w:lang w:val="fr-FR"/>
        </w:rPr>
        <w:t xml:space="preserve">16/2020 intitulé </w:t>
      </w:r>
      <w:r w:rsidR="00153ACE" w:rsidRPr="00310866">
        <w:rPr>
          <w:lang w:val="fr-FR"/>
        </w:rPr>
        <w:t>“B</w:t>
      </w:r>
      <w:r w:rsidRPr="00310866">
        <w:rPr>
          <w:lang w:val="fr-FR"/>
        </w:rPr>
        <w:t xml:space="preserve">ureau de </w:t>
      </w:r>
      <w:r w:rsidR="001E4141" w:rsidRPr="00310866">
        <w:rPr>
          <w:lang w:val="fr-FR"/>
        </w:rPr>
        <w:t>la déontologie</w:t>
      </w:r>
      <w:r w:rsidRPr="00310866">
        <w:rPr>
          <w:lang w:val="fr-FR"/>
        </w:rPr>
        <w:t xml:space="preserve"> de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OMP</w:t>
      </w:r>
      <w:r w:rsidR="00153ACE" w:rsidRPr="00310866">
        <w:rPr>
          <w:lang w:val="fr-FR"/>
        </w:rPr>
        <w:t>I”</w:t>
      </w:r>
      <w:r w:rsidRPr="00310866">
        <w:rPr>
          <w:lang w:val="fr-FR"/>
        </w:rPr>
        <w:t>.</w:t>
      </w:r>
    </w:p>
    <w:p w14:paraId="5AE7D035" w14:textId="73A35403" w:rsidR="00011EB6" w:rsidRPr="00F27F99" w:rsidRDefault="00F27F99" w:rsidP="00F27F99">
      <w:pPr>
        <w:pStyle w:val="Heading1"/>
      </w:pPr>
      <w:r w:rsidRPr="00F27F99">
        <w:t>Rappel</w:t>
      </w:r>
    </w:p>
    <w:p w14:paraId="00D70140" w14:textId="3E8CB72F" w:rsidR="00153ACE" w:rsidRPr="00310866" w:rsidRDefault="00011EB6" w:rsidP="00F27F99">
      <w:pPr>
        <w:pStyle w:val="ONUMFS"/>
        <w:rPr>
          <w:lang w:val="fr-FR"/>
        </w:rPr>
      </w:pPr>
      <w:r w:rsidRPr="00310866">
        <w:rPr>
          <w:lang w:val="fr-FR"/>
        </w:rPr>
        <w:t xml:space="preserve">Le </w:t>
      </w:r>
      <w:r w:rsidR="00C854C7" w:rsidRPr="00310866">
        <w:rPr>
          <w:lang w:val="fr-FR"/>
        </w:rPr>
        <w:t>Bureau de la déontologie</w:t>
      </w:r>
      <w:r w:rsidRPr="00310866">
        <w:rPr>
          <w:lang w:val="fr-FR"/>
        </w:rPr>
        <w:t xml:space="preserve"> </w:t>
      </w:r>
      <w:r w:rsidR="00C854C7" w:rsidRPr="00310866">
        <w:rPr>
          <w:lang w:val="fr-FR"/>
        </w:rPr>
        <w:t>aide</w:t>
      </w:r>
      <w:r w:rsidRPr="00310866">
        <w:rPr>
          <w:lang w:val="fr-FR"/>
        </w:rPr>
        <w:t xml:space="preserve"> le </w:t>
      </w:r>
      <w:r w:rsidR="00C854C7" w:rsidRPr="00310866">
        <w:rPr>
          <w:lang w:val="fr-FR"/>
        </w:rPr>
        <w:t>D</w:t>
      </w:r>
      <w:r w:rsidRPr="00310866">
        <w:rPr>
          <w:lang w:val="fr-FR"/>
        </w:rPr>
        <w:t xml:space="preserve">irecteur général à faire en sorte que tous les </w:t>
      </w:r>
      <w:r w:rsidR="00C854C7" w:rsidRPr="00310866">
        <w:rPr>
          <w:lang w:val="fr-FR"/>
        </w:rPr>
        <w:t xml:space="preserve">fonctionnaires et autres membres </w:t>
      </w:r>
      <w:r w:rsidRPr="00310866">
        <w:rPr>
          <w:lang w:val="fr-FR"/>
        </w:rPr>
        <w:t>du personnel de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 xml:space="preserve">OMPI exercent leurs fonctions conformément aux normes </w:t>
      </w:r>
      <w:r w:rsidR="003A1521" w:rsidRPr="00310866">
        <w:rPr>
          <w:lang w:val="fr-FR"/>
        </w:rPr>
        <w:t xml:space="preserve">de conduite </w:t>
      </w:r>
      <w:r w:rsidRPr="00310866">
        <w:rPr>
          <w:lang w:val="fr-FR"/>
        </w:rPr>
        <w:t>les plus élevées en matière d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éthique et d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 xml:space="preserve">intégrité </w:t>
      </w:r>
      <w:r w:rsidR="000F048D" w:rsidRPr="00310866">
        <w:rPr>
          <w:lang w:val="fr-FR"/>
        </w:rPr>
        <w:t>exigées</w:t>
      </w:r>
      <w:r w:rsidRPr="00310866">
        <w:rPr>
          <w:lang w:val="fr-FR"/>
        </w:rPr>
        <w:t xml:space="preserve"> par la Convention instituant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 xml:space="preserve">OMPI, les Normes de conduite requises des fonctionnaires internationaux, le Statut et le Règlement du personnel, le Code </w:t>
      </w:r>
      <w:r w:rsidR="00C854C7" w:rsidRPr="00310866">
        <w:rPr>
          <w:lang w:val="fr-FR"/>
        </w:rPr>
        <w:t>de déontologie</w:t>
      </w:r>
      <w:r w:rsidRPr="00310866">
        <w:rPr>
          <w:lang w:val="fr-FR"/>
        </w:rPr>
        <w:t xml:space="preserve"> de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 xml:space="preserve">OMPI et les politiques et procédures </w:t>
      </w:r>
      <w:r w:rsidR="00C854C7" w:rsidRPr="00310866">
        <w:rPr>
          <w:lang w:val="fr-FR"/>
        </w:rPr>
        <w:t>connexes</w:t>
      </w:r>
      <w:r w:rsidRPr="00310866">
        <w:rPr>
          <w:lang w:val="fr-FR"/>
        </w:rPr>
        <w:t>.</w:t>
      </w:r>
    </w:p>
    <w:p w14:paraId="6562B563" w14:textId="25BCDAEE" w:rsidR="00153ACE" w:rsidRPr="00310866" w:rsidRDefault="00011EB6" w:rsidP="00F27F99">
      <w:pPr>
        <w:pStyle w:val="ONUMFS"/>
        <w:rPr>
          <w:lang w:val="fr-FR"/>
        </w:rPr>
      </w:pPr>
      <w:r w:rsidRPr="00310866">
        <w:rPr>
          <w:lang w:val="fr-FR"/>
        </w:rPr>
        <w:t xml:space="preserve">Le </w:t>
      </w:r>
      <w:r w:rsidR="00C854C7" w:rsidRPr="00310866">
        <w:rPr>
          <w:lang w:val="fr-FR"/>
        </w:rPr>
        <w:t>Bureau de la déontologie</w:t>
      </w:r>
      <w:r w:rsidRPr="00310866">
        <w:rPr>
          <w:lang w:val="fr-FR"/>
        </w:rPr>
        <w:t xml:space="preserve"> est fondé sur les piliers de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indépendance, de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impartialité et de la confidentiali</w:t>
      </w:r>
      <w:r w:rsidR="00310866" w:rsidRPr="00310866">
        <w:rPr>
          <w:lang w:val="fr-FR"/>
        </w:rPr>
        <w:t>té.  Se</w:t>
      </w:r>
      <w:r w:rsidRPr="00310866">
        <w:rPr>
          <w:lang w:val="fr-FR"/>
        </w:rPr>
        <w:t>s activités visent à promouvoir une culture organisationnelle de</w:t>
      </w:r>
      <w:r w:rsidR="00A14CDE" w:rsidRPr="00310866">
        <w:rPr>
          <w:lang w:val="fr-FR"/>
        </w:rPr>
        <w:t xml:space="preserve"> l</w:t>
      </w:r>
      <w:r w:rsidR="001E0F97" w:rsidRPr="00310866">
        <w:rPr>
          <w:lang w:val="fr-FR"/>
        </w:rPr>
        <w:t>’</w:t>
      </w:r>
      <w:r w:rsidR="00A14CDE" w:rsidRPr="00310866">
        <w:rPr>
          <w:lang w:val="fr-FR"/>
        </w:rPr>
        <w:t>éthique</w:t>
      </w:r>
      <w:r w:rsidRPr="00310866">
        <w:rPr>
          <w:lang w:val="fr-FR"/>
        </w:rPr>
        <w:t xml:space="preserve"> fondée sur des valeurs communes d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indépendance, de loyauté, d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impartialité, d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intégrité, de responsabilité et de respect des droits de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homme.</w:t>
      </w:r>
    </w:p>
    <w:p w14:paraId="2B67E3BB" w14:textId="24BB37A8" w:rsidR="00011EB6" w:rsidRPr="00310866" w:rsidRDefault="00011EB6" w:rsidP="00F27F99">
      <w:pPr>
        <w:pStyle w:val="ONUMFS"/>
        <w:rPr>
          <w:lang w:val="fr-FR"/>
        </w:rPr>
      </w:pPr>
      <w:r w:rsidRPr="00310866">
        <w:rPr>
          <w:lang w:val="fr-FR"/>
        </w:rPr>
        <w:t xml:space="preserve">Le </w:t>
      </w:r>
      <w:r w:rsidR="00C854C7" w:rsidRPr="00310866">
        <w:rPr>
          <w:lang w:val="fr-FR"/>
        </w:rPr>
        <w:t>Bureau de la déontologie</w:t>
      </w:r>
      <w:r w:rsidRPr="00310866">
        <w:rPr>
          <w:lang w:val="fr-FR"/>
        </w:rPr>
        <w:t xml:space="preserve"> est dirigé par un</w:t>
      </w:r>
      <w:r w:rsidR="00E06BD8" w:rsidRPr="00310866">
        <w:rPr>
          <w:lang w:val="fr-FR"/>
        </w:rPr>
        <w:t>e cheffe ou un</w:t>
      </w:r>
      <w:r w:rsidRPr="00310866">
        <w:rPr>
          <w:lang w:val="fr-FR"/>
        </w:rPr>
        <w:t xml:space="preserve"> </w:t>
      </w:r>
      <w:r w:rsidR="00E06BD8" w:rsidRPr="00310866">
        <w:rPr>
          <w:lang w:val="fr-FR"/>
        </w:rPr>
        <w:t>chef</w:t>
      </w:r>
      <w:r w:rsidRPr="00310866">
        <w:rPr>
          <w:lang w:val="fr-FR"/>
        </w:rPr>
        <w:t>, qui jouit d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une indépendance fonctionnelle et opérationnelle vis</w:t>
      </w:r>
      <w:r w:rsidR="00F27F99">
        <w:rPr>
          <w:lang w:val="fr-FR"/>
        </w:rPr>
        <w:noBreakHyphen/>
      </w:r>
      <w:r w:rsidRPr="00310866">
        <w:rPr>
          <w:lang w:val="fr-FR"/>
        </w:rPr>
        <w:t>à</w:t>
      </w:r>
      <w:r w:rsidR="00F27F99">
        <w:rPr>
          <w:lang w:val="fr-FR"/>
        </w:rPr>
        <w:noBreakHyphen/>
      </w:r>
      <w:r w:rsidRPr="00310866">
        <w:rPr>
          <w:lang w:val="fr-FR"/>
        </w:rPr>
        <w:t xml:space="preserve">vis de la direction dans </w:t>
      </w:r>
      <w:r w:rsidR="00E06BD8" w:rsidRPr="00310866">
        <w:rPr>
          <w:lang w:val="fr-FR"/>
        </w:rPr>
        <w:t>l</w:t>
      </w:r>
      <w:r w:rsidR="001E0F97" w:rsidRPr="00310866">
        <w:rPr>
          <w:lang w:val="fr-FR"/>
        </w:rPr>
        <w:t>’</w:t>
      </w:r>
      <w:r w:rsidR="00E06BD8" w:rsidRPr="00310866">
        <w:rPr>
          <w:lang w:val="fr-FR"/>
        </w:rPr>
        <w:t>exercice</w:t>
      </w:r>
      <w:r w:rsidRPr="00310866">
        <w:rPr>
          <w:lang w:val="fr-FR"/>
        </w:rPr>
        <w:t xml:space="preserve"> de sa fonction.</w:t>
      </w:r>
    </w:p>
    <w:p w14:paraId="299431A9" w14:textId="143D991A" w:rsidR="00011EB6" w:rsidRPr="00310866" w:rsidRDefault="00F27F99" w:rsidP="00F27F99">
      <w:pPr>
        <w:pStyle w:val="Heading1"/>
      </w:pPr>
      <w:r>
        <w:lastRenderedPageBreak/>
        <w:t>Activités du B</w:t>
      </w:r>
      <w:r w:rsidRPr="00310866">
        <w:t>ureau de la déontologie</w:t>
      </w:r>
    </w:p>
    <w:p w14:paraId="18BF3932" w14:textId="53E9B131" w:rsidR="00153ACE" w:rsidRPr="00310866" w:rsidRDefault="00011EB6" w:rsidP="00F27F99">
      <w:pPr>
        <w:pStyle w:val="ONUMFS"/>
        <w:rPr>
          <w:lang w:val="fr-FR"/>
        </w:rPr>
      </w:pPr>
      <w:r w:rsidRPr="00310866">
        <w:rPr>
          <w:lang w:val="fr-FR"/>
        </w:rPr>
        <w:t xml:space="preserve">Le présent rapport donne un aperçu des activités </w:t>
      </w:r>
      <w:r w:rsidR="00A4782C" w:rsidRPr="00310866">
        <w:rPr>
          <w:lang w:val="fr-FR"/>
        </w:rPr>
        <w:t>menées par le</w:t>
      </w:r>
      <w:r w:rsidRPr="00310866">
        <w:rPr>
          <w:lang w:val="fr-FR"/>
        </w:rPr>
        <w:t xml:space="preserve"> </w:t>
      </w:r>
      <w:r w:rsidR="00C854C7" w:rsidRPr="00310866">
        <w:rPr>
          <w:lang w:val="fr-FR"/>
        </w:rPr>
        <w:t>Bureau de la déontologie</w:t>
      </w:r>
      <w:r w:rsidRPr="00310866">
        <w:rPr>
          <w:lang w:val="fr-FR"/>
        </w:rPr>
        <w:t xml:space="preserve"> </w:t>
      </w:r>
      <w:r w:rsidR="008605BA" w:rsidRPr="00310866">
        <w:rPr>
          <w:lang w:val="fr-FR"/>
        </w:rPr>
        <w:t>au cours de</w:t>
      </w:r>
      <w:r w:rsidRPr="00310866">
        <w:rPr>
          <w:lang w:val="fr-FR"/>
        </w:rPr>
        <w:t xml:space="preserve"> la période </w:t>
      </w:r>
      <w:r w:rsidR="008605BA" w:rsidRPr="00310866">
        <w:rPr>
          <w:lang w:val="fr-FR"/>
        </w:rPr>
        <w:t>comprise entre le</w:t>
      </w:r>
      <w:r w:rsidR="001E0F97" w:rsidRPr="00310866">
        <w:rPr>
          <w:lang w:val="fr-FR"/>
        </w:rPr>
        <w:t xml:space="preserve"> 1</w:t>
      </w:r>
      <w:r w:rsidR="001E0F97" w:rsidRPr="00310866">
        <w:rPr>
          <w:vertAlign w:val="superscript"/>
          <w:lang w:val="fr-FR"/>
        </w:rPr>
        <w:t>er</w:t>
      </w:r>
      <w:r w:rsidR="001E0F97" w:rsidRPr="00310866">
        <w:rPr>
          <w:lang w:val="fr-FR"/>
        </w:rPr>
        <w:t> </w:t>
      </w:r>
      <w:r w:rsidR="00153ACE" w:rsidRPr="00310866">
        <w:rPr>
          <w:lang w:val="fr-FR"/>
        </w:rPr>
        <w:t>janvier 20</w:t>
      </w:r>
      <w:r w:rsidRPr="00310866">
        <w:rPr>
          <w:lang w:val="fr-FR"/>
        </w:rPr>
        <w:t xml:space="preserve">21 </w:t>
      </w:r>
      <w:r w:rsidR="00A4782C" w:rsidRPr="00310866">
        <w:rPr>
          <w:lang w:val="fr-FR"/>
        </w:rPr>
        <w:t>et le</w:t>
      </w:r>
      <w:r w:rsidRPr="00310866">
        <w:rPr>
          <w:lang w:val="fr-FR"/>
        </w:rPr>
        <w:t xml:space="preserve"> 3</w:t>
      </w:r>
      <w:r w:rsidR="00153ACE" w:rsidRPr="00310866">
        <w:rPr>
          <w:lang w:val="fr-FR"/>
        </w:rPr>
        <w:t>1 décembre 20</w:t>
      </w:r>
      <w:r w:rsidRPr="00310866">
        <w:rPr>
          <w:lang w:val="fr-FR"/>
        </w:rPr>
        <w:t>21.</w:t>
      </w:r>
    </w:p>
    <w:p w14:paraId="42B8736B" w14:textId="301D6BFE" w:rsidR="00011EB6" w:rsidRPr="00310866" w:rsidRDefault="00011EB6" w:rsidP="00F27F99">
      <w:pPr>
        <w:pStyle w:val="ONUMFS"/>
        <w:rPr>
          <w:lang w:val="fr-FR"/>
        </w:rPr>
      </w:pPr>
      <w:r w:rsidRPr="00310866">
        <w:rPr>
          <w:lang w:val="fr-FR"/>
        </w:rPr>
        <w:t xml:space="preserve">Comme </w:t>
      </w:r>
      <w:r w:rsidR="004279D3" w:rsidRPr="00310866">
        <w:rPr>
          <w:lang w:val="fr-FR"/>
        </w:rPr>
        <w:t xml:space="preserve">pour </w:t>
      </w:r>
      <w:r w:rsidRPr="00310866">
        <w:rPr>
          <w:lang w:val="fr-FR"/>
        </w:rPr>
        <w:t xml:space="preserve">les années précédentes, </w:t>
      </w:r>
      <w:r w:rsidR="004279D3" w:rsidRPr="00310866">
        <w:rPr>
          <w:lang w:val="fr-FR"/>
        </w:rPr>
        <w:t>le</w:t>
      </w:r>
      <w:r w:rsidRPr="00310866">
        <w:rPr>
          <w:lang w:val="fr-FR"/>
        </w:rPr>
        <w:t xml:space="preserve"> </w:t>
      </w:r>
      <w:r w:rsidR="00C854C7" w:rsidRPr="00310866">
        <w:rPr>
          <w:lang w:val="fr-FR"/>
        </w:rPr>
        <w:t>Bureau de la déontologie</w:t>
      </w:r>
      <w:r w:rsidRPr="00310866">
        <w:rPr>
          <w:lang w:val="fr-FR"/>
        </w:rPr>
        <w:t xml:space="preserve"> </w:t>
      </w:r>
      <w:r w:rsidR="00B45A37" w:rsidRPr="00310866">
        <w:rPr>
          <w:lang w:val="fr-FR"/>
        </w:rPr>
        <w:t xml:space="preserve">a œuvré </w:t>
      </w:r>
      <w:r w:rsidRPr="00310866">
        <w:rPr>
          <w:lang w:val="fr-FR"/>
        </w:rPr>
        <w:t xml:space="preserve">dans les domaines </w:t>
      </w:r>
      <w:r w:rsidR="004279D3" w:rsidRPr="00310866">
        <w:rPr>
          <w:lang w:val="fr-FR"/>
        </w:rPr>
        <w:t>ci</w:t>
      </w:r>
      <w:r w:rsidR="00F27F99">
        <w:rPr>
          <w:lang w:val="fr-FR"/>
        </w:rPr>
        <w:noBreakHyphen/>
      </w:r>
      <w:r w:rsidR="004279D3" w:rsidRPr="00310866">
        <w:rPr>
          <w:lang w:val="fr-FR"/>
        </w:rPr>
        <w:t>après</w:t>
      </w:r>
      <w:r w:rsidR="008B60D6" w:rsidRPr="00310866">
        <w:rPr>
          <w:lang w:val="fr-FR"/>
        </w:rPr>
        <w:t xml:space="preserve"> </w:t>
      </w:r>
      <w:r w:rsidR="00B45A37" w:rsidRPr="00310866">
        <w:rPr>
          <w:lang w:val="fr-FR"/>
        </w:rPr>
        <w:t>relevant de son mandat</w:t>
      </w:r>
      <w:r w:rsidR="001E0F97" w:rsidRPr="00310866">
        <w:rPr>
          <w:lang w:val="fr-FR"/>
        </w:rPr>
        <w:t> :</w:t>
      </w:r>
    </w:p>
    <w:p w14:paraId="199E0BCB" w14:textId="7E72E16B" w:rsidR="00011EB6" w:rsidRPr="00310866" w:rsidRDefault="005C6D26" w:rsidP="00F27F99">
      <w:pPr>
        <w:pStyle w:val="ONUMFS"/>
        <w:numPr>
          <w:ilvl w:val="1"/>
          <w:numId w:val="6"/>
        </w:numPr>
        <w:rPr>
          <w:lang w:val="fr-FR"/>
        </w:rPr>
      </w:pPr>
      <w:proofErr w:type="gramStart"/>
      <w:r w:rsidRPr="00310866">
        <w:rPr>
          <w:lang w:val="fr-FR"/>
        </w:rPr>
        <w:t>conseils</w:t>
      </w:r>
      <w:proofErr w:type="gramEnd"/>
      <w:r w:rsidRPr="00310866">
        <w:rPr>
          <w:lang w:val="fr-FR"/>
        </w:rPr>
        <w:t xml:space="preserve"> et avis</w:t>
      </w:r>
      <w:r w:rsidR="00266F53" w:rsidRPr="00310866">
        <w:rPr>
          <w:lang w:val="fr-FR"/>
        </w:rPr>
        <w:t xml:space="preserve"> confidentiels</w:t>
      </w:r>
      <w:r w:rsidR="00011EB6" w:rsidRPr="00310866">
        <w:rPr>
          <w:lang w:val="fr-FR"/>
        </w:rPr>
        <w:t>;</w:t>
      </w:r>
    </w:p>
    <w:p w14:paraId="632464A2" w14:textId="787512A7" w:rsidR="00011EB6" w:rsidRPr="00310866" w:rsidRDefault="00011EB6" w:rsidP="00F27F99">
      <w:pPr>
        <w:pStyle w:val="ONUMFS"/>
        <w:numPr>
          <w:ilvl w:val="1"/>
          <w:numId w:val="6"/>
        </w:numPr>
        <w:rPr>
          <w:lang w:val="fr-FR"/>
        </w:rPr>
      </w:pPr>
      <w:proofErr w:type="gramStart"/>
      <w:r w:rsidRPr="00310866">
        <w:rPr>
          <w:lang w:val="fr-FR"/>
        </w:rPr>
        <w:t>sensibilisation</w:t>
      </w:r>
      <w:proofErr w:type="gramEnd"/>
      <w:r w:rsidRPr="00310866">
        <w:rPr>
          <w:lang w:val="fr-FR"/>
        </w:rPr>
        <w:t xml:space="preserve"> et formation;</w:t>
      </w:r>
    </w:p>
    <w:p w14:paraId="4D686959" w14:textId="222FF51E" w:rsidR="00011EB6" w:rsidRPr="00310866" w:rsidRDefault="0061058C" w:rsidP="00F27F99">
      <w:pPr>
        <w:pStyle w:val="ONUMFS"/>
        <w:numPr>
          <w:ilvl w:val="1"/>
          <w:numId w:val="6"/>
        </w:numPr>
        <w:rPr>
          <w:lang w:val="fr-FR"/>
        </w:rPr>
      </w:pPr>
      <w:proofErr w:type="gramStart"/>
      <w:r w:rsidRPr="00310866">
        <w:rPr>
          <w:lang w:val="fr-FR"/>
        </w:rPr>
        <w:t>établissement</w:t>
      </w:r>
      <w:proofErr w:type="gramEnd"/>
      <w:r w:rsidRPr="00310866">
        <w:rPr>
          <w:lang w:val="fr-FR"/>
        </w:rPr>
        <w:t xml:space="preserve"> de normes et </w:t>
      </w:r>
      <w:r w:rsidR="004279D3" w:rsidRPr="00310866">
        <w:rPr>
          <w:lang w:val="fr-FR"/>
        </w:rPr>
        <w:t>développement</w:t>
      </w:r>
      <w:r w:rsidR="00011EB6" w:rsidRPr="00310866">
        <w:rPr>
          <w:lang w:val="fr-FR"/>
        </w:rPr>
        <w:t xml:space="preserve"> de </w:t>
      </w:r>
      <w:r w:rsidRPr="00310866">
        <w:rPr>
          <w:lang w:val="fr-FR"/>
        </w:rPr>
        <w:t>politiques</w:t>
      </w:r>
      <w:r w:rsidR="004768AA" w:rsidRPr="00310866">
        <w:rPr>
          <w:lang w:val="fr-FR"/>
        </w:rPr>
        <w:t xml:space="preserve">; </w:t>
      </w:r>
      <w:r w:rsidR="00011EB6" w:rsidRPr="00310866">
        <w:rPr>
          <w:lang w:val="fr-FR"/>
        </w:rPr>
        <w:t xml:space="preserve"> et</w:t>
      </w:r>
    </w:p>
    <w:p w14:paraId="0D32E842" w14:textId="69B8A017" w:rsidR="00011EB6" w:rsidRPr="00310866" w:rsidRDefault="00011EB6" w:rsidP="00F27F99">
      <w:pPr>
        <w:pStyle w:val="ONUMFS"/>
        <w:numPr>
          <w:ilvl w:val="1"/>
          <w:numId w:val="6"/>
        </w:numPr>
        <w:rPr>
          <w:lang w:val="fr-FR"/>
        </w:rPr>
      </w:pPr>
      <w:proofErr w:type="gramStart"/>
      <w:r w:rsidRPr="00310866">
        <w:rPr>
          <w:lang w:val="fr-FR"/>
        </w:rPr>
        <w:t>mise</w:t>
      </w:r>
      <w:proofErr w:type="gramEnd"/>
      <w:r w:rsidRPr="00310866">
        <w:rPr>
          <w:lang w:val="fr-FR"/>
        </w:rPr>
        <w:t xml:space="preserve"> en œuvre des politiques </w:t>
      </w:r>
      <w:r w:rsidR="00431221" w:rsidRPr="00310866">
        <w:rPr>
          <w:lang w:val="fr-FR"/>
        </w:rPr>
        <w:t>assignées</w:t>
      </w:r>
      <w:r w:rsidRPr="00310866">
        <w:rPr>
          <w:lang w:val="fr-FR"/>
        </w:rPr>
        <w:t xml:space="preserve"> au </w:t>
      </w:r>
      <w:r w:rsidR="00C854C7" w:rsidRPr="00310866">
        <w:rPr>
          <w:lang w:val="fr-FR"/>
        </w:rPr>
        <w:t>Bureau de la déontologie</w:t>
      </w:r>
      <w:r w:rsidRPr="00310866">
        <w:rPr>
          <w:lang w:val="fr-FR"/>
        </w:rPr>
        <w:t>.</w:t>
      </w:r>
    </w:p>
    <w:p w14:paraId="595E9B65" w14:textId="1853BA93" w:rsidR="00011EB6" w:rsidRPr="00F27F99" w:rsidRDefault="00F27F99" w:rsidP="00F27F99">
      <w:pPr>
        <w:pStyle w:val="Heading2"/>
      </w:pPr>
      <w:r w:rsidRPr="00F27F99">
        <w:t>Conseils et avis confidentiels</w:t>
      </w:r>
    </w:p>
    <w:p w14:paraId="14E29D44" w14:textId="0B5F143B" w:rsidR="00153ACE" w:rsidRPr="00310866" w:rsidRDefault="00011EB6" w:rsidP="00F27F99">
      <w:pPr>
        <w:pStyle w:val="ONUMFS"/>
        <w:rPr>
          <w:lang w:val="fr-FR"/>
        </w:rPr>
      </w:pPr>
      <w:r w:rsidRPr="00310866">
        <w:rPr>
          <w:lang w:val="fr-FR"/>
        </w:rPr>
        <w:t xml:space="preserve">Sur demande, le </w:t>
      </w:r>
      <w:r w:rsidR="00C854C7" w:rsidRPr="00310866">
        <w:rPr>
          <w:lang w:val="fr-FR"/>
        </w:rPr>
        <w:t>Bureau de la déontologie</w:t>
      </w:r>
      <w:r w:rsidRPr="00310866">
        <w:rPr>
          <w:lang w:val="fr-FR"/>
        </w:rPr>
        <w:t xml:space="preserve"> </w:t>
      </w:r>
      <w:r w:rsidR="005C6D26" w:rsidRPr="00310866">
        <w:rPr>
          <w:lang w:val="fr-FR"/>
        </w:rPr>
        <w:t>dispense</w:t>
      </w:r>
      <w:r w:rsidRPr="00310866">
        <w:rPr>
          <w:lang w:val="fr-FR"/>
        </w:rPr>
        <w:t xml:space="preserve"> des </w:t>
      </w:r>
      <w:r w:rsidR="005C6D26" w:rsidRPr="00310866">
        <w:rPr>
          <w:lang w:val="fr-FR"/>
        </w:rPr>
        <w:t xml:space="preserve">conseils et </w:t>
      </w:r>
      <w:r w:rsidR="00DA3DBC" w:rsidRPr="00310866">
        <w:rPr>
          <w:lang w:val="fr-FR"/>
        </w:rPr>
        <w:t xml:space="preserve">des </w:t>
      </w:r>
      <w:r w:rsidR="005C6D26" w:rsidRPr="00310866">
        <w:rPr>
          <w:lang w:val="fr-FR"/>
        </w:rPr>
        <w:t>avis</w:t>
      </w:r>
      <w:r w:rsidRPr="00310866">
        <w:rPr>
          <w:lang w:val="fr-FR"/>
        </w:rPr>
        <w:t xml:space="preserve"> confidentiels à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ensemble du personnel de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OMPI.</w:t>
      </w:r>
    </w:p>
    <w:p w14:paraId="33401F46" w14:textId="10CCFF46" w:rsidR="00153ACE" w:rsidRPr="00310866" w:rsidRDefault="00153ACE" w:rsidP="00F27F99">
      <w:pPr>
        <w:pStyle w:val="ONUMFS"/>
        <w:rPr>
          <w:lang w:val="fr-FR"/>
        </w:rPr>
      </w:pPr>
      <w:r w:rsidRPr="00310866">
        <w:rPr>
          <w:lang w:val="fr-FR"/>
        </w:rPr>
        <w:t>En 2021</w:t>
      </w:r>
      <w:r w:rsidR="00011EB6" w:rsidRPr="00310866">
        <w:rPr>
          <w:lang w:val="fr-FR"/>
        </w:rPr>
        <w:t xml:space="preserve">, le </w:t>
      </w:r>
      <w:r w:rsidR="00C854C7" w:rsidRPr="00310866">
        <w:rPr>
          <w:lang w:val="fr-FR"/>
        </w:rPr>
        <w:t>Bureau de la déontologie</w:t>
      </w:r>
      <w:r w:rsidR="00011EB6" w:rsidRPr="00310866">
        <w:rPr>
          <w:lang w:val="fr-FR"/>
        </w:rPr>
        <w:t xml:space="preserve"> a </w:t>
      </w:r>
      <w:r w:rsidR="002A15B7" w:rsidRPr="00310866">
        <w:rPr>
          <w:lang w:val="fr-FR"/>
        </w:rPr>
        <w:t>dispensé</w:t>
      </w:r>
      <w:r w:rsidR="00011EB6" w:rsidRPr="00310866">
        <w:rPr>
          <w:lang w:val="fr-FR"/>
        </w:rPr>
        <w:t xml:space="preserve"> des conseils dans 53</w:t>
      </w:r>
      <w:r w:rsidR="002269E9" w:rsidRPr="00310866">
        <w:rPr>
          <w:lang w:val="fr-FR"/>
        </w:rPr>
        <w:t> </w:t>
      </w:r>
      <w:r w:rsidR="00011EB6" w:rsidRPr="00310866">
        <w:rPr>
          <w:lang w:val="fr-FR"/>
        </w:rPr>
        <w:t>c</w:t>
      </w:r>
      <w:r w:rsidR="00310866" w:rsidRPr="00310866">
        <w:rPr>
          <w:lang w:val="fr-FR"/>
        </w:rPr>
        <w:t>as.  La</w:t>
      </w:r>
      <w:r w:rsidR="00011EB6" w:rsidRPr="00310866">
        <w:rPr>
          <w:lang w:val="fr-FR"/>
        </w:rPr>
        <w:t xml:space="preserve"> majorité des demandes concernaient la participation à des activités </w:t>
      </w:r>
      <w:r w:rsidR="002A15B7" w:rsidRPr="00310866">
        <w:rPr>
          <w:lang w:val="fr-FR"/>
        </w:rPr>
        <w:t>exercées en dehors du Bureau international et des questions liées à l</w:t>
      </w:r>
      <w:r w:rsidR="001E0F97" w:rsidRPr="00310866">
        <w:rPr>
          <w:lang w:val="fr-FR"/>
        </w:rPr>
        <w:t>’</w:t>
      </w:r>
      <w:r w:rsidR="002A15B7" w:rsidRPr="00310866">
        <w:rPr>
          <w:lang w:val="fr-FR"/>
        </w:rPr>
        <w:t xml:space="preserve">emploi (15), des dons </w:t>
      </w:r>
      <w:r w:rsidR="00011EB6" w:rsidRPr="00310866">
        <w:rPr>
          <w:lang w:val="fr-FR"/>
        </w:rPr>
        <w:t>(</w:t>
      </w:r>
      <w:r w:rsidR="001E0F97" w:rsidRPr="00310866">
        <w:rPr>
          <w:lang w:val="fr-FR"/>
        </w:rPr>
        <w:t>y compris</w:t>
      </w:r>
      <w:r w:rsidR="00011EB6" w:rsidRPr="00310866">
        <w:rPr>
          <w:lang w:val="fr-FR"/>
        </w:rPr>
        <w:t xml:space="preserve"> </w:t>
      </w:r>
      <w:r w:rsidR="002A15B7" w:rsidRPr="00310866">
        <w:rPr>
          <w:lang w:val="fr-FR"/>
        </w:rPr>
        <w:t>des</w:t>
      </w:r>
      <w:r w:rsidR="00011EB6" w:rsidRPr="00310866">
        <w:rPr>
          <w:lang w:val="fr-FR"/>
        </w:rPr>
        <w:t xml:space="preserve"> récompenses) (10) et </w:t>
      </w:r>
      <w:r w:rsidR="002A15B7" w:rsidRPr="00310866">
        <w:rPr>
          <w:lang w:val="fr-FR"/>
        </w:rPr>
        <w:t>des</w:t>
      </w:r>
      <w:r w:rsidR="00011EB6" w:rsidRPr="00310866">
        <w:rPr>
          <w:lang w:val="fr-FR"/>
        </w:rPr>
        <w:t xml:space="preserve"> questions </w:t>
      </w:r>
      <w:r w:rsidR="002A15B7" w:rsidRPr="00310866">
        <w:rPr>
          <w:lang w:val="fr-FR"/>
        </w:rPr>
        <w:t>relatives aux</w:t>
      </w:r>
      <w:r w:rsidR="00011EB6" w:rsidRPr="00310866">
        <w:rPr>
          <w:lang w:val="fr-FR"/>
        </w:rPr>
        <w:t xml:space="preserve"> normes de conduite (9), qui portaient principalement sur des allégations ou des questions </w:t>
      </w:r>
      <w:r w:rsidR="0079380D" w:rsidRPr="00310866">
        <w:rPr>
          <w:lang w:val="fr-FR"/>
        </w:rPr>
        <w:t>au sujet du</w:t>
      </w:r>
      <w:r w:rsidR="002A15B7" w:rsidRPr="00310866">
        <w:rPr>
          <w:lang w:val="fr-FR"/>
        </w:rPr>
        <w:t xml:space="preserve"> comportement</w:t>
      </w:r>
      <w:r w:rsidR="00011EB6" w:rsidRPr="00310866">
        <w:rPr>
          <w:lang w:val="fr-FR"/>
        </w:rPr>
        <w:t xml:space="preserve"> sur le lieu de travail, </w:t>
      </w:r>
      <w:r w:rsidR="001E0F97" w:rsidRPr="00310866">
        <w:rPr>
          <w:lang w:val="fr-FR"/>
        </w:rPr>
        <w:t>y compris</w:t>
      </w:r>
      <w:r w:rsidR="00011EB6" w:rsidRPr="00310866">
        <w:rPr>
          <w:lang w:val="fr-FR"/>
        </w:rPr>
        <w:t xml:space="preserve"> d</w:t>
      </w:r>
      <w:r w:rsidR="001E0F97" w:rsidRPr="00310866">
        <w:rPr>
          <w:lang w:val="fr-FR"/>
        </w:rPr>
        <w:t>’</w:t>
      </w:r>
      <w:r w:rsidR="00011EB6" w:rsidRPr="00310866">
        <w:rPr>
          <w:lang w:val="fr-FR"/>
        </w:rPr>
        <w:t xml:space="preserve">éventuelles fautes professionnelles, le harcèlement et </w:t>
      </w:r>
      <w:r w:rsidR="0079380D" w:rsidRPr="00310866">
        <w:rPr>
          <w:lang w:val="fr-FR"/>
        </w:rPr>
        <w:t>l</w:t>
      </w:r>
      <w:r w:rsidR="001E0F97" w:rsidRPr="00310866">
        <w:rPr>
          <w:lang w:val="fr-FR"/>
        </w:rPr>
        <w:t>’</w:t>
      </w:r>
      <w:r w:rsidR="0079380D" w:rsidRPr="00310866">
        <w:rPr>
          <w:lang w:val="fr-FR"/>
        </w:rPr>
        <w:t>application</w:t>
      </w:r>
      <w:r w:rsidR="002A15B7" w:rsidRPr="00310866">
        <w:rPr>
          <w:lang w:val="fr-FR"/>
        </w:rPr>
        <w:t xml:space="preserve"> équitable des</w:t>
      </w:r>
      <w:r w:rsidR="00011EB6" w:rsidRPr="00310866">
        <w:rPr>
          <w:lang w:val="fr-FR"/>
        </w:rPr>
        <w:t xml:space="preserve"> politiqu</w:t>
      </w:r>
      <w:r w:rsidR="00310866" w:rsidRPr="00310866">
        <w:rPr>
          <w:lang w:val="fr-FR"/>
        </w:rPr>
        <w:t>es.  Le</w:t>
      </w:r>
      <w:r w:rsidR="00011EB6" w:rsidRPr="00310866">
        <w:rPr>
          <w:lang w:val="fr-FR"/>
        </w:rPr>
        <w:t xml:space="preserve"> </w:t>
      </w:r>
      <w:r w:rsidR="00C854C7" w:rsidRPr="00310866">
        <w:rPr>
          <w:lang w:val="fr-FR"/>
        </w:rPr>
        <w:t>Bureau de la déontologie</w:t>
      </w:r>
      <w:r w:rsidR="00011EB6" w:rsidRPr="00310866">
        <w:rPr>
          <w:lang w:val="fr-FR"/>
        </w:rPr>
        <w:t xml:space="preserve"> a </w:t>
      </w:r>
      <w:r w:rsidR="007E0715" w:rsidRPr="00310866">
        <w:rPr>
          <w:lang w:val="fr-FR"/>
        </w:rPr>
        <w:t>dispensé</w:t>
      </w:r>
      <w:r w:rsidR="00011EB6" w:rsidRPr="00310866">
        <w:rPr>
          <w:lang w:val="fr-FR"/>
        </w:rPr>
        <w:t xml:space="preserve"> des conseils de fond sur toutes ces questions, ainsi que sur d</w:t>
      </w:r>
      <w:r w:rsidR="001E0F97" w:rsidRPr="00310866">
        <w:rPr>
          <w:lang w:val="fr-FR"/>
        </w:rPr>
        <w:t>’</w:t>
      </w:r>
      <w:r w:rsidR="00011EB6" w:rsidRPr="00310866">
        <w:rPr>
          <w:lang w:val="fr-FR"/>
        </w:rPr>
        <w:t>autres questions relatives aux conflits d</w:t>
      </w:r>
      <w:r w:rsidR="001E0F97" w:rsidRPr="00310866">
        <w:rPr>
          <w:lang w:val="fr-FR"/>
        </w:rPr>
        <w:t>’</w:t>
      </w:r>
      <w:r w:rsidR="00011EB6" w:rsidRPr="00310866">
        <w:rPr>
          <w:lang w:val="fr-FR"/>
        </w:rPr>
        <w:t xml:space="preserve">intérêts (5) et à la </w:t>
      </w:r>
      <w:r w:rsidR="007E0715" w:rsidRPr="00310866">
        <w:rPr>
          <w:lang w:val="fr-FR"/>
        </w:rPr>
        <w:t>déclaration de situation financière et déclaration d</w:t>
      </w:r>
      <w:r w:rsidR="001E0F97" w:rsidRPr="00310866">
        <w:rPr>
          <w:lang w:val="fr-FR"/>
        </w:rPr>
        <w:t>’</w:t>
      </w:r>
      <w:r w:rsidR="007E0715" w:rsidRPr="00310866">
        <w:rPr>
          <w:lang w:val="fr-FR"/>
        </w:rPr>
        <w:t>intérêts</w:t>
      </w:r>
      <w:r w:rsidR="00011EB6" w:rsidRPr="00310866">
        <w:rPr>
          <w:lang w:val="fr-FR"/>
        </w:rPr>
        <w:t xml:space="preserve"> (4).</w:t>
      </w:r>
      <w:r w:rsidR="00FE0D93" w:rsidRPr="00310866">
        <w:rPr>
          <w:lang w:val="fr-FR"/>
        </w:rPr>
        <w:t xml:space="preserve"> </w:t>
      </w:r>
      <w:r w:rsidR="0047036E" w:rsidRPr="00310866">
        <w:rPr>
          <w:lang w:val="fr-FR"/>
        </w:rPr>
        <w:t xml:space="preserve"> </w:t>
      </w:r>
      <w:r w:rsidR="00011EB6" w:rsidRPr="00310866">
        <w:rPr>
          <w:lang w:val="fr-FR"/>
        </w:rPr>
        <w:t>En outre, le Bureau a répondu à des questions liées à des problèmes d</w:t>
      </w:r>
      <w:r w:rsidR="001E0F97" w:rsidRPr="00310866">
        <w:rPr>
          <w:lang w:val="fr-FR"/>
        </w:rPr>
        <w:t>’</w:t>
      </w:r>
      <w:r w:rsidR="00011EB6" w:rsidRPr="00310866">
        <w:rPr>
          <w:lang w:val="fr-FR"/>
        </w:rPr>
        <w:t xml:space="preserve">emploi (5), à des demandes de renseignements généraux sur </w:t>
      </w:r>
      <w:r w:rsidR="00A14CDE" w:rsidRPr="00310866">
        <w:rPr>
          <w:lang w:val="fr-FR"/>
        </w:rPr>
        <w:t>l</w:t>
      </w:r>
      <w:r w:rsidR="001E0F97" w:rsidRPr="00310866">
        <w:rPr>
          <w:lang w:val="fr-FR"/>
        </w:rPr>
        <w:t>’</w:t>
      </w:r>
      <w:r w:rsidR="00A14CDE" w:rsidRPr="00310866">
        <w:rPr>
          <w:lang w:val="fr-FR"/>
        </w:rPr>
        <w:t>éthique</w:t>
      </w:r>
      <w:r w:rsidR="00011EB6" w:rsidRPr="00310866">
        <w:rPr>
          <w:lang w:val="fr-FR"/>
        </w:rPr>
        <w:t xml:space="preserve"> (3) et a renvoyé</w:t>
      </w:r>
      <w:r w:rsidR="00EB5D64" w:rsidRPr="00310866">
        <w:rPr>
          <w:lang w:val="fr-FR"/>
        </w:rPr>
        <w:t>s</w:t>
      </w:r>
      <w:r w:rsidR="00011EB6" w:rsidRPr="00310866">
        <w:rPr>
          <w:lang w:val="fr-FR"/>
        </w:rPr>
        <w:t xml:space="preserve"> </w:t>
      </w:r>
      <w:r w:rsidR="00EB5D64" w:rsidRPr="00310866">
        <w:rPr>
          <w:lang w:val="fr-FR"/>
        </w:rPr>
        <w:t xml:space="preserve">des questions </w:t>
      </w:r>
      <w:r w:rsidR="00011EB6" w:rsidRPr="00310866">
        <w:rPr>
          <w:lang w:val="fr-FR"/>
        </w:rPr>
        <w:t xml:space="preserve">(1) à la Division </w:t>
      </w:r>
      <w:r w:rsidR="007E0715" w:rsidRPr="00310866">
        <w:rPr>
          <w:lang w:val="fr-FR"/>
        </w:rPr>
        <w:t>de la supervision</w:t>
      </w:r>
      <w:r w:rsidR="00011EB6" w:rsidRPr="00310866">
        <w:rPr>
          <w:lang w:val="fr-FR"/>
        </w:rPr>
        <w:t xml:space="preserve"> interne (</w:t>
      </w:r>
      <w:r w:rsidR="007E0715" w:rsidRPr="00310866">
        <w:rPr>
          <w:lang w:val="fr-FR"/>
        </w:rPr>
        <w:t>DSI</w:t>
      </w:r>
      <w:r w:rsidR="00011EB6" w:rsidRPr="00310866">
        <w:rPr>
          <w:lang w:val="fr-FR"/>
        </w:rPr>
        <w:t xml:space="preserve">), au </w:t>
      </w:r>
      <w:r w:rsidR="007E0715" w:rsidRPr="00310866">
        <w:rPr>
          <w:lang w:val="fr-FR"/>
        </w:rPr>
        <w:t>m</w:t>
      </w:r>
      <w:r w:rsidR="00011EB6" w:rsidRPr="00310866">
        <w:rPr>
          <w:lang w:val="fr-FR"/>
        </w:rPr>
        <w:t xml:space="preserve">édiateur et au Département de </w:t>
      </w:r>
      <w:r w:rsidR="007E0715" w:rsidRPr="00310866">
        <w:rPr>
          <w:lang w:val="fr-FR"/>
        </w:rPr>
        <w:t xml:space="preserve">la </w:t>
      </w:r>
      <w:r w:rsidR="00011EB6" w:rsidRPr="00310866">
        <w:rPr>
          <w:lang w:val="fr-FR"/>
        </w:rPr>
        <w:t>gestion des ressources humaines (</w:t>
      </w:r>
      <w:r w:rsidR="007E0715" w:rsidRPr="00310866">
        <w:rPr>
          <w:lang w:val="fr-FR"/>
        </w:rPr>
        <w:t>DGRH</w:t>
      </w:r>
      <w:r w:rsidR="00011EB6" w:rsidRPr="00310866">
        <w:rPr>
          <w:lang w:val="fr-FR"/>
        </w:rPr>
        <w:t>), selon le cas.</w:t>
      </w:r>
    </w:p>
    <w:p w14:paraId="7C1312EE" w14:textId="0ADF50CD" w:rsidR="00011EB6" w:rsidRPr="00310866" w:rsidRDefault="00011EB6" w:rsidP="00F27F99">
      <w:pPr>
        <w:pStyle w:val="ONUMFS"/>
        <w:rPr>
          <w:lang w:val="fr-FR"/>
        </w:rPr>
      </w:pPr>
      <w:r w:rsidRPr="00310866">
        <w:rPr>
          <w:lang w:val="fr-FR"/>
        </w:rPr>
        <w:t xml:space="preserve">Le </w:t>
      </w:r>
      <w:r w:rsidR="00C854C7" w:rsidRPr="00310866">
        <w:rPr>
          <w:lang w:val="fr-FR"/>
        </w:rPr>
        <w:t>Bureau de la déontologie</w:t>
      </w:r>
      <w:r w:rsidRPr="00310866">
        <w:rPr>
          <w:lang w:val="fr-FR"/>
        </w:rPr>
        <w:t xml:space="preserve"> a répondu à une demande de renseignements relative à des représailles afin </w:t>
      </w:r>
      <w:r w:rsidR="009D406E" w:rsidRPr="00310866">
        <w:rPr>
          <w:lang w:val="fr-FR"/>
        </w:rPr>
        <w:t>d</w:t>
      </w:r>
      <w:r w:rsidR="001E0F97" w:rsidRPr="00310866">
        <w:rPr>
          <w:lang w:val="fr-FR"/>
        </w:rPr>
        <w:t>’</w:t>
      </w:r>
      <w:r w:rsidR="009D406E" w:rsidRPr="00310866">
        <w:rPr>
          <w:lang w:val="fr-FR"/>
        </w:rPr>
        <w:t>apporter des précisions concernant</w:t>
      </w:r>
      <w:r w:rsidRPr="00310866">
        <w:rPr>
          <w:lang w:val="fr-FR"/>
        </w:rPr>
        <w:t xml:space="preserve">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application de la politique et des procédures de protection du personnel de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O</w:t>
      </w:r>
      <w:r w:rsidR="00310866" w:rsidRPr="00310866">
        <w:rPr>
          <w:lang w:val="fr-FR"/>
        </w:rPr>
        <w:t>MPI.  Ce</w:t>
      </w:r>
      <w:r w:rsidR="00D8271F" w:rsidRPr="00310866">
        <w:rPr>
          <w:lang w:val="fr-FR"/>
        </w:rPr>
        <w:t xml:space="preserve"> cas</w:t>
      </w:r>
      <w:r w:rsidRPr="00310866">
        <w:rPr>
          <w:lang w:val="fr-FR"/>
        </w:rPr>
        <w:t xml:space="preserve"> n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 xml:space="preserve">a pas </w:t>
      </w:r>
      <w:r w:rsidR="00703660" w:rsidRPr="00310866">
        <w:rPr>
          <w:lang w:val="fr-FR"/>
        </w:rPr>
        <w:t>donné lieu à</w:t>
      </w:r>
      <w:r w:rsidRPr="00310866">
        <w:rPr>
          <w:lang w:val="fr-FR"/>
        </w:rPr>
        <w:t xml:space="preserve"> une demande de protection.</w:t>
      </w:r>
    </w:p>
    <w:p w14:paraId="410F2393" w14:textId="10E24069" w:rsidR="0071462C" w:rsidRPr="00310866" w:rsidRDefault="00B5707C" w:rsidP="0071462C">
      <w:pPr>
        <w:spacing w:after="220"/>
        <w:jc w:val="center"/>
        <w:rPr>
          <w:lang w:val="fr-FR"/>
        </w:rPr>
      </w:pPr>
      <w:r w:rsidRPr="00B5707C">
        <w:rPr>
          <w:noProof/>
          <w:lang w:val="fr-CH" w:eastAsia="fr-CH"/>
        </w:rPr>
        <w:drawing>
          <wp:inline distT="0" distB="0" distL="0" distR="0" wp14:anchorId="1E688CE7" wp14:editId="00C0AB0C">
            <wp:extent cx="5940425" cy="2210154"/>
            <wp:effectExtent l="0" t="0" r="3175" b="0"/>
            <wp:docPr id="9" name="Picture 9" descr="Bureau de la déontologie de l'OMPI 2021 - Consultations" title="Bureau de la déontologie de l'OMPI 2021 - Consult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1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4444E" w14:textId="68FB3FBF" w:rsidR="00011EB6" w:rsidRPr="00310866" w:rsidRDefault="00F27F99" w:rsidP="00F27F99">
      <w:pPr>
        <w:pStyle w:val="Heading2"/>
      </w:pPr>
      <w:r>
        <w:lastRenderedPageBreak/>
        <w:t>S</w:t>
      </w:r>
      <w:r w:rsidRPr="00310866">
        <w:t>ensibilisation et formation</w:t>
      </w:r>
    </w:p>
    <w:p w14:paraId="1EDF58EE" w14:textId="77777777" w:rsidR="00153ACE" w:rsidRPr="00310866" w:rsidRDefault="00011EB6" w:rsidP="00F27F99">
      <w:pPr>
        <w:pStyle w:val="ONUMFS"/>
        <w:rPr>
          <w:lang w:val="fr-FR"/>
        </w:rPr>
      </w:pPr>
      <w:r w:rsidRPr="00310866">
        <w:rPr>
          <w:lang w:val="fr-FR"/>
        </w:rPr>
        <w:t xml:space="preserve">Les activités de sensibilisation et de formation du </w:t>
      </w:r>
      <w:r w:rsidR="00C854C7" w:rsidRPr="00310866">
        <w:rPr>
          <w:lang w:val="fr-FR"/>
        </w:rPr>
        <w:t>Bureau de la déontologie</w:t>
      </w:r>
      <w:r w:rsidR="00501CC4" w:rsidRPr="00310866">
        <w:rPr>
          <w:lang w:val="fr-FR"/>
        </w:rPr>
        <w:t xml:space="preserve"> visent à</w:t>
      </w:r>
    </w:p>
    <w:p w14:paraId="16DAAE06" w14:textId="2203EDD2" w:rsidR="00011EB6" w:rsidRPr="00310866" w:rsidRDefault="00011EB6" w:rsidP="00F27F99">
      <w:pPr>
        <w:pStyle w:val="ONUMFS"/>
        <w:numPr>
          <w:ilvl w:val="1"/>
          <w:numId w:val="6"/>
        </w:numPr>
        <w:rPr>
          <w:lang w:val="fr-FR"/>
        </w:rPr>
      </w:pPr>
      <w:proofErr w:type="gramStart"/>
      <w:r w:rsidRPr="00310866">
        <w:rPr>
          <w:lang w:val="fr-FR"/>
        </w:rPr>
        <w:t>renforcer</w:t>
      </w:r>
      <w:proofErr w:type="gramEnd"/>
      <w:r w:rsidRPr="00310866">
        <w:rPr>
          <w:lang w:val="fr-FR"/>
        </w:rPr>
        <w:t xml:space="preserve"> la culture de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 xml:space="preserve">éthique en assurant une compréhension commune de la signification des termes </w:t>
      </w:r>
      <w:r w:rsidR="00153ACE" w:rsidRPr="00310866">
        <w:rPr>
          <w:lang w:val="fr-FR"/>
        </w:rPr>
        <w:t>“é</w:t>
      </w:r>
      <w:r w:rsidRPr="00310866">
        <w:rPr>
          <w:lang w:val="fr-FR"/>
        </w:rPr>
        <w:t>thique et intégrit</w:t>
      </w:r>
      <w:r w:rsidR="00153ACE" w:rsidRPr="00310866">
        <w:rPr>
          <w:lang w:val="fr-FR"/>
        </w:rPr>
        <w:t>é”</w:t>
      </w:r>
      <w:r w:rsidRPr="00310866">
        <w:rPr>
          <w:lang w:val="fr-FR"/>
        </w:rPr>
        <w:t xml:space="preserve"> à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OMPI et</w:t>
      </w:r>
    </w:p>
    <w:p w14:paraId="28E13E1F" w14:textId="0630C73C" w:rsidR="00011EB6" w:rsidRPr="00310866" w:rsidRDefault="00011EB6" w:rsidP="00F27F99">
      <w:pPr>
        <w:pStyle w:val="ONUMFS"/>
        <w:numPr>
          <w:ilvl w:val="1"/>
          <w:numId w:val="6"/>
        </w:numPr>
        <w:rPr>
          <w:lang w:val="fr-FR"/>
        </w:rPr>
      </w:pPr>
      <w:proofErr w:type="gramStart"/>
      <w:r w:rsidRPr="00310866">
        <w:rPr>
          <w:lang w:val="fr-FR"/>
        </w:rPr>
        <w:t>améliorer</w:t>
      </w:r>
      <w:proofErr w:type="gramEnd"/>
      <w:r w:rsidRPr="00310866">
        <w:rPr>
          <w:lang w:val="fr-FR"/>
        </w:rPr>
        <w:t xml:space="preserve"> la compréhension des mécanismes mis en place pour aider le personnel à traiter les questions </w:t>
      </w:r>
      <w:r w:rsidR="0019456F" w:rsidRPr="00310866">
        <w:rPr>
          <w:lang w:val="fr-FR"/>
        </w:rPr>
        <w:t>d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éthique.</w:t>
      </w:r>
    </w:p>
    <w:p w14:paraId="2AE0766B" w14:textId="140F4309" w:rsidR="00011EB6" w:rsidRPr="00310866" w:rsidRDefault="00011EB6" w:rsidP="00F27F99">
      <w:pPr>
        <w:pStyle w:val="ONUMFS"/>
        <w:rPr>
          <w:lang w:val="fr-FR"/>
        </w:rPr>
      </w:pPr>
      <w:r w:rsidRPr="00310866">
        <w:rPr>
          <w:lang w:val="fr-FR"/>
        </w:rPr>
        <w:t xml:space="preserve">Le </w:t>
      </w:r>
      <w:r w:rsidR="00C854C7" w:rsidRPr="00310866">
        <w:rPr>
          <w:lang w:val="fr-FR"/>
        </w:rPr>
        <w:t>Bureau de la déontologie</w:t>
      </w:r>
      <w:r w:rsidRPr="00310866">
        <w:rPr>
          <w:lang w:val="fr-FR"/>
        </w:rPr>
        <w:t xml:space="preserve"> s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efforce également d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 xml:space="preserve">accroître la confiance entre collègues et </w:t>
      </w:r>
      <w:r w:rsidR="007315C7" w:rsidRPr="00310866">
        <w:rPr>
          <w:lang w:val="fr-FR"/>
        </w:rPr>
        <w:t>entre les chefs et leurs subordonnés</w:t>
      </w:r>
      <w:r w:rsidRPr="00310866">
        <w:rPr>
          <w:lang w:val="fr-FR"/>
        </w:rPr>
        <w:t xml:space="preserve">, et </w:t>
      </w:r>
      <w:r w:rsidR="007315C7" w:rsidRPr="00310866">
        <w:rPr>
          <w:lang w:val="fr-FR"/>
        </w:rPr>
        <w:t>le niveau de</w:t>
      </w:r>
      <w:r w:rsidRPr="00310866">
        <w:rPr>
          <w:lang w:val="fr-FR"/>
        </w:rPr>
        <w:t xml:space="preserve"> confiance </w:t>
      </w:r>
      <w:r w:rsidR="007315C7" w:rsidRPr="00310866">
        <w:rPr>
          <w:lang w:val="fr-FR"/>
        </w:rPr>
        <w:t>envers</w:t>
      </w:r>
      <w:r w:rsidRPr="00310866">
        <w:rPr>
          <w:lang w:val="fr-FR"/>
        </w:rPr>
        <w:t xml:space="preserve">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Organisation, ainsi que de prom</w:t>
      </w:r>
      <w:r w:rsidR="009E5EBB" w:rsidRPr="00310866">
        <w:rPr>
          <w:lang w:val="fr-FR"/>
        </w:rPr>
        <w:t>ouvoir la responsabilité dans les</w:t>
      </w:r>
      <w:r w:rsidRPr="00310866">
        <w:rPr>
          <w:lang w:val="fr-FR"/>
        </w:rPr>
        <w:t xml:space="preserve"> prise</w:t>
      </w:r>
      <w:r w:rsidR="009E5EBB" w:rsidRPr="00310866">
        <w:rPr>
          <w:lang w:val="fr-FR"/>
        </w:rPr>
        <w:t>s</w:t>
      </w:r>
      <w:r w:rsidRPr="00310866">
        <w:rPr>
          <w:lang w:val="fr-FR"/>
        </w:rPr>
        <w:t xml:space="preserve"> de décision</w:t>
      </w:r>
      <w:r w:rsidR="009E5EBB" w:rsidRPr="00310866">
        <w:rPr>
          <w:lang w:val="fr-FR"/>
        </w:rPr>
        <w:t>s</w:t>
      </w:r>
      <w:r w:rsidRPr="00310866">
        <w:rPr>
          <w:lang w:val="fr-FR"/>
        </w:rPr>
        <w:t xml:space="preserve"> et de </w:t>
      </w:r>
      <w:r w:rsidR="009E5EBB" w:rsidRPr="00310866">
        <w:rPr>
          <w:lang w:val="fr-FR"/>
        </w:rPr>
        <w:t xml:space="preserve">renforcer les principes éthiques en matière de gestion à tous les niveaux </w:t>
      </w:r>
      <w:r w:rsidRPr="00310866">
        <w:rPr>
          <w:lang w:val="fr-FR"/>
        </w:rPr>
        <w:t>de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Organisation.</w:t>
      </w:r>
    </w:p>
    <w:p w14:paraId="75AD89C9" w14:textId="23B92EF1" w:rsidR="00153ACE" w:rsidRPr="00310866" w:rsidRDefault="005844AB" w:rsidP="00F27F99">
      <w:pPr>
        <w:pStyle w:val="ONUMFS"/>
        <w:rPr>
          <w:lang w:val="fr-FR"/>
        </w:rPr>
      </w:pPr>
      <w:r w:rsidRPr="00310866">
        <w:rPr>
          <w:lang w:val="fr-FR"/>
        </w:rPr>
        <w:t xml:space="preserve">En outre, tout le personnel est tenu de suivre une formation en ligne sur </w:t>
      </w:r>
      <w:r w:rsidR="009766C9" w:rsidRPr="00310866">
        <w:rPr>
          <w:lang w:val="fr-FR"/>
        </w:rPr>
        <w:t>l</w:t>
      </w:r>
      <w:r w:rsidR="001E0F97" w:rsidRPr="00310866">
        <w:rPr>
          <w:lang w:val="fr-FR"/>
        </w:rPr>
        <w:t>’</w:t>
      </w:r>
      <w:r w:rsidR="009766C9" w:rsidRPr="00310866">
        <w:rPr>
          <w:lang w:val="fr-FR"/>
        </w:rPr>
        <w:t>éthique</w:t>
      </w:r>
      <w:r w:rsidRPr="00310866">
        <w:rPr>
          <w:lang w:val="fr-FR"/>
        </w:rPr>
        <w:t xml:space="preserve"> et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intégri</w:t>
      </w:r>
      <w:r w:rsidR="00310866" w:rsidRPr="00310866">
        <w:rPr>
          <w:lang w:val="fr-FR"/>
        </w:rPr>
        <w:t>té.  En</w:t>
      </w:r>
      <w:r w:rsidR="00011EB6" w:rsidRPr="00310866">
        <w:rPr>
          <w:lang w:val="fr-FR"/>
        </w:rPr>
        <w:t xml:space="preserve"> plus de cette formation en ligne, le personnel </w:t>
      </w:r>
      <w:r w:rsidRPr="00310866">
        <w:rPr>
          <w:lang w:val="fr-FR"/>
        </w:rPr>
        <w:t>entrant au service de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Organisation</w:t>
      </w:r>
      <w:r w:rsidR="00011EB6" w:rsidRPr="00310866">
        <w:rPr>
          <w:lang w:val="fr-FR"/>
        </w:rPr>
        <w:t xml:space="preserve">, </w:t>
      </w:r>
      <w:r w:rsidR="001E0F97" w:rsidRPr="00310866">
        <w:rPr>
          <w:lang w:val="fr-FR"/>
        </w:rPr>
        <w:t>y compris</w:t>
      </w:r>
      <w:r w:rsidR="00011EB6" w:rsidRPr="00310866">
        <w:rPr>
          <w:lang w:val="fr-FR"/>
        </w:rPr>
        <w:t xml:space="preserve"> les </w:t>
      </w:r>
      <w:r w:rsidRPr="00310866">
        <w:rPr>
          <w:lang w:val="fr-FR"/>
        </w:rPr>
        <w:t>directeurs et les fonctionnaires des échelons supérieurs</w:t>
      </w:r>
      <w:r w:rsidR="00011EB6" w:rsidRPr="00310866">
        <w:rPr>
          <w:lang w:val="fr-FR"/>
        </w:rPr>
        <w:t>, est tenu de participer à des cours d</w:t>
      </w:r>
      <w:r w:rsidR="001E0F97" w:rsidRPr="00310866">
        <w:rPr>
          <w:lang w:val="fr-FR"/>
        </w:rPr>
        <w:t>’</w:t>
      </w:r>
      <w:r w:rsidR="00011EB6" w:rsidRPr="00310866">
        <w:rPr>
          <w:lang w:val="fr-FR"/>
        </w:rPr>
        <w:t xml:space="preserve">initiation qui comprennent une session </w:t>
      </w:r>
      <w:r w:rsidRPr="00310866">
        <w:rPr>
          <w:lang w:val="fr-FR"/>
        </w:rPr>
        <w:t xml:space="preserve">consacrée à </w:t>
      </w:r>
      <w:r w:rsidR="00A14CDE" w:rsidRPr="00310866">
        <w:rPr>
          <w:lang w:val="fr-FR"/>
        </w:rPr>
        <w:t>l</w:t>
      </w:r>
      <w:r w:rsidR="001E0F97" w:rsidRPr="00310866">
        <w:rPr>
          <w:lang w:val="fr-FR"/>
        </w:rPr>
        <w:t>’</w:t>
      </w:r>
      <w:r w:rsidR="00A14CDE" w:rsidRPr="00310866">
        <w:rPr>
          <w:lang w:val="fr-FR"/>
        </w:rPr>
        <w:t>éthiq</w:t>
      </w:r>
      <w:r w:rsidR="00310866" w:rsidRPr="00310866">
        <w:rPr>
          <w:lang w:val="fr-FR"/>
        </w:rPr>
        <w:t>ue.  La</w:t>
      </w:r>
      <w:r w:rsidR="00011EB6" w:rsidRPr="00310866">
        <w:rPr>
          <w:lang w:val="fr-FR"/>
        </w:rPr>
        <w:t xml:space="preserve"> formation en ligne et la session d</w:t>
      </w:r>
      <w:r w:rsidR="001E0F97" w:rsidRPr="00310866">
        <w:rPr>
          <w:lang w:val="fr-FR"/>
        </w:rPr>
        <w:t>’</w:t>
      </w:r>
      <w:r w:rsidR="00011EB6" w:rsidRPr="00310866">
        <w:rPr>
          <w:lang w:val="fr-FR"/>
        </w:rPr>
        <w:t xml:space="preserve">initiation sont gérées par le </w:t>
      </w:r>
      <w:r w:rsidR="00C854C7" w:rsidRPr="00310866">
        <w:rPr>
          <w:lang w:val="fr-FR"/>
        </w:rPr>
        <w:t>Bureau de la déontologie</w:t>
      </w:r>
      <w:r w:rsidR="00F446FC" w:rsidRPr="00310866">
        <w:rPr>
          <w:lang w:val="fr-FR"/>
        </w:rPr>
        <w:t>,</w:t>
      </w:r>
      <w:r w:rsidR="00011EB6" w:rsidRPr="00310866">
        <w:rPr>
          <w:lang w:val="fr-FR"/>
        </w:rPr>
        <w:t xml:space="preserve"> en étroite collaboration avec</w:t>
      </w:r>
      <w:r w:rsidR="00153ACE" w:rsidRPr="00310866">
        <w:rPr>
          <w:lang w:val="fr-FR"/>
        </w:rPr>
        <w:t xml:space="preserve"> le DGR</w:t>
      </w:r>
      <w:r w:rsidR="00011EB6" w:rsidRPr="00310866">
        <w:rPr>
          <w:lang w:val="fr-FR"/>
        </w:rPr>
        <w:t>H.</w:t>
      </w:r>
    </w:p>
    <w:p w14:paraId="3AEF43F5" w14:textId="7E620B9A" w:rsidR="00011EB6" w:rsidRPr="00310866" w:rsidRDefault="00153ACE" w:rsidP="00F27F99">
      <w:pPr>
        <w:pStyle w:val="ONUMFS"/>
        <w:rPr>
          <w:lang w:val="fr-FR"/>
        </w:rPr>
      </w:pPr>
      <w:r w:rsidRPr="00310866">
        <w:rPr>
          <w:lang w:val="fr-FR"/>
        </w:rPr>
        <w:t>En 2021</w:t>
      </w:r>
      <w:r w:rsidR="00011EB6" w:rsidRPr="00310866">
        <w:rPr>
          <w:lang w:val="fr-FR"/>
        </w:rPr>
        <w:t>, 112</w:t>
      </w:r>
      <w:r w:rsidR="002269E9" w:rsidRPr="00310866">
        <w:rPr>
          <w:lang w:val="fr-FR"/>
        </w:rPr>
        <w:t> </w:t>
      </w:r>
      <w:r w:rsidR="00A14CDE" w:rsidRPr="00310866">
        <w:rPr>
          <w:lang w:val="fr-FR"/>
        </w:rPr>
        <w:t xml:space="preserve">personnes au total </w:t>
      </w:r>
      <w:r w:rsidR="00011EB6" w:rsidRPr="00310866">
        <w:rPr>
          <w:lang w:val="fr-FR"/>
        </w:rPr>
        <w:t xml:space="preserve">ont participé aux activités de formation et de sensibilisation </w:t>
      </w:r>
      <w:r w:rsidR="00A14CDE" w:rsidRPr="00310866">
        <w:rPr>
          <w:lang w:val="fr-FR"/>
        </w:rPr>
        <w:t>en matière d</w:t>
      </w:r>
      <w:r w:rsidR="001E0F97" w:rsidRPr="00310866">
        <w:rPr>
          <w:lang w:val="fr-FR"/>
        </w:rPr>
        <w:t>’</w:t>
      </w:r>
      <w:r w:rsidR="00A14CDE" w:rsidRPr="00310866">
        <w:rPr>
          <w:lang w:val="fr-FR"/>
        </w:rPr>
        <w:t>éthique</w:t>
      </w:r>
      <w:r w:rsidR="001E0F97" w:rsidRPr="00310866">
        <w:rPr>
          <w:lang w:val="fr-FR"/>
        </w:rPr>
        <w:t> :</w:t>
      </w:r>
    </w:p>
    <w:p w14:paraId="3C743713" w14:textId="286E3D14" w:rsidR="00011EB6" w:rsidRPr="00310866" w:rsidRDefault="00011EB6" w:rsidP="00F27F99">
      <w:pPr>
        <w:pStyle w:val="Bulletedlistlevel2"/>
        <w:numPr>
          <w:ilvl w:val="0"/>
          <w:numId w:val="15"/>
        </w:numPr>
        <w:tabs>
          <w:tab w:val="clear" w:pos="567"/>
          <w:tab w:val="num" w:pos="1134"/>
        </w:tabs>
        <w:spacing w:after="220"/>
        <w:ind w:left="1134" w:hanging="567"/>
        <w:rPr>
          <w:lang w:val="fr-FR"/>
        </w:rPr>
      </w:pPr>
      <w:r w:rsidRPr="00310866">
        <w:rPr>
          <w:lang w:val="fr-FR"/>
        </w:rPr>
        <w:t xml:space="preserve">24 participants ont suivi avec succès la formation en ligne obligatoire sur </w:t>
      </w:r>
      <w:r w:rsidR="00A14CDE" w:rsidRPr="00310866">
        <w:rPr>
          <w:lang w:val="fr-FR"/>
        </w:rPr>
        <w:t>les questions d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 xml:space="preserve">éthique et </w:t>
      </w:r>
      <w:r w:rsidR="00A14CDE" w:rsidRPr="00310866">
        <w:rPr>
          <w:lang w:val="fr-FR"/>
        </w:rPr>
        <w:t>d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intégrité</w:t>
      </w:r>
      <w:r w:rsidRPr="00310866">
        <w:rPr>
          <w:rStyle w:val="FootnoteReference"/>
          <w:lang w:val="fr-FR"/>
        </w:rPr>
        <w:footnoteReference w:id="2"/>
      </w:r>
      <w:r w:rsidR="00A14CDE" w:rsidRPr="00310866">
        <w:rPr>
          <w:lang w:val="fr-FR"/>
        </w:rPr>
        <w:t>;</w:t>
      </w:r>
    </w:p>
    <w:p w14:paraId="123CD706" w14:textId="5B37E55B" w:rsidR="00011EB6" w:rsidRPr="00310866" w:rsidRDefault="00011EB6" w:rsidP="00F27F99">
      <w:pPr>
        <w:pStyle w:val="Bulletedlistlevel2"/>
        <w:numPr>
          <w:ilvl w:val="0"/>
          <w:numId w:val="15"/>
        </w:numPr>
        <w:tabs>
          <w:tab w:val="clear" w:pos="567"/>
          <w:tab w:val="num" w:pos="1134"/>
        </w:tabs>
        <w:spacing w:after="220"/>
        <w:ind w:left="1134" w:hanging="567"/>
        <w:rPr>
          <w:lang w:val="fr-FR"/>
        </w:rPr>
      </w:pPr>
      <w:r w:rsidRPr="00310866">
        <w:rPr>
          <w:lang w:val="fr-FR"/>
        </w:rPr>
        <w:t>88 participants ont assisté à une réunion d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information sur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éthique, présentée par l</w:t>
      </w:r>
      <w:r w:rsidR="0005773B" w:rsidRPr="00310866">
        <w:rPr>
          <w:lang w:val="fr-FR"/>
        </w:rPr>
        <w:t>a</w:t>
      </w:r>
      <w:r w:rsidRPr="00310866">
        <w:rPr>
          <w:lang w:val="fr-FR"/>
        </w:rPr>
        <w:t xml:space="preserve"> chef</w:t>
      </w:r>
      <w:r w:rsidR="0005773B" w:rsidRPr="00310866">
        <w:rPr>
          <w:lang w:val="fr-FR"/>
        </w:rPr>
        <w:t>fe</w:t>
      </w:r>
      <w:r w:rsidRPr="00310866">
        <w:rPr>
          <w:lang w:val="fr-FR"/>
        </w:rPr>
        <w:t xml:space="preserve"> du Bureau de la déontologie à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occasion du programme d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initiation organisé par</w:t>
      </w:r>
      <w:r w:rsidR="00153ACE" w:rsidRPr="00310866">
        <w:rPr>
          <w:lang w:val="fr-FR"/>
        </w:rPr>
        <w:t xml:space="preserve"> le DGR</w:t>
      </w:r>
      <w:r w:rsidRPr="00310866">
        <w:rPr>
          <w:lang w:val="fr-FR"/>
        </w:rPr>
        <w:t>H.</w:t>
      </w:r>
    </w:p>
    <w:p w14:paraId="1704DB65" w14:textId="1FF6341F" w:rsidR="00153ACE" w:rsidRPr="00310866" w:rsidRDefault="001A23DF" w:rsidP="00F27F99">
      <w:pPr>
        <w:pStyle w:val="ONUMFS"/>
        <w:rPr>
          <w:lang w:val="fr-FR"/>
        </w:rPr>
      </w:pPr>
      <w:r w:rsidRPr="00310866">
        <w:rPr>
          <w:lang w:val="fr-FR"/>
        </w:rPr>
        <w:t>La nouvelle cheffe du Bureau de la déontologie</w:t>
      </w:r>
      <w:r w:rsidR="00011EB6" w:rsidRPr="00310866">
        <w:rPr>
          <w:lang w:val="fr-FR"/>
        </w:rPr>
        <w:t xml:space="preserve"> a également </w:t>
      </w:r>
      <w:r w:rsidRPr="00310866">
        <w:rPr>
          <w:lang w:val="fr-FR"/>
        </w:rPr>
        <w:t>présenté un exposé devant</w:t>
      </w:r>
      <w:r w:rsidR="00011EB6" w:rsidRPr="00310866">
        <w:rPr>
          <w:lang w:val="fr-FR"/>
        </w:rPr>
        <w:t xml:space="preserve"> 400</w:t>
      </w:r>
      <w:r w:rsidR="002269E9" w:rsidRPr="00310866">
        <w:rPr>
          <w:lang w:val="fr-FR"/>
        </w:rPr>
        <w:t> </w:t>
      </w:r>
      <w:r w:rsidR="00011EB6" w:rsidRPr="00310866">
        <w:rPr>
          <w:lang w:val="fr-FR"/>
        </w:rPr>
        <w:t xml:space="preserve">personnes </w:t>
      </w:r>
      <w:r w:rsidR="0068457E" w:rsidRPr="00310866">
        <w:rPr>
          <w:lang w:val="fr-FR"/>
        </w:rPr>
        <w:t xml:space="preserve">environ </w:t>
      </w:r>
      <w:r w:rsidR="00011EB6" w:rsidRPr="00310866">
        <w:rPr>
          <w:lang w:val="fr-FR"/>
        </w:rPr>
        <w:t>lors d</w:t>
      </w:r>
      <w:r w:rsidR="001E0F97" w:rsidRPr="00310866">
        <w:rPr>
          <w:lang w:val="fr-FR"/>
        </w:rPr>
        <w:t>’</w:t>
      </w:r>
      <w:r w:rsidR="00011EB6" w:rsidRPr="00310866">
        <w:rPr>
          <w:lang w:val="fr-FR"/>
        </w:rPr>
        <w:t xml:space="preserve">une réunion </w:t>
      </w:r>
      <w:r w:rsidRPr="00310866">
        <w:rPr>
          <w:lang w:val="fr-FR"/>
        </w:rPr>
        <w:t>de personnel</w:t>
      </w:r>
      <w:r w:rsidR="00011EB6" w:rsidRPr="00310866">
        <w:rPr>
          <w:lang w:val="fr-FR"/>
        </w:rPr>
        <w:t xml:space="preserve"> et a participé à six</w:t>
      </w:r>
      <w:r w:rsidR="004768AA" w:rsidRPr="00310866">
        <w:rPr>
          <w:lang w:val="fr-FR"/>
        </w:rPr>
        <w:t> </w:t>
      </w:r>
      <w:r w:rsidR="00011EB6" w:rsidRPr="00310866">
        <w:rPr>
          <w:lang w:val="fr-FR"/>
        </w:rPr>
        <w:t xml:space="preserve">réunions de </w:t>
      </w:r>
      <w:r w:rsidRPr="00310866">
        <w:rPr>
          <w:lang w:val="fr-FR"/>
        </w:rPr>
        <w:t>chefs</w:t>
      </w:r>
      <w:r w:rsidR="00011EB6" w:rsidRPr="00310866">
        <w:rPr>
          <w:lang w:val="fr-FR"/>
        </w:rPr>
        <w:t xml:space="preserve"> de secteur, auxquelles ont assisté environ 60</w:t>
      </w:r>
      <w:r w:rsidR="002269E9" w:rsidRPr="00310866">
        <w:rPr>
          <w:lang w:val="fr-FR"/>
        </w:rPr>
        <w:t> </w:t>
      </w:r>
      <w:r w:rsidR="00011EB6" w:rsidRPr="00310866">
        <w:rPr>
          <w:lang w:val="fr-FR"/>
        </w:rPr>
        <w:t xml:space="preserve">directeurs et </w:t>
      </w:r>
      <w:r w:rsidRPr="00310866">
        <w:rPr>
          <w:lang w:val="fr-FR"/>
        </w:rPr>
        <w:t>hauts fonctionnair</w:t>
      </w:r>
      <w:r w:rsidR="00310866" w:rsidRPr="00310866">
        <w:rPr>
          <w:lang w:val="fr-FR"/>
        </w:rPr>
        <w:t>es.  Le</w:t>
      </w:r>
      <w:r w:rsidR="00011EB6" w:rsidRPr="00310866">
        <w:rPr>
          <w:lang w:val="fr-FR"/>
        </w:rPr>
        <w:t xml:space="preserve">s </w:t>
      </w:r>
      <w:r w:rsidR="0083461F" w:rsidRPr="00310866">
        <w:rPr>
          <w:lang w:val="fr-FR"/>
        </w:rPr>
        <w:t>exposés</w:t>
      </w:r>
      <w:r w:rsidR="00011EB6" w:rsidRPr="00310866">
        <w:rPr>
          <w:lang w:val="fr-FR"/>
        </w:rPr>
        <w:t xml:space="preserve"> comprenaient des informations détaillées sur le mandat du Bureau et visaient à </w:t>
      </w:r>
      <w:r w:rsidR="003512F0" w:rsidRPr="00310866">
        <w:rPr>
          <w:lang w:val="fr-FR"/>
        </w:rPr>
        <w:t xml:space="preserve">améliorer la connaissance </w:t>
      </w:r>
      <w:r w:rsidR="00011EB6" w:rsidRPr="00310866">
        <w:rPr>
          <w:lang w:val="fr-FR"/>
        </w:rPr>
        <w:t>et le respect des politiques liées à l</w:t>
      </w:r>
      <w:r w:rsidR="001E0F97" w:rsidRPr="00310866">
        <w:rPr>
          <w:lang w:val="fr-FR"/>
        </w:rPr>
        <w:t>’</w:t>
      </w:r>
      <w:r w:rsidR="00011EB6" w:rsidRPr="00310866">
        <w:rPr>
          <w:lang w:val="fr-FR"/>
        </w:rPr>
        <w:t xml:space="preserve">éthique, </w:t>
      </w:r>
      <w:r w:rsidR="003512F0" w:rsidRPr="00310866">
        <w:rPr>
          <w:lang w:val="fr-FR"/>
        </w:rPr>
        <w:t>ainsi qu</w:t>
      </w:r>
      <w:r w:rsidR="001E0F97" w:rsidRPr="00310866">
        <w:rPr>
          <w:lang w:val="fr-FR"/>
        </w:rPr>
        <w:t>’</w:t>
      </w:r>
      <w:r w:rsidR="003512F0" w:rsidRPr="00310866">
        <w:rPr>
          <w:lang w:val="fr-FR"/>
        </w:rPr>
        <w:t>à</w:t>
      </w:r>
      <w:r w:rsidR="00011EB6" w:rsidRPr="00310866">
        <w:rPr>
          <w:lang w:val="fr-FR"/>
        </w:rPr>
        <w:t xml:space="preserve"> encourager le personnel et la direction à </w:t>
      </w:r>
      <w:r w:rsidR="003512F0" w:rsidRPr="00310866">
        <w:rPr>
          <w:lang w:val="fr-FR"/>
        </w:rPr>
        <w:t>se conformer à</w:t>
      </w:r>
      <w:r w:rsidR="00011EB6" w:rsidRPr="00310866">
        <w:rPr>
          <w:lang w:val="fr-FR"/>
        </w:rPr>
        <w:t xml:space="preserve"> des normes </w:t>
      </w:r>
      <w:r w:rsidR="003512F0" w:rsidRPr="00310866">
        <w:rPr>
          <w:lang w:val="fr-FR"/>
        </w:rPr>
        <w:t>de déontologie</w:t>
      </w:r>
      <w:r w:rsidR="00011EB6" w:rsidRPr="00310866">
        <w:rPr>
          <w:lang w:val="fr-FR"/>
        </w:rPr>
        <w:t xml:space="preserve"> élevées.</w:t>
      </w:r>
    </w:p>
    <w:p w14:paraId="4B7AF2BC" w14:textId="243594AA" w:rsidR="00011EB6" w:rsidRPr="00310866" w:rsidRDefault="00F27F99" w:rsidP="00F27F99">
      <w:pPr>
        <w:pStyle w:val="Heading2"/>
      </w:pPr>
      <w:r>
        <w:t>É</w:t>
      </w:r>
      <w:r w:rsidRPr="00310866">
        <w:t>tablissement de normes et développement de politiques</w:t>
      </w:r>
    </w:p>
    <w:p w14:paraId="25E14275" w14:textId="70D2E3A5" w:rsidR="00011EB6" w:rsidRPr="00310866" w:rsidRDefault="00011EB6" w:rsidP="00F27F99">
      <w:pPr>
        <w:pStyle w:val="ONUMFS"/>
        <w:rPr>
          <w:lang w:val="fr-FR"/>
        </w:rPr>
      </w:pPr>
      <w:r w:rsidRPr="00310866">
        <w:rPr>
          <w:lang w:val="fr-FR"/>
        </w:rPr>
        <w:t>Le princi</w:t>
      </w:r>
      <w:r w:rsidR="00A9623D" w:rsidRPr="00310866">
        <w:rPr>
          <w:lang w:val="fr-FR"/>
        </w:rPr>
        <w:t xml:space="preserve">pal objectif de la </w:t>
      </w:r>
      <w:r w:rsidR="00A9623D" w:rsidRPr="00310866">
        <w:rPr>
          <w:i/>
          <w:lang w:val="fr-FR"/>
        </w:rPr>
        <w:t>P</w:t>
      </w:r>
      <w:r w:rsidRPr="00310866">
        <w:rPr>
          <w:i/>
          <w:lang w:val="fr-FR"/>
        </w:rPr>
        <w:t xml:space="preserve">olitique de protection contre les représailles </w:t>
      </w:r>
      <w:r w:rsidR="00A9623D" w:rsidRPr="00310866">
        <w:rPr>
          <w:i/>
          <w:lang w:val="fr-FR"/>
        </w:rPr>
        <w:t>en raison du signalement d</w:t>
      </w:r>
      <w:r w:rsidR="001E0F97" w:rsidRPr="00310866">
        <w:rPr>
          <w:i/>
          <w:lang w:val="fr-FR"/>
        </w:rPr>
        <w:t>’</w:t>
      </w:r>
      <w:r w:rsidRPr="00310866">
        <w:rPr>
          <w:i/>
          <w:lang w:val="fr-FR"/>
        </w:rPr>
        <w:t xml:space="preserve">une faute </w:t>
      </w:r>
      <w:r w:rsidR="00F527EF" w:rsidRPr="00310866">
        <w:rPr>
          <w:i/>
          <w:lang w:val="fr-FR"/>
        </w:rPr>
        <w:t>ou</w:t>
      </w:r>
      <w:r w:rsidRPr="00310866">
        <w:rPr>
          <w:i/>
          <w:lang w:val="fr-FR"/>
        </w:rPr>
        <w:t xml:space="preserve"> </w:t>
      </w:r>
      <w:r w:rsidR="00A9623D" w:rsidRPr="00310866">
        <w:rPr>
          <w:i/>
          <w:lang w:val="fr-FR"/>
        </w:rPr>
        <w:t xml:space="preserve">de la collaboration </w:t>
      </w:r>
      <w:r w:rsidRPr="00310866">
        <w:rPr>
          <w:i/>
          <w:lang w:val="fr-FR"/>
        </w:rPr>
        <w:t>à des audits ou enquêtes dûment autorisés</w:t>
      </w:r>
      <w:r w:rsidRPr="00310866">
        <w:rPr>
          <w:lang w:val="fr-FR"/>
        </w:rPr>
        <w:t xml:space="preserve"> (</w:t>
      </w:r>
      <w:r w:rsidR="00A9623D" w:rsidRPr="00310866">
        <w:rPr>
          <w:lang w:val="fr-FR"/>
        </w:rPr>
        <w:t xml:space="preserve">Politique </w:t>
      </w:r>
      <w:r w:rsidR="00F70EFB" w:rsidRPr="00310866">
        <w:rPr>
          <w:lang w:val="fr-FR"/>
        </w:rPr>
        <w:t>contre les représailles</w:t>
      </w:r>
      <w:r w:rsidRPr="00310866">
        <w:rPr>
          <w:lang w:val="fr-FR"/>
        </w:rPr>
        <w:t>) est de faire en sorte que le personnel de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 xml:space="preserve">OMPI qui signale une faute de bonne foi et </w:t>
      </w:r>
      <w:r w:rsidR="00E255C7" w:rsidRPr="00310866">
        <w:rPr>
          <w:lang w:val="fr-FR"/>
        </w:rPr>
        <w:t>collabore</w:t>
      </w:r>
      <w:r w:rsidRPr="00310866">
        <w:rPr>
          <w:lang w:val="fr-FR"/>
        </w:rPr>
        <w:t xml:space="preserve"> </w:t>
      </w:r>
      <w:r w:rsidR="00A9623D" w:rsidRPr="00310866">
        <w:rPr>
          <w:lang w:val="fr-FR"/>
        </w:rPr>
        <w:t>dans le cadre</w:t>
      </w:r>
      <w:r w:rsidRPr="00310866">
        <w:rPr>
          <w:lang w:val="fr-FR"/>
        </w:rPr>
        <w:t xml:space="preserve"> </w:t>
      </w:r>
      <w:r w:rsidR="007B1FCB" w:rsidRPr="00310866">
        <w:rPr>
          <w:lang w:val="fr-FR"/>
        </w:rPr>
        <w:t>d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 xml:space="preserve">audits </w:t>
      </w:r>
      <w:r w:rsidR="00E255C7" w:rsidRPr="00310866">
        <w:rPr>
          <w:lang w:val="fr-FR"/>
        </w:rPr>
        <w:t>ou</w:t>
      </w:r>
      <w:r w:rsidRPr="00310866">
        <w:rPr>
          <w:lang w:val="fr-FR"/>
        </w:rPr>
        <w:t xml:space="preserve"> d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enquêtes ne fasse pas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objet de représailles.</w:t>
      </w:r>
    </w:p>
    <w:p w14:paraId="227E9F4A" w14:textId="28CA0978" w:rsidR="00153ACE" w:rsidRPr="00310866" w:rsidRDefault="00011EB6" w:rsidP="00F27F99">
      <w:pPr>
        <w:pStyle w:val="ONUMFS"/>
        <w:rPr>
          <w:lang w:val="fr-FR"/>
        </w:rPr>
      </w:pPr>
      <w:r w:rsidRPr="00310866">
        <w:rPr>
          <w:lang w:val="fr-FR"/>
        </w:rPr>
        <w:t xml:space="preserve">En vertu de cette politique, le </w:t>
      </w:r>
      <w:r w:rsidR="00C854C7" w:rsidRPr="00310866">
        <w:rPr>
          <w:lang w:val="fr-FR"/>
        </w:rPr>
        <w:t>Bureau de la déontologie</w:t>
      </w:r>
      <w:r w:rsidRPr="00310866">
        <w:rPr>
          <w:lang w:val="fr-FR"/>
        </w:rPr>
        <w:t xml:space="preserve"> est chargé d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examiner les plaintes</w:t>
      </w:r>
      <w:r w:rsidR="00451F2D" w:rsidRPr="00310866">
        <w:rPr>
          <w:lang w:val="fr-FR"/>
        </w:rPr>
        <w:t xml:space="preserve"> afin de déterminer l</w:t>
      </w:r>
      <w:r w:rsidR="001E0F97" w:rsidRPr="00310866">
        <w:rPr>
          <w:lang w:val="fr-FR"/>
        </w:rPr>
        <w:t>’</w:t>
      </w:r>
      <w:r w:rsidR="00451F2D" w:rsidRPr="00310866">
        <w:rPr>
          <w:lang w:val="fr-FR"/>
        </w:rPr>
        <w:t>existence d</w:t>
      </w:r>
      <w:r w:rsidR="001E0F97" w:rsidRPr="00310866">
        <w:rPr>
          <w:lang w:val="fr-FR"/>
        </w:rPr>
        <w:t>’</w:t>
      </w:r>
      <w:r w:rsidR="00451F2D" w:rsidRPr="00310866">
        <w:rPr>
          <w:lang w:val="fr-FR"/>
        </w:rPr>
        <w:t>une présomption de représaill</w:t>
      </w:r>
      <w:r w:rsidR="00310866" w:rsidRPr="00310866">
        <w:rPr>
          <w:lang w:val="fr-FR"/>
        </w:rPr>
        <w:t>es.  Da</w:t>
      </w:r>
      <w:r w:rsidR="00451F2D" w:rsidRPr="00310866">
        <w:rPr>
          <w:lang w:val="fr-FR"/>
        </w:rPr>
        <w:t>ns l</w:t>
      </w:r>
      <w:r w:rsidR="001E0F97" w:rsidRPr="00310866">
        <w:rPr>
          <w:lang w:val="fr-FR"/>
        </w:rPr>
        <w:t>’</w:t>
      </w:r>
      <w:r w:rsidR="00451F2D" w:rsidRPr="00310866">
        <w:rPr>
          <w:lang w:val="fr-FR"/>
        </w:rPr>
        <w:t>affirmative</w:t>
      </w:r>
      <w:r w:rsidRPr="00310866">
        <w:rPr>
          <w:lang w:val="fr-FR"/>
        </w:rPr>
        <w:t xml:space="preserve">, le </w:t>
      </w:r>
      <w:r w:rsidR="00C854C7" w:rsidRPr="00310866">
        <w:rPr>
          <w:lang w:val="fr-FR"/>
        </w:rPr>
        <w:t>Bureau de la déontologie</w:t>
      </w:r>
      <w:r w:rsidRPr="00310866">
        <w:rPr>
          <w:lang w:val="fr-FR"/>
        </w:rPr>
        <w:t xml:space="preserve"> transmet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affaire à</w:t>
      </w:r>
      <w:r w:rsidR="00153ACE" w:rsidRPr="00310866">
        <w:rPr>
          <w:lang w:val="fr-FR"/>
        </w:rPr>
        <w:t xml:space="preserve"> la DSI</w:t>
      </w:r>
      <w:r w:rsidRPr="00310866">
        <w:rPr>
          <w:lang w:val="fr-FR"/>
        </w:rPr>
        <w:t xml:space="preserve"> pour enquê</w:t>
      </w:r>
      <w:r w:rsidR="00310866" w:rsidRPr="00310866">
        <w:rPr>
          <w:lang w:val="fr-FR"/>
        </w:rPr>
        <w:t>te.  Da</w:t>
      </w:r>
      <w:r w:rsidR="00451F2D" w:rsidRPr="00310866">
        <w:rPr>
          <w:lang w:val="fr-FR"/>
        </w:rPr>
        <w:t>ns la négative</w:t>
      </w:r>
      <w:r w:rsidRPr="00310866">
        <w:rPr>
          <w:lang w:val="fr-FR"/>
        </w:rPr>
        <w:t>, le personnel de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 xml:space="preserve">OMPI peut demander </w:t>
      </w:r>
      <w:r w:rsidR="00451F2D" w:rsidRPr="00310866">
        <w:rPr>
          <w:lang w:val="fr-FR"/>
        </w:rPr>
        <w:t>le réexamen de cette décision</w:t>
      </w:r>
      <w:r w:rsidRPr="00310866">
        <w:rPr>
          <w:lang w:val="fr-FR"/>
        </w:rPr>
        <w:t xml:space="preserve"> par un examinateur externe</w:t>
      </w:r>
      <w:r w:rsidR="0039576E" w:rsidRPr="00310866">
        <w:rPr>
          <w:lang w:val="fr-FR"/>
        </w:rPr>
        <w:t xml:space="preserve"> de deuxième niveau</w:t>
      </w:r>
      <w:r w:rsidRPr="00310866">
        <w:rPr>
          <w:lang w:val="fr-FR"/>
        </w:rPr>
        <w:t>.</w:t>
      </w:r>
    </w:p>
    <w:p w14:paraId="28DFCAE8" w14:textId="18CC6096" w:rsidR="00011EB6" w:rsidRPr="00310866" w:rsidRDefault="00011EB6" w:rsidP="00F27F99">
      <w:pPr>
        <w:pStyle w:val="ONUMFS"/>
        <w:rPr>
          <w:lang w:val="fr-FR"/>
        </w:rPr>
      </w:pPr>
      <w:r w:rsidRPr="00310866">
        <w:rPr>
          <w:lang w:val="fr-FR"/>
        </w:rPr>
        <w:lastRenderedPageBreak/>
        <w:t>Conformément à un accord écrit entre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 xml:space="preserve">OMPI et le Bureau des </w:t>
      </w:r>
      <w:r w:rsidR="001E0F97" w:rsidRPr="00310866">
        <w:rPr>
          <w:lang w:val="fr-FR"/>
        </w:rPr>
        <w:t>Nations Unies</w:t>
      </w:r>
      <w:r w:rsidRPr="00310866">
        <w:rPr>
          <w:lang w:val="fr-FR"/>
        </w:rPr>
        <w:t xml:space="preserve"> pour les services d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 xml:space="preserve">appui aux projets (UNOPS), le </w:t>
      </w:r>
      <w:r w:rsidR="00C854C7" w:rsidRPr="00310866">
        <w:rPr>
          <w:lang w:val="fr-FR"/>
        </w:rPr>
        <w:t>Bureau de la déontologie</w:t>
      </w:r>
      <w:r w:rsidRPr="00310866">
        <w:rPr>
          <w:lang w:val="fr-FR"/>
        </w:rPr>
        <w:t xml:space="preserve"> de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UNOPS a assumé ce rôle d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examinateur de deuxième niveau pour les demandes jusqu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 xml:space="preserve">au </w:t>
      </w:r>
      <w:r w:rsidR="00153ACE" w:rsidRPr="00310866">
        <w:rPr>
          <w:lang w:val="fr-FR"/>
        </w:rPr>
        <w:t>4 octobre 20</w:t>
      </w:r>
      <w:r w:rsidRPr="00310866">
        <w:rPr>
          <w:lang w:val="fr-FR"/>
        </w:rPr>
        <w:t>20.</w:t>
      </w:r>
      <w:r w:rsidR="00FE0D93" w:rsidRPr="00310866">
        <w:rPr>
          <w:lang w:val="fr-FR"/>
        </w:rPr>
        <w:t xml:space="preserve"> </w:t>
      </w:r>
      <w:r w:rsidR="00A065C9" w:rsidRPr="00310866">
        <w:rPr>
          <w:lang w:val="fr-FR"/>
        </w:rPr>
        <w:t xml:space="preserve"> </w:t>
      </w:r>
      <w:r w:rsidRPr="00310866">
        <w:rPr>
          <w:lang w:val="fr-FR"/>
        </w:rPr>
        <w:t>Aucun cas n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a fait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objet d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 xml:space="preserve">un </w:t>
      </w:r>
      <w:r w:rsidR="00D85DBE" w:rsidRPr="00310866">
        <w:rPr>
          <w:lang w:val="fr-FR"/>
        </w:rPr>
        <w:t>réexamen</w:t>
      </w:r>
      <w:r w:rsidRPr="00310866">
        <w:rPr>
          <w:lang w:val="fr-FR"/>
        </w:rPr>
        <w:t xml:space="preserve"> après cette da</w:t>
      </w:r>
      <w:r w:rsidR="00310866" w:rsidRPr="00310866">
        <w:rPr>
          <w:lang w:val="fr-FR"/>
        </w:rPr>
        <w:t xml:space="preserve">te.  À </w:t>
      </w:r>
      <w:r w:rsidR="008D0034" w:rsidRPr="00310866">
        <w:rPr>
          <w:lang w:val="fr-FR"/>
        </w:rPr>
        <w:t>la suite d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un nouvel accord entre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 xml:space="preserve">OMPI et le </w:t>
      </w:r>
      <w:r w:rsidR="00C854C7" w:rsidRPr="00310866">
        <w:rPr>
          <w:lang w:val="fr-FR"/>
        </w:rPr>
        <w:t>Bureau de la déontologie</w:t>
      </w:r>
      <w:r w:rsidRPr="00310866">
        <w:rPr>
          <w:lang w:val="fr-FR"/>
        </w:rPr>
        <w:t xml:space="preserve"> des </w:t>
      </w:r>
      <w:r w:rsidR="001E0F97" w:rsidRPr="00310866">
        <w:rPr>
          <w:lang w:val="fr-FR"/>
        </w:rPr>
        <w:t>Nations Unies</w:t>
      </w:r>
      <w:r w:rsidRPr="00310866">
        <w:rPr>
          <w:lang w:val="fr-FR"/>
        </w:rPr>
        <w:t xml:space="preserve"> (UNEO), ce dernier a remplacé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 xml:space="preserve">UNOPS dans ce rôle à partir de </w:t>
      </w:r>
      <w:r w:rsidR="00153ACE" w:rsidRPr="00310866">
        <w:rPr>
          <w:lang w:val="fr-FR"/>
        </w:rPr>
        <w:t>janvier 20</w:t>
      </w:r>
      <w:r w:rsidRPr="00310866">
        <w:rPr>
          <w:lang w:val="fr-FR"/>
        </w:rPr>
        <w:t>22.</w:t>
      </w:r>
      <w:r w:rsidR="00FE0D93" w:rsidRPr="00310866">
        <w:rPr>
          <w:lang w:val="fr-FR"/>
        </w:rPr>
        <w:t xml:space="preserve"> </w:t>
      </w:r>
      <w:r w:rsidR="00794C51" w:rsidRPr="00310866">
        <w:rPr>
          <w:lang w:val="fr-FR"/>
        </w:rPr>
        <w:t xml:space="preserve"> </w:t>
      </w:r>
      <w:r w:rsidRPr="00310866">
        <w:rPr>
          <w:lang w:val="fr-FR"/>
        </w:rPr>
        <w:t xml:space="preserve">Ce changement sera intégré dans une politique révisée de </w:t>
      </w:r>
      <w:r w:rsidR="008D0034" w:rsidRPr="00310866">
        <w:rPr>
          <w:lang w:val="fr-FR"/>
        </w:rPr>
        <w:t xml:space="preserve">protection </w:t>
      </w:r>
      <w:r w:rsidR="00576232" w:rsidRPr="00310866">
        <w:rPr>
          <w:lang w:val="fr-FR"/>
        </w:rPr>
        <w:t>contre les représailles</w:t>
      </w:r>
      <w:r w:rsidRPr="00310866">
        <w:rPr>
          <w:lang w:val="fr-FR"/>
        </w:rPr>
        <w:t>.</w:t>
      </w:r>
    </w:p>
    <w:p w14:paraId="0F39DE83" w14:textId="09851284" w:rsidR="00011EB6" w:rsidRPr="00310866" w:rsidRDefault="00E97283" w:rsidP="00E97283">
      <w:pPr>
        <w:pStyle w:val="Heading2"/>
      </w:pPr>
      <w:r>
        <w:t>M</w:t>
      </w:r>
      <w:r w:rsidRPr="00310866">
        <w:t xml:space="preserve">ise en œuvre des politiques assignées au </w:t>
      </w:r>
      <w:r>
        <w:t>B</w:t>
      </w:r>
      <w:r w:rsidRPr="00310866">
        <w:t>ureau de la déontologie</w:t>
      </w:r>
    </w:p>
    <w:p w14:paraId="10F2962A" w14:textId="15AAA8B2" w:rsidR="00011EB6" w:rsidRPr="00E97283" w:rsidRDefault="00011EB6" w:rsidP="00E97283">
      <w:pPr>
        <w:pStyle w:val="Heading3"/>
      </w:pPr>
      <w:r w:rsidRPr="00E97283">
        <w:t>Protection contre les représailles</w:t>
      </w:r>
    </w:p>
    <w:p w14:paraId="1260DC56" w14:textId="5E199E14" w:rsidR="00011EB6" w:rsidRPr="00310866" w:rsidRDefault="00011EB6" w:rsidP="00F27F99">
      <w:pPr>
        <w:pStyle w:val="ONUMFS"/>
        <w:rPr>
          <w:lang w:val="fr-FR"/>
        </w:rPr>
      </w:pPr>
      <w:r w:rsidRPr="00310866">
        <w:rPr>
          <w:lang w:val="fr-FR"/>
        </w:rPr>
        <w:t xml:space="preserve">Le </w:t>
      </w:r>
      <w:r w:rsidR="00C854C7" w:rsidRPr="00310866">
        <w:rPr>
          <w:lang w:val="fr-FR"/>
        </w:rPr>
        <w:t>Bureau de la déontologie</w:t>
      </w:r>
      <w:r w:rsidRPr="00310866">
        <w:rPr>
          <w:lang w:val="fr-FR"/>
        </w:rPr>
        <w:t xml:space="preserve"> n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a été saisi d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 xml:space="preserve">aucune demande de protection contre les représailles </w:t>
      </w:r>
      <w:r w:rsidR="00153ACE" w:rsidRPr="00310866">
        <w:rPr>
          <w:lang w:val="fr-FR"/>
        </w:rPr>
        <w:t>en 2021</w:t>
      </w:r>
      <w:r w:rsidRPr="00310866">
        <w:rPr>
          <w:lang w:val="fr-FR"/>
        </w:rPr>
        <w:t>.</w:t>
      </w:r>
      <w:r w:rsidR="00FE0D93" w:rsidRPr="00310866">
        <w:rPr>
          <w:lang w:val="fr-FR"/>
        </w:rPr>
        <w:t xml:space="preserve"> </w:t>
      </w:r>
      <w:r w:rsidR="005075CD" w:rsidRPr="00310866">
        <w:rPr>
          <w:lang w:val="fr-FR"/>
        </w:rPr>
        <w:t xml:space="preserve"> </w:t>
      </w:r>
      <w:r w:rsidRPr="00310866">
        <w:rPr>
          <w:lang w:val="fr-FR"/>
        </w:rPr>
        <w:t>Toutefois, comme indiqué ci</w:t>
      </w:r>
      <w:r w:rsidR="00F27F99">
        <w:rPr>
          <w:lang w:val="fr-FR"/>
        </w:rPr>
        <w:noBreakHyphen/>
      </w:r>
      <w:r w:rsidRPr="00310866">
        <w:rPr>
          <w:lang w:val="fr-FR"/>
        </w:rPr>
        <w:t xml:space="preserve">dessus, le </w:t>
      </w:r>
      <w:r w:rsidR="00C854C7" w:rsidRPr="00310866">
        <w:rPr>
          <w:lang w:val="fr-FR"/>
        </w:rPr>
        <w:t>Bureau de la déontologie</w:t>
      </w:r>
      <w:r w:rsidRPr="00310866">
        <w:rPr>
          <w:lang w:val="fr-FR"/>
        </w:rPr>
        <w:t xml:space="preserve"> a répondu aux demandes de renseignements et a </w:t>
      </w:r>
      <w:r w:rsidR="001A7393" w:rsidRPr="00310866">
        <w:rPr>
          <w:lang w:val="fr-FR"/>
        </w:rPr>
        <w:t>dispensé</w:t>
      </w:r>
      <w:r w:rsidRPr="00310866">
        <w:rPr>
          <w:lang w:val="fr-FR"/>
        </w:rPr>
        <w:t xml:space="preserve"> des </w:t>
      </w:r>
      <w:r w:rsidR="001A7393" w:rsidRPr="00310866">
        <w:rPr>
          <w:lang w:val="fr-FR"/>
        </w:rPr>
        <w:t>conseils et des avis</w:t>
      </w:r>
      <w:r w:rsidRPr="00310866">
        <w:rPr>
          <w:lang w:val="fr-FR"/>
        </w:rPr>
        <w:t xml:space="preserve"> sur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application de la politique.</w:t>
      </w:r>
    </w:p>
    <w:p w14:paraId="55950E7A" w14:textId="72EF1F4A" w:rsidR="00011EB6" w:rsidRPr="00310866" w:rsidRDefault="00E04E2C" w:rsidP="00E97283">
      <w:pPr>
        <w:pStyle w:val="Heading3"/>
      </w:pPr>
      <w:r w:rsidRPr="00310866">
        <w:t>Déclaration de situation</w:t>
      </w:r>
      <w:r w:rsidR="00011EB6" w:rsidRPr="00310866">
        <w:t xml:space="preserve"> financière et déclaration d</w:t>
      </w:r>
      <w:r w:rsidR="001E0F97" w:rsidRPr="00310866">
        <w:t>’</w:t>
      </w:r>
      <w:r w:rsidR="00011EB6" w:rsidRPr="00310866">
        <w:t>intérêts</w:t>
      </w:r>
    </w:p>
    <w:p w14:paraId="47A36256" w14:textId="4CB4AD72" w:rsidR="00011EB6" w:rsidRPr="00310866" w:rsidRDefault="00011EB6" w:rsidP="00F27F99">
      <w:pPr>
        <w:pStyle w:val="ONUMFS"/>
        <w:rPr>
          <w:lang w:val="fr-FR"/>
        </w:rPr>
      </w:pPr>
      <w:r w:rsidRPr="00310866">
        <w:rPr>
          <w:lang w:val="fr-FR"/>
        </w:rPr>
        <w:t xml:space="preserve">Le programme </w:t>
      </w:r>
      <w:r w:rsidR="00EB3592" w:rsidRPr="00310866">
        <w:rPr>
          <w:lang w:val="fr-FR"/>
        </w:rPr>
        <w:t xml:space="preserve">relatif à la déclaration de situation financière et </w:t>
      </w:r>
      <w:r w:rsidR="001D7D7C" w:rsidRPr="00310866">
        <w:rPr>
          <w:lang w:val="fr-FR"/>
        </w:rPr>
        <w:t xml:space="preserve">à la </w:t>
      </w:r>
      <w:r w:rsidR="00EB3592" w:rsidRPr="00310866">
        <w:rPr>
          <w:lang w:val="fr-FR"/>
        </w:rPr>
        <w:t>déclaration d</w:t>
      </w:r>
      <w:r w:rsidR="001E0F97" w:rsidRPr="00310866">
        <w:rPr>
          <w:lang w:val="fr-FR"/>
        </w:rPr>
        <w:t>’</w:t>
      </w:r>
      <w:r w:rsidR="00EB3592" w:rsidRPr="00310866">
        <w:rPr>
          <w:lang w:val="fr-FR"/>
        </w:rPr>
        <w:t xml:space="preserve">intérêts </w:t>
      </w:r>
      <w:r w:rsidRPr="00310866">
        <w:rPr>
          <w:lang w:val="fr-FR"/>
        </w:rPr>
        <w:t xml:space="preserve">est administré par le </w:t>
      </w:r>
      <w:r w:rsidR="00C854C7" w:rsidRPr="00310866">
        <w:rPr>
          <w:lang w:val="fr-FR"/>
        </w:rPr>
        <w:t>Bureau de la déontologie</w:t>
      </w:r>
      <w:r w:rsidRPr="00310866">
        <w:rPr>
          <w:lang w:val="fr-FR"/>
        </w:rPr>
        <w:t xml:space="preserve"> conformément à la </w:t>
      </w:r>
      <w:r w:rsidR="001D7D7C" w:rsidRPr="00310866">
        <w:rPr>
          <w:lang w:val="fr-FR"/>
        </w:rPr>
        <w:t>P</w:t>
      </w:r>
      <w:r w:rsidRPr="00310866">
        <w:rPr>
          <w:lang w:val="fr-FR"/>
        </w:rPr>
        <w:t xml:space="preserve">olitique en matière de </w:t>
      </w:r>
      <w:r w:rsidR="00EB3592" w:rsidRPr="00310866">
        <w:rPr>
          <w:lang w:val="fr-FR"/>
        </w:rPr>
        <w:t xml:space="preserve">déclaration de situation financière et </w:t>
      </w:r>
      <w:r w:rsidR="001D7D7C" w:rsidRPr="00310866">
        <w:rPr>
          <w:lang w:val="fr-FR"/>
        </w:rPr>
        <w:t xml:space="preserve">de </w:t>
      </w:r>
      <w:r w:rsidR="00EB3592" w:rsidRPr="00310866">
        <w:rPr>
          <w:lang w:val="fr-FR"/>
        </w:rPr>
        <w:t>déclaration d</w:t>
      </w:r>
      <w:r w:rsidR="001E0F97" w:rsidRPr="00310866">
        <w:rPr>
          <w:lang w:val="fr-FR"/>
        </w:rPr>
        <w:t>’</w:t>
      </w:r>
      <w:r w:rsidR="00EB3592" w:rsidRPr="00310866">
        <w:rPr>
          <w:lang w:val="fr-FR"/>
        </w:rPr>
        <w:t>intérêts</w:t>
      </w:r>
      <w:r w:rsidR="001D7D7C" w:rsidRPr="00310866">
        <w:rPr>
          <w:lang w:val="fr-FR"/>
        </w:rPr>
        <w:t xml:space="preserve"> de l</w:t>
      </w:r>
      <w:r w:rsidR="001E0F97" w:rsidRPr="00310866">
        <w:rPr>
          <w:lang w:val="fr-FR"/>
        </w:rPr>
        <w:t>’</w:t>
      </w:r>
      <w:r w:rsidR="001D7D7C" w:rsidRPr="00310866">
        <w:rPr>
          <w:lang w:val="fr-FR"/>
        </w:rPr>
        <w:t>OMPI</w:t>
      </w:r>
      <w:r w:rsidR="00EB3592" w:rsidRPr="00310866">
        <w:rPr>
          <w:lang w:val="fr-FR"/>
        </w:rPr>
        <w:t xml:space="preserve"> </w:t>
      </w:r>
      <w:r w:rsidRPr="00310866">
        <w:rPr>
          <w:lang w:val="fr-FR"/>
        </w:rPr>
        <w:t>qui vise à</w:t>
      </w:r>
      <w:r w:rsidR="00E97283">
        <w:rPr>
          <w:lang w:val="fr-FR"/>
        </w:rPr>
        <w:t> :</w:t>
      </w:r>
    </w:p>
    <w:p w14:paraId="438981BF" w14:textId="47322CE6" w:rsidR="00011EB6" w:rsidRPr="00310866" w:rsidRDefault="00011EB6" w:rsidP="00E97283">
      <w:pPr>
        <w:pStyle w:val="ONUMFS"/>
        <w:numPr>
          <w:ilvl w:val="0"/>
          <w:numId w:val="16"/>
        </w:numPr>
        <w:tabs>
          <w:tab w:val="clear" w:pos="567"/>
          <w:tab w:val="left" w:pos="1134"/>
        </w:tabs>
        <w:ind w:left="1134" w:hanging="567"/>
        <w:rPr>
          <w:lang w:val="fr-FR"/>
        </w:rPr>
      </w:pPr>
      <w:proofErr w:type="gramStart"/>
      <w:r w:rsidRPr="00310866">
        <w:rPr>
          <w:lang w:val="fr-FR"/>
        </w:rPr>
        <w:t>promouvoir</w:t>
      </w:r>
      <w:proofErr w:type="gramEnd"/>
      <w:r w:rsidRPr="00310866">
        <w:rPr>
          <w:lang w:val="fr-FR"/>
        </w:rPr>
        <w:t xml:space="preserve"> la transparence et la responsabilité;</w:t>
      </w:r>
    </w:p>
    <w:p w14:paraId="6CAE70F6" w14:textId="1E77230F" w:rsidR="00011EB6" w:rsidRPr="00310866" w:rsidRDefault="00011EB6" w:rsidP="00E97283">
      <w:pPr>
        <w:pStyle w:val="ONUMFS"/>
        <w:numPr>
          <w:ilvl w:val="0"/>
          <w:numId w:val="16"/>
        </w:numPr>
        <w:tabs>
          <w:tab w:val="clear" w:pos="567"/>
          <w:tab w:val="left" w:pos="1134"/>
        </w:tabs>
        <w:ind w:left="1134" w:hanging="567"/>
        <w:rPr>
          <w:lang w:val="fr-FR"/>
        </w:rPr>
      </w:pPr>
      <w:proofErr w:type="gramStart"/>
      <w:r w:rsidRPr="00310866">
        <w:rPr>
          <w:lang w:val="fr-FR"/>
        </w:rPr>
        <w:t>renforcer</w:t>
      </w:r>
      <w:proofErr w:type="gramEnd"/>
      <w:r w:rsidRPr="00310866">
        <w:rPr>
          <w:lang w:val="fr-FR"/>
        </w:rPr>
        <w:t xml:space="preserve"> la confiance interne et celle du grand public dans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intégrité de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 xml:space="preserve">Organisation; </w:t>
      </w:r>
      <w:r w:rsidR="004768AA" w:rsidRPr="00310866">
        <w:rPr>
          <w:lang w:val="fr-FR"/>
        </w:rPr>
        <w:t xml:space="preserve"> </w:t>
      </w:r>
      <w:r w:rsidRPr="00310866">
        <w:rPr>
          <w:lang w:val="fr-FR"/>
        </w:rPr>
        <w:t>et</w:t>
      </w:r>
    </w:p>
    <w:p w14:paraId="1007738C" w14:textId="442A5A31" w:rsidR="00011EB6" w:rsidRPr="00310866" w:rsidRDefault="00011EB6" w:rsidP="00E97283">
      <w:pPr>
        <w:pStyle w:val="ONUMFS"/>
        <w:numPr>
          <w:ilvl w:val="0"/>
          <w:numId w:val="16"/>
        </w:numPr>
        <w:tabs>
          <w:tab w:val="clear" w:pos="567"/>
          <w:tab w:val="left" w:pos="1134"/>
        </w:tabs>
        <w:ind w:left="1134" w:hanging="567"/>
        <w:rPr>
          <w:lang w:val="fr-FR"/>
        </w:rPr>
      </w:pPr>
      <w:proofErr w:type="gramStart"/>
      <w:r w:rsidRPr="00310866">
        <w:rPr>
          <w:lang w:val="fr-FR"/>
        </w:rPr>
        <w:t>aider</w:t>
      </w:r>
      <w:proofErr w:type="gramEnd"/>
      <w:r w:rsidRPr="00310866">
        <w:rPr>
          <w:lang w:val="fr-FR"/>
        </w:rPr>
        <w:t xml:space="preserve">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Organisation à gérer le risque de conflits d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 xml:space="preserve">intérêts réels ou </w:t>
      </w:r>
      <w:r w:rsidR="00EB3592" w:rsidRPr="00310866">
        <w:rPr>
          <w:lang w:val="fr-FR"/>
        </w:rPr>
        <w:t>apparents</w:t>
      </w:r>
      <w:r w:rsidRPr="00310866">
        <w:rPr>
          <w:lang w:val="fr-FR"/>
        </w:rPr>
        <w:t xml:space="preserve"> </w:t>
      </w:r>
      <w:r w:rsidR="00EB3592" w:rsidRPr="00310866">
        <w:rPr>
          <w:lang w:val="fr-FR"/>
        </w:rPr>
        <w:t>grâce à</w:t>
      </w:r>
      <w:r w:rsidRPr="00310866">
        <w:rPr>
          <w:lang w:val="fr-FR"/>
        </w:rPr>
        <w:t xml:space="preserve"> la divulgation, </w:t>
      </w:r>
      <w:r w:rsidR="00EB3592" w:rsidRPr="00310866">
        <w:rPr>
          <w:lang w:val="fr-FR"/>
        </w:rPr>
        <w:t>à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atténuation et</w:t>
      </w:r>
      <w:r w:rsidR="00EB3592" w:rsidRPr="00310866">
        <w:rPr>
          <w:lang w:val="fr-FR"/>
        </w:rPr>
        <w:t xml:space="preserve"> à</w:t>
      </w:r>
      <w:r w:rsidRPr="00310866">
        <w:rPr>
          <w:lang w:val="fr-FR"/>
        </w:rPr>
        <w:t xml:space="preserve"> la prévention.</w:t>
      </w:r>
    </w:p>
    <w:p w14:paraId="2D382C35" w14:textId="6BB3CCCD" w:rsidR="00153ACE" w:rsidRPr="00310866" w:rsidRDefault="00011EB6" w:rsidP="00F27F99">
      <w:pPr>
        <w:pStyle w:val="ONUMFS"/>
        <w:rPr>
          <w:lang w:val="fr-FR"/>
        </w:rPr>
      </w:pPr>
      <w:r w:rsidRPr="00310866">
        <w:rPr>
          <w:lang w:val="fr-FR"/>
        </w:rPr>
        <w:t>Au total, 107</w:t>
      </w:r>
      <w:r w:rsidR="00FE58AB" w:rsidRPr="00310866">
        <w:rPr>
          <w:rStyle w:val="FootnoteReference"/>
          <w:lang w:val="fr-FR"/>
        </w:rPr>
        <w:footnoteReference w:id="3"/>
      </w:r>
      <w:r w:rsidR="002269E9" w:rsidRPr="00310866">
        <w:rPr>
          <w:lang w:val="fr-FR"/>
        </w:rPr>
        <w:t> </w:t>
      </w:r>
      <w:r w:rsidRPr="00310866">
        <w:rPr>
          <w:lang w:val="fr-FR"/>
        </w:rPr>
        <w:t>membres du personnel</w:t>
      </w:r>
      <w:r w:rsidR="00564295" w:rsidRPr="00310866">
        <w:rPr>
          <w:lang w:val="fr-FR"/>
        </w:rPr>
        <w:t>,</w:t>
      </w:r>
      <w:r w:rsidR="00153ACE" w:rsidRPr="00310866">
        <w:rPr>
          <w:lang w:val="fr-FR"/>
        </w:rPr>
        <w:t xml:space="preserve"> </w:t>
      </w:r>
      <w:r w:rsidR="00564295" w:rsidRPr="00310866">
        <w:rPr>
          <w:lang w:val="fr-FR"/>
        </w:rPr>
        <w:t>tous</w:t>
      </w:r>
      <w:r w:rsidRPr="00310866">
        <w:rPr>
          <w:lang w:val="fr-FR"/>
        </w:rPr>
        <w:t xml:space="preserve"> cadres supérieurs de </w:t>
      </w:r>
      <w:r w:rsidR="00B133E2" w:rsidRPr="00310866">
        <w:rPr>
          <w:lang w:val="fr-FR"/>
        </w:rPr>
        <w:t>grade</w:t>
      </w:r>
      <w:r w:rsidR="002269E9" w:rsidRPr="00310866">
        <w:rPr>
          <w:lang w:val="fr-FR"/>
        </w:rPr>
        <w:t> </w:t>
      </w:r>
      <w:r w:rsidRPr="00310866">
        <w:rPr>
          <w:lang w:val="fr-FR"/>
        </w:rPr>
        <w:t xml:space="preserve">D1 et </w:t>
      </w:r>
      <w:r w:rsidR="00B133E2" w:rsidRPr="00310866">
        <w:rPr>
          <w:lang w:val="fr-FR"/>
        </w:rPr>
        <w:t>supérieur</w:t>
      </w:r>
      <w:r w:rsidRPr="00310866">
        <w:rPr>
          <w:lang w:val="fr-FR"/>
        </w:rPr>
        <w:t>, ainsi que d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autres membres du personnel travaillant dans des catégories spécifiques désignées</w:t>
      </w:r>
      <w:r w:rsidR="00564295" w:rsidRPr="00310866">
        <w:rPr>
          <w:lang w:val="fr-FR"/>
        </w:rPr>
        <w:t>,</w:t>
      </w:r>
      <w:r w:rsidR="00153ACE" w:rsidRPr="00310866">
        <w:rPr>
          <w:lang w:val="fr-FR"/>
        </w:rPr>
        <w:t xml:space="preserve"> </w:t>
      </w:r>
      <w:r w:rsidRPr="00310866">
        <w:rPr>
          <w:lang w:val="fr-FR"/>
        </w:rPr>
        <w:t xml:space="preserve">ont participé au programme annuel </w:t>
      </w:r>
      <w:r w:rsidR="00B133E2" w:rsidRPr="00310866">
        <w:rPr>
          <w:lang w:val="fr-FR"/>
        </w:rPr>
        <w:t xml:space="preserve">relatif à la déclaration de situation financière et </w:t>
      </w:r>
      <w:r w:rsidR="00564295" w:rsidRPr="00310866">
        <w:rPr>
          <w:lang w:val="fr-FR"/>
        </w:rPr>
        <w:t xml:space="preserve">à la </w:t>
      </w:r>
      <w:r w:rsidR="00B133E2" w:rsidRPr="00310866">
        <w:rPr>
          <w:lang w:val="fr-FR"/>
        </w:rPr>
        <w:t>déclaration d</w:t>
      </w:r>
      <w:r w:rsidR="001E0F97" w:rsidRPr="00310866">
        <w:rPr>
          <w:lang w:val="fr-FR"/>
        </w:rPr>
        <w:t>’</w:t>
      </w:r>
      <w:r w:rsidR="00B133E2" w:rsidRPr="00310866">
        <w:rPr>
          <w:lang w:val="fr-FR"/>
        </w:rPr>
        <w:t xml:space="preserve">intérêts </w:t>
      </w:r>
      <w:r w:rsidRPr="00310866">
        <w:rPr>
          <w:lang w:val="fr-FR"/>
        </w:rPr>
        <w:t xml:space="preserve">pour le cycle </w:t>
      </w:r>
      <w:r w:rsidR="009376E7" w:rsidRPr="00310866">
        <w:rPr>
          <w:lang w:val="fr-FR"/>
        </w:rPr>
        <w:t>de déclaration</w:t>
      </w:r>
      <w:r w:rsidR="002269E9" w:rsidRPr="00310866">
        <w:rPr>
          <w:lang w:val="fr-FR"/>
        </w:rPr>
        <w:t> </w:t>
      </w:r>
      <w:r w:rsidR="00B133E2" w:rsidRPr="00310866">
        <w:rPr>
          <w:lang w:val="fr-FR"/>
        </w:rPr>
        <w:t>2020</w:t>
      </w:r>
      <w:r w:rsidRPr="00310866">
        <w:rPr>
          <w:lang w:val="fr-FR"/>
        </w:rPr>
        <w:t xml:space="preserve"> (du</w:t>
      </w:r>
      <w:r w:rsidR="001E0F97" w:rsidRPr="00310866">
        <w:rPr>
          <w:lang w:val="fr-FR"/>
        </w:rPr>
        <w:t xml:space="preserve"> 1</w:t>
      </w:r>
      <w:r w:rsidR="001E0F97" w:rsidRPr="00310866">
        <w:rPr>
          <w:vertAlign w:val="superscript"/>
          <w:lang w:val="fr-FR"/>
        </w:rPr>
        <w:t>er</w:t>
      </w:r>
      <w:r w:rsidR="001E0F97" w:rsidRPr="00310866">
        <w:rPr>
          <w:lang w:val="fr-FR"/>
        </w:rPr>
        <w:t> </w:t>
      </w:r>
      <w:r w:rsidRPr="00310866">
        <w:rPr>
          <w:lang w:val="fr-FR"/>
        </w:rPr>
        <w:t>janvier au 3</w:t>
      </w:r>
      <w:r w:rsidR="00153ACE" w:rsidRPr="00310866">
        <w:rPr>
          <w:lang w:val="fr-FR"/>
        </w:rPr>
        <w:t>1 décembre 20</w:t>
      </w:r>
      <w:r w:rsidRPr="00310866">
        <w:rPr>
          <w:lang w:val="fr-FR"/>
        </w:rPr>
        <w:t>20)</w:t>
      </w:r>
      <w:r w:rsidR="004768AA" w:rsidRPr="00310866">
        <w:rPr>
          <w:lang w:val="fr-FR"/>
        </w:rPr>
        <w:t>.</w:t>
      </w:r>
      <w:r w:rsidR="00FE0D93" w:rsidRPr="00310866">
        <w:rPr>
          <w:lang w:val="fr-FR"/>
        </w:rPr>
        <w:t xml:space="preserve"> </w:t>
      </w:r>
      <w:r w:rsidR="005075CD" w:rsidRPr="00310866">
        <w:rPr>
          <w:lang w:val="fr-FR"/>
        </w:rPr>
        <w:t xml:space="preserve"> </w:t>
      </w:r>
      <w:r w:rsidRPr="00310866">
        <w:rPr>
          <w:lang w:val="fr-FR"/>
        </w:rPr>
        <w:t>Le programme a été ouvert du 2</w:t>
      </w:r>
      <w:r w:rsidR="00153ACE" w:rsidRPr="00310866">
        <w:rPr>
          <w:lang w:val="fr-FR"/>
        </w:rPr>
        <w:t>8 avril</w:t>
      </w:r>
      <w:r w:rsidRPr="00310866">
        <w:rPr>
          <w:lang w:val="fr-FR"/>
        </w:rPr>
        <w:t xml:space="preserve"> au 1</w:t>
      </w:r>
      <w:r w:rsidR="00153ACE" w:rsidRPr="00310866">
        <w:rPr>
          <w:lang w:val="fr-FR"/>
        </w:rPr>
        <w:t>8 juin 20</w:t>
      </w:r>
      <w:r w:rsidRPr="00310866">
        <w:rPr>
          <w:lang w:val="fr-FR"/>
        </w:rPr>
        <w:t>21.</w:t>
      </w:r>
    </w:p>
    <w:p w14:paraId="521ADAA3" w14:textId="2CEC48BB" w:rsidR="00153ACE" w:rsidRPr="00310866" w:rsidRDefault="00011EB6" w:rsidP="00F27F99">
      <w:pPr>
        <w:pStyle w:val="ONUMFS"/>
        <w:rPr>
          <w:lang w:val="fr-FR"/>
        </w:rPr>
      </w:pPr>
      <w:r w:rsidRPr="00310866">
        <w:rPr>
          <w:lang w:val="fr-FR"/>
        </w:rPr>
        <w:t xml:space="preserve">Un </w:t>
      </w:r>
      <w:r w:rsidR="009376E7" w:rsidRPr="00310866">
        <w:rPr>
          <w:lang w:val="fr-FR"/>
        </w:rPr>
        <w:t>examinateur</w:t>
      </w:r>
      <w:r w:rsidRPr="00310866">
        <w:rPr>
          <w:lang w:val="fr-FR"/>
        </w:rPr>
        <w:t xml:space="preserve"> externe engagé par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OMPI à cette fin a examiné les déclarations soumises par le personn</w:t>
      </w:r>
      <w:r w:rsidR="00310866" w:rsidRPr="00310866">
        <w:rPr>
          <w:lang w:val="fr-FR"/>
        </w:rPr>
        <w:t>el.  Ch</w:t>
      </w:r>
      <w:r w:rsidRPr="00310866">
        <w:rPr>
          <w:lang w:val="fr-FR"/>
        </w:rPr>
        <w:t xml:space="preserve">aque déclaration a </w:t>
      </w:r>
      <w:r w:rsidR="007F7E3D" w:rsidRPr="00310866">
        <w:rPr>
          <w:lang w:val="fr-FR"/>
        </w:rPr>
        <w:t>été soumise à deux</w:t>
      </w:r>
      <w:r w:rsidR="004768AA" w:rsidRPr="00310866">
        <w:rPr>
          <w:lang w:val="fr-FR"/>
        </w:rPr>
        <w:t> </w:t>
      </w:r>
      <w:r w:rsidR="007F7E3D" w:rsidRPr="00310866">
        <w:rPr>
          <w:lang w:val="fr-FR"/>
        </w:rPr>
        <w:t>niveaux d</w:t>
      </w:r>
      <w:r w:rsidR="001E0F97" w:rsidRPr="00310866">
        <w:rPr>
          <w:lang w:val="fr-FR"/>
        </w:rPr>
        <w:t>’</w:t>
      </w:r>
      <w:r w:rsidR="007F7E3D" w:rsidRPr="00310866">
        <w:rPr>
          <w:lang w:val="fr-FR"/>
        </w:rPr>
        <w:t>examen</w:t>
      </w:r>
      <w:r w:rsidRPr="00310866">
        <w:rPr>
          <w:lang w:val="fr-FR"/>
        </w:rPr>
        <w:t xml:space="preserve"> selon une méthode d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examen conçue par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examinateur externe pour mettre en évidence les éléments nécessitant une attention particulière, notamment les intérêts financiers détenus dans des sociétés figurant sur la liste des fournisseurs de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OMPI, les intérêts financiers ayant des objectifs d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 xml:space="preserve">investissement importants axés sur la propriété intellectuelle et les intérêts ou activités </w:t>
      </w:r>
      <w:r w:rsidR="00FE58AB" w:rsidRPr="00310866">
        <w:rPr>
          <w:lang w:val="fr-FR"/>
        </w:rPr>
        <w:t>exercées en dehors du Bureau international</w:t>
      </w:r>
      <w:r w:rsidRPr="00310866">
        <w:rPr>
          <w:lang w:val="fr-FR"/>
        </w:rPr>
        <w:t xml:space="preserve"> nécessitant des autorisatio</w:t>
      </w:r>
      <w:r w:rsidR="00310866" w:rsidRPr="00310866">
        <w:rPr>
          <w:lang w:val="fr-FR"/>
        </w:rPr>
        <w:t>ns.  Le</w:t>
      </w:r>
      <w:r w:rsidRPr="00310866">
        <w:rPr>
          <w:lang w:val="fr-FR"/>
        </w:rPr>
        <w:t xml:space="preserve"> processus d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examen comprenait également la recherche d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informations accessibles au public afin d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obtenir la stratégie d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investissement et la répartition des fonds de chaque participation divulgu</w:t>
      </w:r>
      <w:r w:rsidR="00310866" w:rsidRPr="00310866">
        <w:rPr>
          <w:lang w:val="fr-FR"/>
        </w:rPr>
        <w:t>ée.  En</w:t>
      </w:r>
      <w:r w:rsidR="007F7E3D" w:rsidRPr="00310866">
        <w:rPr>
          <w:lang w:val="fr-FR"/>
        </w:rPr>
        <w:t xml:space="preserve"> outre</w:t>
      </w:r>
      <w:r w:rsidRPr="00310866">
        <w:rPr>
          <w:lang w:val="fr-FR"/>
        </w:rPr>
        <w:t>,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 xml:space="preserve">examinateur externe a </w:t>
      </w:r>
      <w:r w:rsidR="007F7E3D" w:rsidRPr="00310866">
        <w:rPr>
          <w:lang w:val="fr-FR"/>
        </w:rPr>
        <w:t>organisé</w:t>
      </w:r>
      <w:r w:rsidRPr="00310866">
        <w:rPr>
          <w:lang w:val="fr-FR"/>
        </w:rPr>
        <w:t xml:space="preserve"> des discussions de suivi avec les participants afin d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 xml:space="preserve">obtenir des informations </w:t>
      </w:r>
      <w:r w:rsidR="007F7E3D" w:rsidRPr="00310866">
        <w:rPr>
          <w:lang w:val="fr-FR"/>
        </w:rPr>
        <w:t>complémentaires utiles</w:t>
      </w:r>
      <w:r w:rsidRPr="00310866">
        <w:rPr>
          <w:lang w:val="fr-FR"/>
        </w:rPr>
        <w:t>.</w:t>
      </w:r>
    </w:p>
    <w:p w14:paraId="6FBDA4AB" w14:textId="580C8D3E" w:rsidR="00153ACE" w:rsidRPr="00310866" w:rsidRDefault="00011EB6" w:rsidP="00F27F99">
      <w:pPr>
        <w:pStyle w:val="ONUMFS"/>
        <w:rPr>
          <w:lang w:val="fr-FR"/>
        </w:rPr>
      </w:pPr>
      <w:r w:rsidRPr="00310866">
        <w:rPr>
          <w:lang w:val="fr-FR"/>
        </w:rPr>
        <w:lastRenderedPageBreak/>
        <w:t>Lorsqu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 xml:space="preserve">un formulaire </w:t>
      </w:r>
      <w:r w:rsidR="00853437" w:rsidRPr="00310866">
        <w:rPr>
          <w:lang w:val="fr-FR"/>
        </w:rPr>
        <w:t>faisait état de conflits d</w:t>
      </w:r>
      <w:r w:rsidR="001E0F97" w:rsidRPr="00310866">
        <w:rPr>
          <w:lang w:val="fr-FR"/>
        </w:rPr>
        <w:t>’</w:t>
      </w:r>
      <w:r w:rsidR="00853437" w:rsidRPr="00310866">
        <w:rPr>
          <w:lang w:val="fr-FR"/>
        </w:rPr>
        <w:t>intérêts perçus, potentiels ou réels, l</w:t>
      </w:r>
      <w:r w:rsidR="001E0F97" w:rsidRPr="00310866">
        <w:rPr>
          <w:lang w:val="fr-FR"/>
        </w:rPr>
        <w:t>’</w:t>
      </w:r>
      <w:r w:rsidR="00853437" w:rsidRPr="00310866">
        <w:rPr>
          <w:lang w:val="fr-FR"/>
        </w:rPr>
        <w:t>examinateur externe a examiné la situation avec le Bureau de la déontologie de l</w:t>
      </w:r>
      <w:r w:rsidR="001E0F97" w:rsidRPr="00310866">
        <w:rPr>
          <w:lang w:val="fr-FR"/>
        </w:rPr>
        <w:t>’</w:t>
      </w:r>
      <w:r w:rsidR="00853437" w:rsidRPr="00310866">
        <w:rPr>
          <w:lang w:val="fr-FR"/>
        </w:rPr>
        <w:t>OMPI pour obtenir son avis et trouver une soluti</w:t>
      </w:r>
      <w:r w:rsidR="00310866" w:rsidRPr="00310866">
        <w:rPr>
          <w:lang w:val="fr-FR"/>
        </w:rPr>
        <w:t>on.  La</w:t>
      </w:r>
      <w:r w:rsidR="00853437" w:rsidRPr="00310866">
        <w:rPr>
          <w:lang w:val="fr-FR"/>
        </w:rPr>
        <w:t xml:space="preserve"> décision concernant l</w:t>
      </w:r>
      <w:r w:rsidR="001E0F97" w:rsidRPr="00310866">
        <w:rPr>
          <w:lang w:val="fr-FR"/>
        </w:rPr>
        <w:t>’</w:t>
      </w:r>
      <w:r w:rsidR="00853437" w:rsidRPr="00310866">
        <w:rPr>
          <w:lang w:val="fr-FR"/>
        </w:rPr>
        <w:t>existence d</w:t>
      </w:r>
      <w:r w:rsidR="001E0F97" w:rsidRPr="00310866">
        <w:rPr>
          <w:lang w:val="fr-FR"/>
        </w:rPr>
        <w:t>’</w:t>
      </w:r>
      <w:r w:rsidR="001A2102" w:rsidRPr="00310866">
        <w:rPr>
          <w:lang w:val="fr-FR"/>
        </w:rPr>
        <w:t>un</w:t>
      </w:r>
      <w:r w:rsidR="00853437" w:rsidRPr="00310866">
        <w:rPr>
          <w:lang w:val="fr-FR"/>
        </w:rPr>
        <w:t xml:space="preserve"> conflit perçu, potentiel ou réel, ainsi que la solution appropriée, relève de l</w:t>
      </w:r>
      <w:r w:rsidR="001E0F97" w:rsidRPr="00310866">
        <w:rPr>
          <w:lang w:val="fr-FR"/>
        </w:rPr>
        <w:t>’</w:t>
      </w:r>
      <w:r w:rsidR="00853437" w:rsidRPr="00310866">
        <w:rPr>
          <w:lang w:val="fr-FR"/>
        </w:rPr>
        <w:t>OMPI.</w:t>
      </w:r>
    </w:p>
    <w:p w14:paraId="57D74084" w14:textId="6112C615" w:rsidR="00011EB6" w:rsidRPr="00310866" w:rsidRDefault="00011EB6" w:rsidP="00F27F99">
      <w:pPr>
        <w:pStyle w:val="ONUMFS"/>
        <w:rPr>
          <w:lang w:val="fr-FR"/>
        </w:rPr>
      </w:pPr>
      <w:r w:rsidRPr="00310866">
        <w:rPr>
          <w:lang w:val="fr-FR"/>
        </w:rPr>
        <w:t>Au cours de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examen, cinq</w:t>
      </w:r>
      <w:r w:rsidR="004768AA" w:rsidRPr="00310866">
        <w:rPr>
          <w:lang w:val="fr-FR"/>
        </w:rPr>
        <w:t> </w:t>
      </w:r>
      <w:r w:rsidRPr="00310866">
        <w:rPr>
          <w:lang w:val="fr-FR"/>
        </w:rPr>
        <w:t>formulaires ont été présentés par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 xml:space="preserve">examinateur externe pour </w:t>
      </w:r>
      <w:r w:rsidR="00FD085C" w:rsidRPr="00310866">
        <w:rPr>
          <w:lang w:val="fr-FR"/>
        </w:rPr>
        <w:t>examen</w:t>
      </w:r>
      <w:r w:rsidRPr="00310866">
        <w:rPr>
          <w:lang w:val="fr-FR"/>
        </w:rPr>
        <w:t xml:space="preserve"> avec le </w:t>
      </w:r>
      <w:r w:rsidR="00C854C7" w:rsidRPr="00310866">
        <w:rPr>
          <w:lang w:val="fr-FR"/>
        </w:rPr>
        <w:t>Bureau de la déontolog</w:t>
      </w:r>
      <w:r w:rsidR="00310866" w:rsidRPr="00310866">
        <w:rPr>
          <w:lang w:val="fr-FR"/>
        </w:rPr>
        <w:t>ie.  Ap</w:t>
      </w:r>
      <w:r w:rsidRPr="00310866">
        <w:rPr>
          <w:lang w:val="fr-FR"/>
        </w:rPr>
        <w:t xml:space="preserve">rès </w:t>
      </w:r>
      <w:r w:rsidR="00FD085C" w:rsidRPr="00310866">
        <w:rPr>
          <w:lang w:val="fr-FR"/>
        </w:rPr>
        <w:t>examen</w:t>
      </w:r>
      <w:r w:rsidRPr="00310866">
        <w:rPr>
          <w:lang w:val="fr-FR"/>
        </w:rPr>
        <w:t>, quatre</w:t>
      </w:r>
      <w:r w:rsidR="004768AA" w:rsidRPr="00310866">
        <w:rPr>
          <w:lang w:val="fr-FR"/>
        </w:rPr>
        <w:t> </w:t>
      </w:r>
      <w:r w:rsidRPr="00310866">
        <w:rPr>
          <w:lang w:val="fr-FR"/>
        </w:rPr>
        <w:t xml:space="preserve">dossiers ont été clos avec la mention </w:t>
      </w:r>
      <w:r w:rsidR="00153ACE" w:rsidRPr="00310866">
        <w:rPr>
          <w:lang w:val="fr-FR"/>
        </w:rPr>
        <w:t>“</w:t>
      </w:r>
      <w:r w:rsidR="00A963D4" w:rsidRPr="00310866">
        <w:rPr>
          <w:lang w:val="fr-FR"/>
        </w:rPr>
        <w:t>A</w:t>
      </w:r>
      <w:r w:rsidRPr="00310866">
        <w:rPr>
          <w:lang w:val="fr-FR"/>
        </w:rPr>
        <w:t>ucune action requis</w:t>
      </w:r>
      <w:r w:rsidR="00153ACE" w:rsidRPr="00310866">
        <w:rPr>
          <w:lang w:val="fr-FR"/>
        </w:rPr>
        <w:t>e”</w:t>
      </w:r>
      <w:r w:rsidRPr="00310866">
        <w:rPr>
          <w:lang w:val="fr-FR"/>
        </w:rPr>
        <w:t>.</w:t>
      </w:r>
      <w:r w:rsidR="00FE0D93" w:rsidRPr="00310866">
        <w:rPr>
          <w:lang w:val="fr-FR"/>
        </w:rPr>
        <w:t xml:space="preserve"> </w:t>
      </w:r>
      <w:r w:rsidR="00B86765" w:rsidRPr="00310866">
        <w:rPr>
          <w:lang w:val="fr-FR"/>
        </w:rPr>
        <w:t xml:space="preserve"> </w:t>
      </w:r>
      <w:r w:rsidRPr="00310866">
        <w:rPr>
          <w:lang w:val="fr-FR"/>
        </w:rPr>
        <w:t xml:space="preserve">La cinquième déclaration a été classée dans la catégorie </w:t>
      </w:r>
      <w:r w:rsidR="00153ACE" w:rsidRPr="00310866">
        <w:rPr>
          <w:lang w:val="fr-FR"/>
        </w:rPr>
        <w:t>“A</w:t>
      </w:r>
      <w:r w:rsidRPr="00310866">
        <w:rPr>
          <w:lang w:val="fr-FR"/>
        </w:rPr>
        <w:t>ction convenu</w:t>
      </w:r>
      <w:r w:rsidR="00153ACE" w:rsidRPr="00310866">
        <w:rPr>
          <w:lang w:val="fr-FR"/>
        </w:rPr>
        <w:t>e”</w:t>
      </w:r>
      <w:r w:rsidRPr="00310866">
        <w:rPr>
          <w:lang w:val="fr-FR"/>
        </w:rPr>
        <w:t xml:space="preserve"> et le participant a été informé de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action correcti</w:t>
      </w:r>
      <w:r w:rsidR="00310866" w:rsidRPr="00310866">
        <w:rPr>
          <w:lang w:val="fr-FR"/>
        </w:rPr>
        <w:t>ve.  Il</w:t>
      </w:r>
      <w:r w:rsidRPr="00310866">
        <w:rPr>
          <w:lang w:val="fr-FR"/>
        </w:rPr>
        <w:t xml:space="preserve"> n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y a pas eu de conflits d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intérêts réels pour le programme</w:t>
      </w:r>
      <w:r w:rsidR="002269E9" w:rsidRPr="00310866">
        <w:rPr>
          <w:lang w:val="fr-FR"/>
        </w:rPr>
        <w:t> </w:t>
      </w:r>
      <w:r w:rsidRPr="00310866">
        <w:rPr>
          <w:lang w:val="fr-FR"/>
        </w:rPr>
        <w:t>2021.</w:t>
      </w:r>
    </w:p>
    <w:p w14:paraId="70833689" w14:textId="3E0FF969" w:rsidR="00011EB6" w:rsidRPr="00310866" w:rsidRDefault="00011EB6" w:rsidP="00F27F99">
      <w:pPr>
        <w:pStyle w:val="ONUMFS"/>
        <w:rPr>
          <w:lang w:val="fr-FR"/>
        </w:rPr>
      </w:pPr>
      <w:r w:rsidRPr="00310866">
        <w:rPr>
          <w:lang w:val="fr-FR"/>
        </w:rPr>
        <w:t>Après la clôture de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exercice, environ cinq</w:t>
      </w:r>
      <w:r w:rsidR="004768AA" w:rsidRPr="00310866">
        <w:rPr>
          <w:lang w:val="fr-FR"/>
        </w:rPr>
        <w:t> </w:t>
      </w:r>
      <w:r w:rsidRPr="00310866">
        <w:rPr>
          <w:lang w:val="fr-FR"/>
        </w:rPr>
        <w:t xml:space="preserve">pour cent (6) des participants </w:t>
      </w:r>
      <w:r w:rsidR="00FD085C" w:rsidRPr="00310866">
        <w:rPr>
          <w:lang w:val="fr-FR"/>
        </w:rPr>
        <w:t>au programme</w:t>
      </w:r>
      <w:r w:rsidRPr="00310866">
        <w:rPr>
          <w:lang w:val="fr-FR"/>
        </w:rPr>
        <w:t xml:space="preserve"> ont été sélectionnés au hasard pour participer au processus de vérification prescrit dans la politique </w:t>
      </w:r>
      <w:r w:rsidR="00FD085C" w:rsidRPr="00310866">
        <w:rPr>
          <w:lang w:val="fr-FR"/>
        </w:rPr>
        <w:t>relative à la déclaration de situation financière et</w:t>
      </w:r>
      <w:r w:rsidR="0076790E" w:rsidRPr="00310866">
        <w:rPr>
          <w:lang w:val="fr-FR"/>
        </w:rPr>
        <w:t xml:space="preserve"> à la</w:t>
      </w:r>
      <w:r w:rsidR="00FD085C" w:rsidRPr="00310866">
        <w:rPr>
          <w:lang w:val="fr-FR"/>
        </w:rPr>
        <w:t xml:space="preserve"> déclaration d</w:t>
      </w:r>
      <w:r w:rsidR="001E0F97" w:rsidRPr="00310866">
        <w:rPr>
          <w:lang w:val="fr-FR"/>
        </w:rPr>
        <w:t>’</w:t>
      </w:r>
      <w:r w:rsidR="00FD085C" w:rsidRPr="00310866">
        <w:rPr>
          <w:lang w:val="fr-FR"/>
        </w:rPr>
        <w:t>intérê</w:t>
      </w:r>
      <w:r w:rsidR="00310866" w:rsidRPr="00310866">
        <w:rPr>
          <w:lang w:val="fr-FR"/>
        </w:rPr>
        <w:t>ts.  To</w:t>
      </w:r>
      <w:r w:rsidR="000B1819" w:rsidRPr="00310866">
        <w:rPr>
          <w:lang w:val="fr-FR"/>
        </w:rPr>
        <w:t>us les participants soumis à la procédure de vérification ont respecté l</w:t>
      </w:r>
      <w:r w:rsidR="001E0F97" w:rsidRPr="00310866">
        <w:rPr>
          <w:lang w:val="fr-FR"/>
        </w:rPr>
        <w:t>’</w:t>
      </w:r>
      <w:r w:rsidR="000B1819" w:rsidRPr="00310866">
        <w:rPr>
          <w:lang w:val="fr-FR"/>
        </w:rPr>
        <w:t>obligation de fournir les documents requis ou de confirmer la soumission délibérée d</w:t>
      </w:r>
      <w:r w:rsidR="001E0F97" w:rsidRPr="00310866">
        <w:rPr>
          <w:lang w:val="fr-FR"/>
        </w:rPr>
        <w:t>’</w:t>
      </w:r>
      <w:r w:rsidR="000B1819" w:rsidRPr="00310866">
        <w:rPr>
          <w:lang w:val="fr-FR"/>
        </w:rPr>
        <w:t>un formulaire vier</w:t>
      </w:r>
      <w:r w:rsidR="00310866" w:rsidRPr="00310866">
        <w:rPr>
          <w:lang w:val="fr-FR"/>
        </w:rPr>
        <w:t>ge.  La</w:t>
      </w:r>
      <w:r w:rsidR="000B1819" w:rsidRPr="00310866">
        <w:rPr>
          <w:lang w:val="fr-FR"/>
        </w:rPr>
        <w:t xml:space="preserve"> procédure n</w:t>
      </w:r>
      <w:r w:rsidR="001E0F97" w:rsidRPr="00310866">
        <w:rPr>
          <w:lang w:val="fr-FR"/>
        </w:rPr>
        <w:t>’</w:t>
      </w:r>
      <w:r w:rsidR="000B1819" w:rsidRPr="00310866">
        <w:rPr>
          <w:lang w:val="fr-FR"/>
        </w:rPr>
        <w:t>a donné lieu à aucune observati</w:t>
      </w:r>
      <w:r w:rsidR="00310866" w:rsidRPr="00310866">
        <w:rPr>
          <w:lang w:val="fr-FR"/>
        </w:rPr>
        <w:t xml:space="preserve">on.  À </w:t>
      </w:r>
      <w:r w:rsidRPr="00310866">
        <w:rPr>
          <w:lang w:val="fr-FR"/>
        </w:rPr>
        <w:t>la fin du processus,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 xml:space="preserve">examinateur externe a </w:t>
      </w:r>
      <w:r w:rsidR="000B1819" w:rsidRPr="00310866">
        <w:rPr>
          <w:lang w:val="fr-FR"/>
        </w:rPr>
        <w:t>présenté un rapport complètement anonyme au D</w:t>
      </w:r>
      <w:r w:rsidRPr="00310866">
        <w:rPr>
          <w:lang w:val="fr-FR"/>
        </w:rPr>
        <w:t>irecteur général.</w:t>
      </w:r>
    </w:p>
    <w:p w14:paraId="6EF4A2B8" w14:textId="5ABC6FC4" w:rsidR="00011EB6" w:rsidRPr="00310866" w:rsidRDefault="00794FA4" w:rsidP="00E97283">
      <w:pPr>
        <w:pStyle w:val="Heading3"/>
      </w:pPr>
      <w:r w:rsidRPr="00310866">
        <w:t>Normes IPSAS</w:t>
      </w:r>
    </w:p>
    <w:p w14:paraId="404D5531" w14:textId="79C5A9B7" w:rsidR="00153ACE" w:rsidRPr="00310866" w:rsidRDefault="00011EB6" w:rsidP="00F27F99">
      <w:pPr>
        <w:pStyle w:val="ONUMFS"/>
        <w:rPr>
          <w:lang w:val="fr-FR"/>
        </w:rPr>
      </w:pPr>
      <w:r w:rsidRPr="00310866">
        <w:rPr>
          <w:lang w:val="fr-FR"/>
        </w:rPr>
        <w:t>Conformément à son mandat</w:t>
      </w:r>
      <w:r w:rsidR="009F6762" w:rsidRPr="00310866">
        <w:rPr>
          <w:rStyle w:val="FootnoteReference"/>
          <w:lang w:val="fr-FR"/>
        </w:rPr>
        <w:footnoteReference w:id="4"/>
      </w:r>
      <w:r w:rsidRPr="00310866">
        <w:rPr>
          <w:lang w:val="fr-FR"/>
        </w:rPr>
        <w:t xml:space="preserve">, le </w:t>
      </w:r>
      <w:r w:rsidR="00C854C7" w:rsidRPr="00310866">
        <w:rPr>
          <w:lang w:val="fr-FR"/>
        </w:rPr>
        <w:t>Bureau de la déontologie</w:t>
      </w:r>
      <w:r w:rsidRPr="00310866">
        <w:rPr>
          <w:lang w:val="fr-FR"/>
        </w:rPr>
        <w:t xml:space="preserve"> a administré et géré la divulgation annuelle des normes</w:t>
      </w:r>
      <w:r w:rsidR="004768AA" w:rsidRPr="00310866">
        <w:rPr>
          <w:lang w:val="fr-FR"/>
        </w:rPr>
        <w:t> </w:t>
      </w:r>
      <w:r w:rsidR="00436A4D" w:rsidRPr="00310866">
        <w:rPr>
          <w:lang w:val="fr-FR"/>
        </w:rPr>
        <w:t xml:space="preserve">IPSAS en ce qui concerne la déclaration de situation financière et </w:t>
      </w:r>
      <w:r w:rsidR="009F6762" w:rsidRPr="00310866">
        <w:rPr>
          <w:lang w:val="fr-FR"/>
        </w:rPr>
        <w:t xml:space="preserve">la </w:t>
      </w:r>
      <w:r w:rsidR="00436A4D" w:rsidRPr="00310866">
        <w:rPr>
          <w:lang w:val="fr-FR"/>
        </w:rPr>
        <w:t>déclaration d</w:t>
      </w:r>
      <w:r w:rsidR="001E0F97" w:rsidRPr="00310866">
        <w:rPr>
          <w:lang w:val="fr-FR"/>
        </w:rPr>
        <w:t>’</w:t>
      </w:r>
      <w:r w:rsidR="00436A4D" w:rsidRPr="00310866">
        <w:rPr>
          <w:lang w:val="fr-FR"/>
        </w:rPr>
        <w:t>intérê</w:t>
      </w:r>
      <w:r w:rsidR="00310866" w:rsidRPr="00310866">
        <w:rPr>
          <w:lang w:val="fr-FR"/>
        </w:rPr>
        <w:t>ts.  La</w:t>
      </w:r>
      <w:r w:rsidR="00123DDC" w:rsidRPr="00310866">
        <w:rPr>
          <w:lang w:val="fr-FR"/>
        </w:rPr>
        <w:t xml:space="preserve"> conformité avec les normes</w:t>
      </w:r>
      <w:r w:rsidR="004768AA" w:rsidRPr="00310866">
        <w:rPr>
          <w:lang w:val="fr-FR"/>
        </w:rPr>
        <w:t> </w:t>
      </w:r>
      <w:r w:rsidR="00123DDC" w:rsidRPr="00310866">
        <w:rPr>
          <w:lang w:val="fr-FR"/>
        </w:rPr>
        <w:t>IPSAS a créé de nouvelles règles de divulgation pour les fonctionnaires des catégories</w:t>
      </w:r>
      <w:r w:rsidR="002269E9" w:rsidRPr="00310866">
        <w:rPr>
          <w:lang w:val="fr-FR"/>
        </w:rPr>
        <w:t> </w:t>
      </w:r>
      <w:r w:rsidR="00123DDC" w:rsidRPr="00310866">
        <w:rPr>
          <w:lang w:val="fr-FR"/>
        </w:rPr>
        <w:t>D</w:t>
      </w:r>
      <w:r w:rsidR="00F27F99">
        <w:rPr>
          <w:lang w:val="fr-FR"/>
        </w:rPr>
        <w:noBreakHyphen/>
      </w:r>
      <w:r w:rsidR="00123DDC" w:rsidRPr="00310866">
        <w:rPr>
          <w:lang w:val="fr-FR"/>
        </w:rPr>
        <w:t>2 et supérieures.</w:t>
      </w:r>
    </w:p>
    <w:p w14:paraId="6E742D36" w14:textId="01B46077" w:rsidR="00011EB6" w:rsidRPr="00310866" w:rsidRDefault="00153ACE" w:rsidP="00F27F99">
      <w:pPr>
        <w:pStyle w:val="ONUMFS"/>
        <w:rPr>
          <w:lang w:val="fr-FR"/>
        </w:rPr>
      </w:pPr>
      <w:r w:rsidRPr="00310866">
        <w:rPr>
          <w:lang w:val="fr-FR"/>
        </w:rPr>
        <w:t>Pour 2021</w:t>
      </w:r>
      <w:r w:rsidR="00011EB6" w:rsidRPr="00310866">
        <w:rPr>
          <w:lang w:val="fr-FR"/>
        </w:rPr>
        <w:t xml:space="preserve">, le </w:t>
      </w:r>
      <w:r w:rsidR="00C854C7" w:rsidRPr="00310866">
        <w:rPr>
          <w:lang w:val="fr-FR"/>
        </w:rPr>
        <w:t>Bureau de la déontologie</w:t>
      </w:r>
      <w:r w:rsidR="00011EB6" w:rsidRPr="00310866">
        <w:rPr>
          <w:lang w:val="fr-FR"/>
        </w:rPr>
        <w:t xml:space="preserve"> a enregist</w:t>
      </w:r>
      <w:r w:rsidR="00123DDC" w:rsidRPr="00310866">
        <w:rPr>
          <w:lang w:val="fr-FR"/>
        </w:rPr>
        <w:t>ré un taux de conformité de 100</w:t>
      </w:r>
      <w:r w:rsidR="00011EB6" w:rsidRPr="00310866">
        <w:rPr>
          <w:lang w:val="fr-FR"/>
        </w:rPr>
        <w:t>% du personnel de l</w:t>
      </w:r>
      <w:r w:rsidR="001E0F97" w:rsidRPr="00310866">
        <w:rPr>
          <w:lang w:val="fr-FR"/>
        </w:rPr>
        <w:t>’</w:t>
      </w:r>
      <w:r w:rsidR="00011EB6" w:rsidRPr="00310866">
        <w:rPr>
          <w:lang w:val="fr-FR"/>
        </w:rPr>
        <w:t xml:space="preserve">OMPI </w:t>
      </w:r>
      <w:r w:rsidR="00123DDC" w:rsidRPr="00310866">
        <w:rPr>
          <w:lang w:val="fr-FR"/>
        </w:rPr>
        <w:t>avec les règles</w:t>
      </w:r>
      <w:r w:rsidR="00011EB6" w:rsidRPr="00310866">
        <w:rPr>
          <w:lang w:val="fr-FR"/>
        </w:rPr>
        <w:t xml:space="preserve"> de divulgation des normes</w:t>
      </w:r>
      <w:r w:rsidR="004768AA" w:rsidRPr="00310866">
        <w:rPr>
          <w:lang w:val="fr-FR"/>
        </w:rPr>
        <w:t> </w:t>
      </w:r>
      <w:r w:rsidR="00011EB6" w:rsidRPr="00310866">
        <w:rPr>
          <w:lang w:val="fr-FR"/>
        </w:rPr>
        <w:t>IPSAS.</w:t>
      </w:r>
    </w:p>
    <w:p w14:paraId="22FDED7E" w14:textId="12DF1264" w:rsidR="00011EB6" w:rsidRPr="00310866" w:rsidRDefault="00E97283" w:rsidP="00E97283">
      <w:pPr>
        <w:pStyle w:val="Heading1"/>
      </w:pPr>
      <w:r>
        <w:t>Autres activités du B</w:t>
      </w:r>
      <w:r w:rsidRPr="00310866">
        <w:t>ureau de la déontologie</w:t>
      </w:r>
    </w:p>
    <w:p w14:paraId="4E42A13E" w14:textId="0722FDE1" w:rsidR="00153ACE" w:rsidRPr="00310866" w:rsidRDefault="00011EB6" w:rsidP="00F27F99">
      <w:pPr>
        <w:pStyle w:val="ONUMFS"/>
        <w:rPr>
          <w:lang w:val="fr-FR"/>
        </w:rPr>
      </w:pPr>
      <w:r w:rsidRPr="00310866">
        <w:rPr>
          <w:lang w:val="fr-FR"/>
        </w:rPr>
        <w:t>Tout au long de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année</w:t>
      </w:r>
      <w:r w:rsidR="002269E9" w:rsidRPr="00310866">
        <w:rPr>
          <w:lang w:val="fr-FR"/>
        </w:rPr>
        <w:t> </w:t>
      </w:r>
      <w:r w:rsidRPr="00310866">
        <w:rPr>
          <w:lang w:val="fr-FR"/>
        </w:rPr>
        <w:t xml:space="preserve">2021, le </w:t>
      </w:r>
      <w:r w:rsidR="00C854C7" w:rsidRPr="00310866">
        <w:rPr>
          <w:lang w:val="fr-FR"/>
        </w:rPr>
        <w:t>Bureau de la déontologie</w:t>
      </w:r>
      <w:r w:rsidRPr="00310866">
        <w:rPr>
          <w:lang w:val="fr-FR"/>
        </w:rPr>
        <w:t xml:space="preserve"> a continué de dialoguer avec l</w:t>
      </w:r>
      <w:r w:rsidR="001E0F97" w:rsidRPr="00310866">
        <w:rPr>
          <w:lang w:val="fr-FR"/>
        </w:rPr>
        <w:t>’</w:t>
      </w:r>
      <w:r w:rsidR="003B38D6" w:rsidRPr="00310866">
        <w:rPr>
          <w:lang w:val="fr-FR"/>
        </w:rPr>
        <w:t xml:space="preserve">Organe </w:t>
      </w:r>
      <w:r w:rsidRPr="00310866">
        <w:rPr>
          <w:lang w:val="fr-FR"/>
        </w:rPr>
        <w:t>consultatif indépendant de supervision (</w:t>
      </w:r>
      <w:r w:rsidR="003B38D6" w:rsidRPr="00310866">
        <w:rPr>
          <w:lang w:val="fr-FR"/>
        </w:rPr>
        <w:t>OCIS</w:t>
      </w:r>
      <w:r w:rsidRPr="00310866">
        <w:rPr>
          <w:lang w:val="fr-FR"/>
        </w:rPr>
        <w:t>)</w:t>
      </w:r>
      <w:r w:rsidR="00471A92" w:rsidRPr="00310866">
        <w:rPr>
          <w:rStyle w:val="FootnoteReference"/>
          <w:lang w:val="fr-FR"/>
        </w:rPr>
        <w:footnoteReference w:id="5"/>
      </w:r>
      <w:r w:rsidR="003B38D6" w:rsidRPr="00310866">
        <w:rPr>
          <w:rStyle w:val="FootnoteReference"/>
          <w:lang w:val="fr-FR"/>
        </w:rPr>
        <w:t xml:space="preserve"> </w:t>
      </w:r>
      <w:r w:rsidR="003B38D6" w:rsidRPr="00310866">
        <w:rPr>
          <w:lang w:val="fr-FR"/>
        </w:rPr>
        <w:t>de l</w:t>
      </w:r>
      <w:r w:rsidR="001E0F97" w:rsidRPr="00310866">
        <w:rPr>
          <w:lang w:val="fr-FR"/>
        </w:rPr>
        <w:t>’</w:t>
      </w:r>
      <w:r w:rsidR="003B38D6" w:rsidRPr="00310866">
        <w:rPr>
          <w:lang w:val="fr-FR"/>
        </w:rPr>
        <w:t>OMPI</w:t>
      </w:r>
      <w:r w:rsidRPr="00310866">
        <w:rPr>
          <w:lang w:val="fr-FR"/>
        </w:rPr>
        <w:t xml:space="preserve">, en particulier </w:t>
      </w:r>
      <w:r w:rsidR="00471A92" w:rsidRPr="00310866">
        <w:rPr>
          <w:lang w:val="fr-FR"/>
        </w:rPr>
        <w:t>en ce qui concerne</w:t>
      </w:r>
      <w:r w:rsidRPr="00310866">
        <w:rPr>
          <w:lang w:val="fr-FR"/>
        </w:rPr>
        <w:t xml:space="preserve"> la mise en œuvre du </w:t>
      </w:r>
      <w:r w:rsidR="003B38D6" w:rsidRPr="00310866">
        <w:rPr>
          <w:lang w:val="fr-FR"/>
        </w:rPr>
        <w:t>programme</w:t>
      </w:r>
      <w:r w:rsidRPr="00310866">
        <w:rPr>
          <w:lang w:val="fr-FR"/>
        </w:rPr>
        <w:t xml:space="preserve"> de travail du Bureau</w:t>
      </w:r>
      <w:r w:rsidR="007700AF" w:rsidRPr="00310866">
        <w:rPr>
          <w:lang w:val="fr-FR"/>
        </w:rPr>
        <w:t>.</w:t>
      </w:r>
    </w:p>
    <w:p w14:paraId="4E008FC0" w14:textId="41B0F2A1" w:rsidR="00011EB6" w:rsidRPr="00310866" w:rsidRDefault="00011EB6" w:rsidP="00F27F99">
      <w:pPr>
        <w:pStyle w:val="ONUMFS"/>
        <w:rPr>
          <w:lang w:val="fr-FR"/>
        </w:rPr>
      </w:pPr>
      <w:r w:rsidRPr="00310866">
        <w:rPr>
          <w:lang w:val="fr-FR"/>
        </w:rPr>
        <w:t xml:space="preserve">Le </w:t>
      </w:r>
      <w:r w:rsidR="00C854C7" w:rsidRPr="00310866">
        <w:rPr>
          <w:lang w:val="fr-FR"/>
        </w:rPr>
        <w:t>Bureau de la déontologie</w:t>
      </w:r>
      <w:r w:rsidRPr="00310866">
        <w:rPr>
          <w:lang w:val="fr-FR"/>
        </w:rPr>
        <w:t xml:space="preserve">, comme toutes les unités de programme </w:t>
      </w:r>
      <w:r w:rsidR="00446C4B" w:rsidRPr="00310866">
        <w:rPr>
          <w:lang w:val="fr-FR"/>
        </w:rPr>
        <w:t xml:space="preserve">au sein </w:t>
      </w:r>
      <w:r w:rsidRPr="00310866">
        <w:rPr>
          <w:lang w:val="fr-FR"/>
        </w:rPr>
        <w:t>de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Organisation, a également contribué aux processus de planification biennale et annuelle et de gestion des risques de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OMPI.</w:t>
      </w:r>
    </w:p>
    <w:p w14:paraId="7F68CA68" w14:textId="67F8A680" w:rsidR="00153ACE" w:rsidRPr="00310866" w:rsidRDefault="00E97283" w:rsidP="00E97283">
      <w:pPr>
        <w:pStyle w:val="Heading1"/>
      </w:pPr>
      <w:r>
        <w:t>C</w:t>
      </w:r>
      <w:r w:rsidRPr="00310866">
        <w:t>ollaboration à l’échelle du système sur les questions d’</w:t>
      </w:r>
      <w:r>
        <w:t>éthique au sein du système des N</w:t>
      </w:r>
      <w:r w:rsidRPr="00310866">
        <w:t>ations</w:t>
      </w:r>
      <w:r>
        <w:t> U</w:t>
      </w:r>
      <w:r w:rsidRPr="00310866">
        <w:t>nies</w:t>
      </w:r>
    </w:p>
    <w:p w14:paraId="6FCF9408" w14:textId="482FD0A1" w:rsidR="00153ACE" w:rsidRPr="00310866" w:rsidRDefault="00011EB6" w:rsidP="00F27F99">
      <w:pPr>
        <w:pStyle w:val="ONUMFS"/>
        <w:rPr>
          <w:lang w:val="fr-FR"/>
        </w:rPr>
      </w:pPr>
      <w:r w:rsidRPr="00310866">
        <w:rPr>
          <w:lang w:val="fr-FR"/>
        </w:rPr>
        <w:t xml:space="preserve">Le </w:t>
      </w:r>
      <w:r w:rsidR="00C854C7" w:rsidRPr="00310866">
        <w:rPr>
          <w:lang w:val="fr-FR"/>
        </w:rPr>
        <w:t>Bureau de la déontologie</w:t>
      </w:r>
      <w:r w:rsidRPr="00310866">
        <w:rPr>
          <w:lang w:val="fr-FR"/>
        </w:rPr>
        <w:t xml:space="preserve"> a </w:t>
      </w:r>
      <w:r w:rsidR="00E744A9" w:rsidRPr="00310866">
        <w:rPr>
          <w:lang w:val="fr-FR"/>
        </w:rPr>
        <w:t>continué</w:t>
      </w:r>
      <w:r w:rsidRPr="00310866">
        <w:rPr>
          <w:lang w:val="fr-FR"/>
        </w:rPr>
        <w:t xml:space="preserve"> </w:t>
      </w:r>
      <w:r w:rsidR="00E744A9" w:rsidRPr="00310866">
        <w:rPr>
          <w:lang w:val="fr-FR"/>
        </w:rPr>
        <w:t>de participer activement aux travaux menés par le</w:t>
      </w:r>
      <w:r w:rsidRPr="00310866">
        <w:rPr>
          <w:lang w:val="fr-FR"/>
        </w:rPr>
        <w:t xml:space="preserve"> Réseau </w:t>
      </w:r>
      <w:r w:rsidR="00E744A9" w:rsidRPr="00310866">
        <w:rPr>
          <w:lang w:val="fr-FR"/>
        </w:rPr>
        <w:t>déontologie</w:t>
      </w:r>
      <w:r w:rsidRPr="00310866">
        <w:rPr>
          <w:lang w:val="fr-FR"/>
        </w:rPr>
        <w:t xml:space="preserve"> de</w:t>
      </w:r>
      <w:r w:rsidR="00E744A9" w:rsidRPr="00310866">
        <w:rPr>
          <w:lang w:val="fr-FR"/>
        </w:rPr>
        <w:t>s organisations multilatérales,</w:t>
      </w:r>
      <w:r w:rsidRPr="00310866">
        <w:rPr>
          <w:lang w:val="fr-FR"/>
        </w:rPr>
        <w:t xml:space="preserve"> qui </w:t>
      </w:r>
      <w:r w:rsidR="00E744A9" w:rsidRPr="00310866">
        <w:rPr>
          <w:lang w:val="fr-FR"/>
        </w:rPr>
        <w:t xml:space="preserve">constitue un large forum pour les services de déontologie des entités du système des </w:t>
      </w:r>
      <w:r w:rsidR="001E0F97" w:rsidRPr="00310866">
        <w:rPr>
          <w:lang w:val="fr-FR"/>
        </w:rPr>
        <w:t>Nations Unies</w:t>
      </w:r>
      <w:r w:rsidR="00E744A9" w:rsidRPr="00310866">
        <w:rPr>
          <w:lang w:val="fr-FR"/>
        </w:rPr>
        <w:t>, des organisations internationales affiliées et des institutions financières internationales et vise à promouvoir une collaboration à l</w:t>
      </w:r>
      <w:r w:rsidR="001E0F97" w:rsidRPr="00310866">
        <w:rPr>
          <w:lang w:val="fr-FR"/>
        </w:rPr>
        <w:t>’</w:t>
      </w:r>
      <w:r w:rsidR="00E744A9" w:rsidRPr="00310866">
        <w:rPr>
          <w:lang w:val="fr-FR"/>
        </w:rPr>
        <w:t>échelle de l</w:t>
      </w:r>
      <w:r w:rsidR="001E0F97" w:rsidRPr="00310866">
        <w:rPr>
          <w:lang w:val="fr-FR"/>
        </w:rPr>
        <w:t>’</w:t>
      </w:r>
      <w:r w:rsidR="00E744A9" w:rsidRPr="00310866">
        <w:rPr>
          <w:lang w:val="fr-FR"/>
        </w:rPr>
        <w:t xml:space="preserve">ensemble du système des </w:t>
      </w:r>
      <w:r w:rsidR="001E0F97" w:rsidRPr="00310866">
        <w:rPr>
          <w:lang w:val="fr-FR"/>
        </w:rPr>
        <w:t>Nations Unies</w:t>
      </w:r>
      <w:r w:rsidR="00E744A9" w:rsidRPr="00310866">
        <w:rPr>
          <w:lang w:val="fr-FR"/>
        </w:rPr>
        <w:t xml:space="preserve"> sur les questions d</w:t>
      </w:r>
      <w:r w:rsidR="001E0F97" w:rsidRPr="00310866">
        <w:rPr>
          <w:lang w:val="fr-FR"/>
        </w:rPr>
        <w:t>’</w:t>
      </w:r>
      <w:r w:rsidR="00E744A9" w:rsidRPr="00310866">
        <w:rPr>
          <w:lang w:val="fr-FR"/>
        </w:rPr>
        <w:t>éthique au sein du système, en faveur des organismes participants</w:t>
      </w:r>
      <w:r w:rsidRPr="00310866">
        <w:rPr>
          <w:lang w:val="fr-FR"/>
        </w:rPr>
        <w:t>.</w:t>
      </w:r>
    </w:p>
    <w:p w14:paraId="677AD80A" w14:textId="219009BB" w:rsidR="00011EB6" w:rsidRPr="00310866" w:rsidRDefault="00153ACE" w:rsidP="00F27F99">
      <w:pPr>
        <w:pStyle w:val="ONUMFS"/>
        <w:rPr>
          <w:lang w:val="fr-FR"/>
        </w:rPr>
      </w:pPr>
      <w:r w:rsidRPr="00310866">
        <w:rPr>
          <w:lang w:val="fr-FR"/>
        </w:rPr>
        <w:lastRenderedPageBreak/>
        <w:t>En 2021</w:t>
      </w:r>
      <w:r w:rsidR="00011EB6" w:rsidRPr="00310866">
        <w:rPr>
          <w:lang w:val="fr-FR"/>
        </w:rPr>
        <w:t xml:space="preserve">, </w:t>
      </w:r>
      <w:r w:rsidR="00E744A9" w:rsidRPr="00310866">
        <w:rPr>
          <w:lang w:val="fr-FR"/>
        </w:rPr>
        <w:t>la cheffe de la déontologie</w:t>
      </w:r>
      <w:r w:rsidR="00011EB6" w:rsidRPr="00310866">
        <w:rPr>
          <w:lang w:val="fr-FR"/>
        </w:rPr>
        <w:t xml:space="preserve"> a assisté à la réunion annuelle </w:t>
      </w:r>
      <w:r w:rsidR="00E744A9" w:rsidRPr="00310866">
        <w:rPr>
          <w:lang w:val="fr-FR"/>
        </w:rPr>
        <w:t>du réseau qui s</w:t>
      </w:r>
      <w:r w:rsidR="001E0F97" w:rsidRPr="00310866">
        <w:rPr>
          <w:lang w:val="fr-FR"/>
        </w:rPr>
        <w:t>’</w:t>
      </w:r>
      <w:r w:rsidR="00E744A9" w:rsidRPr="00310866">
        <w:rPr>
          <w:lang w:val="fr-FR"/>
        </w:rPr>
        <w:t>est tenue</w:t>
      </w:r>
      <w:r w:rsidR="00011EB6" w:rsidRPr="00310866">
        <w:rPr>
          <w:lang w:val="fr-FR"/>
        </w:rPr>
        <w:t xml:space="preserve"> en </w:t>
      </w:r>
      <w:r w:rsidRPr="00310866">
        <w:rPr>
          <w:lang w:val="fr-FR"/>
        </w:rPr>
        <w:t>novembre 20</w:t>
      </w:r>
      <w:r w:rsidR="00011EB6" w:rsidRPr="00310866">
        <w:rPr>
          <w:lang w:val="fr-FR"/>
        </w:rPr>
        <w:t>21.</w:t>
      </w:r>
    </w:p>
    <w:p w14:paraId="510F79CA" w14:textId="6F40F6C7" w:rsidR="00153ACE" w:rsidRPr="00310866" w:rsidRDefault="00E97283" w:rsidP="00E97283">
      <w:pPr>
        <w:pStyle w:val="Heading1"/>
      </w:pPr>
      <w:r>
        <w:t>O</w:t>
      </w:r>
      <w:r w:rsidRPr="00310866">
        <w:t>bservations</w:t>
      </w:r>
    </w:p>
    <w:p w14:paraId="3B97C091" w14:textId="2AEFA655" w:rsidR="00153ACE" w:rsidRPr="00310866" w:rsidRDefault="00011EB6" w:rsidP="00F27F99">
      <w:pPr>
        <w:pStyle w:val="ONUMFS"/>
        <w:rPr>
          <w:lang w:val="fr-FR"/>
        </w:rPr>
      </w:pPr>
      <w:r w:rsidRPr="00310866">
        <w:rPr>
          <w:lang w:val="fr-FR"/>
        </w:rPr>
        <w:t>Au cours de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 xml:space="preserve">année </w:t>
      </w:r>
      <w:r w:rsidR="00E744A9" w:rsidRPr="00310866">
        <w:rPr>
          <w:lang w:val="fr-FR"/>
        </w:rPr>
        <w:t>considérée</w:t>
      </w:r>
      <w:r w:rsidRPr="00310866">
        <w:rPr>
          <w:lang w:val="fr-FR"/>
        </w:rPr>
        <w:t xml:space="preserve">, un </w:t>
      </w:r>
      <w:r w:rsidR="00E744A9" w:rsidRPr="00310866">
        <w:rPr>
          <w:lang w:val="fr-FR"/>
        </w:rPr>
        <w:t>chef</w:t>
      </w:r>
      <w:r w:rsidRPr="00310866">
        <w:rPr>
          <w:lang w:val="fr-FR"/>
        </w:rPr>
        <w:t xml:space="preserve"> par intérim </w:t>
      </w:r>
      <w:r w:rsidR="00C473DA" w:rsidRPr="00310866">
        <w:rPr>
          <w:lang w:val="fr-FR"/>
        </w:rPr>
        <w:t>a dirigé le</w:t>
      </w:r>
      <w:r w:rsidR="00E744A9" w:rsidRPr="00310866">
        <w:rPr>
          <w:lang w:val="fr-FR"/>
        </w:rPr>
        <w:t xml:space="preserve"> Bureau de la déontologie </w:t>
      </w:r>
      <w:r w:rsidRPr="00310866">
        <w:rPr>
          <w:lang w:val="fr-FR"/>
        </w:rPr>
        <w:t>du</w:t>
      </w:r>
      <w:r w:rsidR="001E0F97" w:rsidRPr="00310866">
        <w:rPr>
          <w:lang w:val="fr-FR"/>
        </w:rPr>
        <w:t xml:space="preserve"> 1</w:t>
      </w:r>
      <w:r w:rsidR="001E0F97" w:rsidRPr="00310866">
        <w:rPr>
          <w:vertAlign w:val="superscript"/>
          <w:lang w:val="fr-FR"/>
        </w:rPr>
        <w:t>er</w:t>
      </w:r>
      <w:r w:rsidR="001E0F97" w:rsidRPr="00310866">
        <w:rPr>
          <w:lang w:val="fr-FR"/>
        </w:rPr>
        <w:t> </w:t>
      </w:r>
      <w:r w:rsidRPr="00310866">
        <w:rPr>
          <w:lang w:val="fr-FR"/>
        </w:rPr>
        <w:t>avril au 1</w:t>
      </w:r>
      <w:r w:rsidR="00153ACE" w:rsidRPr="00310866">
        <w:rPr>
          <w:lang w:val="fr-FR"/>
        </w:rPr>
        <w:t>4 septembre</w:t>
      </w:r>
      <w:r w:rsidRPr="00310866">
        <w:rPr>
          <w:lang w:val="fr-FR"/>
        </w:rPr>
        <w:t xml:space="preserve">, </w:t>
      </w:r>
      <w:r w:rsidR="00E744A9" w:rsidRPr="00310866">
        <w:rPr>
          <w:lang w:val="fr-FR"/>
        </w:rPr>
        <w:t>à la suite du</w:t>
      </w:r>
      <w:r w:rsidRPr="00310866">
        <w:rPr>
          <w:lang w:val="fr-FR"/>
        </w:rPr>
        <w:t xml:space="preserve"> départ d</w:t>
      </w:r>
      <w:r w:rsidR="00C473DA" w:rsidRPr="00310866">
        <w:rPr>
          <w:lang w:val="fr-FR"/>
        </w:rPr>
        <w:t>e la</w:t>
      </w:r>
      <w:r w:rsidRPr="00310866">
        <w:rPr>
          <w:lang w:val="fr-FR"/>
        </w:rPr>
        <w:t xml:space="preserve"> précédent</w:t>
      </w:r>
      <w:r w:rsidR="00C473DA" w:rsidRPr="00310866">
        <w:rPr>
          <w:lang w:val="fr-FR"/>
        </w:rPr>
        <w:t>e</w:t>
      </w:r>
      <w:r w:rsidRPr="00310866">
        <w:rPr>
          <w:lang w:val="fr-FR"/>
        </w:rPr>
        <w:t xml:space="preserve"> titulai</w:t>
      </w:r>
      <w:r w:rsidR="00310866" w:rsidRPr="00310866">
        <w:rPr>
          <w:lang w:val="fr-FR"/>
        </w:rPr>
        <w:t>re.  Un</w:t>
      </w:r>
      <w:r w:rsidR="00E744A9" w:rsidRPr="00310866">
        <w:rPr>
          <w:lang w:val="fr-FR"/>
        </w:rPr>
        <w:t>e cheffe du Bureau de la déontologie</w:t>
      </w:r>
      <w:r w:rsidRPr="00310866">
        <w:rPr>
          <w:lang w:val="fr-FR"/>
        </w:rPr>
        <w:t xml:space="preserve"> nouvellement nommé</w:t>
      </w:r>
      <w:r w:rsidR="00E744A9" w:rsidRPr="00310866">
        <w:rPr>
          <w:lang w:val="fr-FR"/>
        </w:rPr>
        <w:t>e</w:t>
      </w:r>
      <w:r w:rsidRPr="00310866">
        <w:rPr>
          <w:lang w:val="fr-FR"/>
        </w:rPr>
        <w:t xml:space="preserve"> a rejoint l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>Organisation le 1</w:t>
      </w:r>
      <w:r w:rsidR="00153ACE" w:rsidRPr="00310866">
        <w:rPr>
          <w:lang w:val="fr-FR"/>
        </w:rPr>
        <w:t>5 septembre 20</w:t>
      </w:r>
      <w:r w:rsidRPr="00310866">
        <w:rPr>
          <w:lang w:val="fr-FR"/>
        </w:rPr>
        <w:t>21.</w:t>
      </w:r>
      <w:r w:rsidR="00FE0D93" w:rsidRPr="00310866">
        <w:rPr>
          <w:lang w:val="fr-FR"/>
        </w:rPr>
        <w:t xml:space="preserve"> </w:t>
      </w:r>
      <w:r w:rsidR="008D04D8" w:rsidRPr="00310866">
        <w:rPr>
          <w:lang w:val="fr-FR"/>
        </w:rPr>
        <w:t xml:space="preserve"> </w:t>
      </w:r>
      <w:r w:rsidRPr="00310866">
        <w:rPr>
          <w:lang w:val="fr-FR"/>
        </w:rPr>
        <w:t xml:space="preserve">On constate une augmentation notable des demandes </w:t>
      </w:r>
      <w:r w:rsidR="00E744A9" w:rsidRPr="00310866">
        <w:rPr>
          <w:lang w:val="fr-FR"/>
        </w:rPr>
        <w:t xml:space="preserve">de conseils et </w:t>
      </w:r>
      <w:r w:rsidRPr="00310866">
        <w:rPr>
          <w:lang w:val="fr-FR"/>
        </w:rPr>
        <w:t>d</w:t>
      </w:r>
      <w:r w:rsidR="001E0F97" w:rsidRPr="00310866">
        <w:rPr>
          <w:lang w:val="fr-FR"/>
        </w:rPr>
        <w:t>’</w:t>
      </w:r>
      <w:r w:rsidRPr="00310866">
        <w:rPr>
          <w:lang w:val="fr-FR"/>
        </w:rPr>
        <w:t xml:space="preserve">avis confidentiels depuis cette date (35 </w:t>
      </w:r>
      <w:r w:rsidR="00E744A9" w:rsidRPr="00310866">
        <w:rPr>
          <w:lang w:val="fr-FR"/>
        </w:rPr>
        <w:t>cas</w:t>
      </w:r>
      <w:r w:rsidRPr="00310866">
        <w:rPr>
          <w:lang w:val="fr-FR"/>
        </w:rPr>
        <w:t xml:space="preserve"> entre le 1</w:t>
      </w:r>
      <w:r w:rsidR="00153ACE" w:rsidRPr="00310866">
        <w:rPr>
          <w:lang w:val="fr-FR"/>
        </w:rPr>
        <w:t>5 septembre</w:t>
      </w:r>
      <w:r w:rsidRPr="00310866">
        <w:rPr>
          <w:lang w:val="fr-FR"/>
        </w:rPr>
        <w:t xml:space="preserve"> et le 3</w:t>
      </w:r>
      <w:r w:rsidR="00153ACE" w:rsidRPr="00310866">
        <w:rPr>
          <w:lang w:val="fr-FR"/>
        </w:rPr>
        <w:t>1 décembre</w:t>
      </w:r>
      <w:r w:rsidRPr="00310866">
        <w:rPr>
          <w:lang w:val="fr-FR"/>
        </w:rPr>
        <w:t>) par rapport aux trois</w:t>
      </w:r>
      <w:r w:rsidR="004768AA" w:rsidRPr="00310866">
        <w:rPr>
          <w:lang w:val="fr-FR"/>
        </w:rPr>
        <w:t> </w:t>
      </w:r>
      <w:r w:rsidRPr="00310866">
        <w:rPr>
          <w:lang w:val="fr-FR"/>
        </w:rPr>
        <w:t xml:space="preserve">premiers trimestres </w:t>
      </w:r>
      <w:r w:rsidR="00153ACE" w:rsidRPr="00310866">
        <w:rPr>
          <w:lang w:val="fr-FR"/>
        </w:rPr>
        <w:t>de 2021</w:t>
      </w:r>
      <w:r w:rsidRPr="00310866">
        <w:rPr>
          <w:lang w:val="fr-FR"/>
        </w:rPr>
        <w:t xml:space="preserve"> (18 </w:t>
      </w:r>
      <w:r w:rsidR="00E744A9" w:rsidRPr="00310866">
        <w:rPr>
          <w:lang w:val="fr-FR"/>
        </w:rPr>
        <w:t>cas</w:t>
      </w:r>
      <w:r w:rsidRPr="00310866">
        <w:rPr>
          <w:lang w:val="fr-FR"/>
        </w:rPr>
        <w:t xml:space="preserve"> entre le</w:t>
      </w:r>
      <w:r w:rsidR="001E0F97" w:rsidRPr="00310866">
        <w:rPr>
          <w:lang w:val="fr-FR"/>
        </w:rPr>
        <w:t xml:space="preserve"> 1</w:t>
      </w:r>
      <w:r w:rsidR="001E0F97" w:rsidRPr="00310866">
        <w:rPr>
          <w:vertAlign w:val="superscript"/>
          <w:lang w:val="fr-FR"/>
        </w:rPr>
        <w:t>er</w:t>
      </w:r>
      <w:r w:rsidR="001E0F97" w:rsidRPr="00310866">
        <w:rPr>
          <w:lang w:val="fr-FR"/>
        </w:rPr>
        <w:t> </w:t>
      </w:r>
      <w:r w:rsidRPr="00310866">
        <w:rPr>
          <w:lang w:val="fr-FR"/>
        </w:rPr>
        <w:t>janvier et le 1</w:t>
      </w:r>
      <w:r w:rsidR="00153ACE" w:rsidRPr="00310866">
        <w:rPr>
          <w:lang w:val="fr-FR"/>
        </w:rPr>
        <w:t>4 septembre</w:t>
      </w:r>
      <w:r w:rsidRPr="00310866">
        <w:rPr>
          <w:lang w:val="fr-FR"/>
        </w:rPr>
        <w:t>).</w:t>
      </w:r>
    </w:p>
    <w:p w14:paraId="44FFBEC3" w14:textId="164782E7" w:rsidR="00011EB6" w:rsidRPr="00310866" w:rsidRDefault="00E744A9" w:rsidP="00F27F99">
      <w:pPr>
        <w:pStyle w:val="ONUMFS"/>
        <w:rPr>
          <w:lang w:val="fr-FR"/>
        </w:rPr>
      </w:pPr>
      <w:r w:rsidRPr="00310866">
        <w:rPr>
          <w:lang w:val="fr-FR"/>
        </w:rPr>
        <w:t>Dispenser des conseils et des avis</w:t>
      </w:r>
      <w:r w:rsidR="00011EB6" w:rsidRPr="00310866">
        <w:rPr>
          <w:lang w:val="fr-FR"/>
        </w:rPr>
        <w:t xml:space="preserve"> est une composante essentielle du mandat du </w:t>
      </w:r>
      <w:r w:rsidR="00C854C7" w:rsidRPr="00310866">
        <w:rPr>
          <w:lang w:val="fr-FR"/>
        </w:rPr>
        <w:t>Bureau de la déontolog</w:t>
      </w:r>
      <w:r w:rsidR="00310866" w:rsidRPr="00310866">
        <w:rPr>
          <w:lang w:val="fr-FR"/>
        </w:rPr>
        <w:t>ie.  Ce</w:t>
      </w:r>
      <w:r w:rsidR="00011EB6" w:rsidRPr="00310866">
        <w:rPr>
          <w:lang w:val="fr-FR"/>
        </w:rPr>
        <w:t xml:space="preserve">tte augmentation des cas </w:t>
      </w:r>
      <w:r w:rsidRPr="00310866">
        <w:rPr>
          <w:lang w:val="fr-FR"/>
        </w:rPr>
        <w:t xml:space="preserve">sera suivie de près par le Bureau de la déontologie </w:t>
      </w:r>
      <w:r w:rsidR="00153ACE" w:rsidRPr="00310866">
        <w:rPr>
          <w:lang w:val="fr-FR"/>
        </w:rPr>
        <w:t>en 2022</w:t>
      </w:r>
      <w:r w:rsidR="00011EB6" w:rsidRPr="00310866">
        <w:rPr>
          <w:lang w:val="fr-FR"/>
        </w:rPr>
        <w:t>.</w:t>
      </w:r>
      <w:r w:rsidR="00C34022" w:rsidRPr="00310866">
        <w:rPr>
          <w:lang w:val="fr-FR"/>
        </w:rPr>
        <w:t xml:space="preserve"> </w:t>
      </w:r>
      <w:r w:rsidR="00FE0D93" w:rsidRPr="00310866">
        <w:rPr>
          <w:lang w:val="fr-FR"/>
        </w:rPr>
        <w:t xml:space="preserve"> </w:t>
      </w:r>
      <w:r w:rsidR="00011EB6" w:rsidRPr="00310866">
        <w:rPr>
          <w:lang w:val="fr-FR"/>
        </w:rPr>
        <w:t xml:space="preserve">En effet, le </w:t>
      </w:r>
      <w:r w:rsidR="00C854C7" w:rsidRPr="00310866">
        <w:rPr>
          <w:lang w:val="fr-FR"/>
        </w:rPr>
        <w:t>Bureau de la déontologie</w:t>
      </w:r>
      <w:r w:rsidR="00011EB6" w:rsidRPr="00310866">
        <w:rPr>
          <w:lang w:val="fr-FR"/>
        </w:rPr>
        <w:t xml:space="preserve"> prévoit de passer à un système de suivi des cas et d</w:t>
      </w:r>
      <w:r w:rsidR="001E0F97" w:rsidRPr="00310866">
        <w:rPr>
          <w:lang w:val="fr-FR"/>
        </w:rPr>
        <w:t>’</w:t>
      </w:r>
      <w:r w:rsidR="00011EB6" w:rsidRPr="00310866">
        <w:rPr>
          <w:lang w:val="fr-FR"/>
        </w:rPr>
        <w:t>enregistrement des données qui permettra de suivre les cas et d</w:t>
      </w:r>
      <w:r w:rsidR="001E0F97" w:rsidRPr="00310866">
        <w:rPr>
          <w:lang w:val="fr-FR"/>
        </w:rPr>
        <w:t>’</w:t>
      </w:r>
      <w:r w:rsidR="00011EB6" w:rsidRPr="00310866">
        <w:rPr>
          <w:lang w:val="fr-FR"/>
        </w:rPr>
        <w:t xml:space="preserve">effectuer des analyses afin de mieux informer sa stratégie, et de rendre compte de manière plus efficace et cohérente </w:t>
      </w:r>
      <w:r w:rsidR="005530C1" w:rsidRPr="00310866">
        <w:rPr>
          <w:lang w:val="fr-FR"/>
        </w:rPr>
        <w:t>du niveau de maturité de</w:t>
      </w:r>
      <w:r w:rsidRPr="00310866">
        <w:rPr>
          <w:lang w:val="fr-FR"/>
        </w:rPr>
        <w:t xml:space="preserve"> la culture organisationnelle de l</w:t>
      </w:r>
      <w:r w:rsidR="001E0F97" w:rsidRPr="00310866">
        <w:rPr>
          <w:lang w:val="fr-FR"/>
        </w:rPr>
        <w:t>’</w:t>
      </w:r>
      <w:r w:rsidR="00011EB6" w:rsidRPr="00310866">
        <w:rPr>
          <w:lang w:val="fr-FR"/>
        </w:rPr>
        <w:t>éthique au sein de l</w:t>
      </w:r>
      <w:r w:rsidR="001E0F97" w:rsidRPr="00310866">
        <w:rPr>
          <w:lang w:val="fr-FR"/>
        </w:rPr>
        <w:t>’</w:t>
      </w:r>
      <w:r w:rsidR="00011EB6" w:rsidRPr="00310866">
        <w:rPr>
          <w:lang w:val="fr-FR"/>
        </w:rPr>
        <w:t>OMPI.</w:t>
      </w:r>
    </w:p>
    <w:p w14:paraId="2C4086B5" w14:textId="2B131F94" w:rsidR="002928D3" w:rsidRPr="00310866" w:rsidRDefault="00011EB6" w:rsidP="00F27F99">
      <w:pPr>
        <w:pStyle w:val="Endofdocument-Annex"/>
        <w:spacing w:before="720"/>
        <w:rPr>
          <w:lang w:val="fr-FR"/>
        </w:rPr>
      </w:pPr>
      <w:r w:rsidRPr="00310866">
        <w:rPr>
          <w:lang w:val="fr-FR"/>
        </w:rPr>
        <w:t>[Fin du document]</w:t>
      </w:r>
    </w:p>
    <w:sectPr w:rsidR="002928D3" w:rsidRPr="00310866" w:rsidSect="00FE0D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35DE3" w14:textId="77777777" w:rsidR="004A2037" w:rsidRDefault="004A2037">
      <w:r>
        <w:separator/>
      </w:r>
    </w:p>
  </w:endnote>
  <w:endnote w:type="continuationSeparator" w:id="0">
    <w:p w14:paraId="7F27AE80" w14:textId="77777777" w:rsidR="004A2037" w:rsidRDefault="004A2037" w:rsidP="003B38C1">
      <w:r>
        <w:separator/>
      </w:r>
    </w:p>
    <w:p w14:paraId="305E5D70" w14:textId="77777777" w:rsidR="004A2037" w:rsidRPr="003B38C1" w:rsidRDefault="004A203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DEE228C" w14:textId="77777777" w:rsidR="004A2037" w:rsidRPr="003B38C1" w:rsidRDefault="004A203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CD889" w14:textId="77777777" w:rsidR="00680275" w:rsidRDefault="006802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E2882" w14:textId="77777777" w:rsidR="00680275" w:rsidRDefault="006802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2A045" w14:textId="77777777" w:rsidR="00680275" w:rsidRDefault="006802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A9F9B" w14:textId="77777777" w:rsidR="004A2037" w:rsidRDefault="004A2037">
      <w:r>
        <w:separator/>
      </w:r>
    </w:p>
  </w:footnote>
  <w:footnote w:type="continuationSeparator" w:id="0">
    <w:p w14:paraId="50853F02" w14:textId="77777777" w:rsidR="004A2037" w:rsidRDefault="004A2037" w:rsidP="008B60B2">
      <w:r>
        <w:separator/>
      </w:r>
    </w:p>
    <w:p w14:paraId="22CF2045" w14:textId="77777777" w:rsidR="004A2037" w:rsidRPr="00ED77FB" w:rsidRDefault="004A203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1F97199" w14:textId="77777777" w:rsidR="004A2037" w:rsidRPr="00ED77FB" w:rsidRDefault="004A203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72C5B745" w14:textId="4761EAEA" w:rsidR="00011EB6" w:rsidRPr="00011EB6" w:rsidRDefault="00011EB6" w:rsidP="00E97283">
      <w:pPr>
        <w:pStyle w:val="FootnoteText"/>
        <w:tabs>
          <w:tab w:val="left" w:pos="567"/>
        </w:tabs>
        <w:rPr>
          <w:lang w:val="fr-FR"/>
        </w:rPr>
      </w:pPr>
      <w:r w:rsidRPr="00011EB6">
        <w:rPr>
          <w:rStyle w:val="FootnoteReference"/>
          <w:lang w:val="fr-FR"/>
        </w:rPr>
        <w:footnoteRef/>
      </w:r>
      <w:r w:rsidRPr="00011EB6">
        <w:rPr>
          <w:lang w:val="fr-FR"/>
        </w:rPr>
        <w:t xml:space="preserve"> </w:t>
      </w:r>
      <w:r w:rsidR="00E97283">
        <w:rPr>
          <w:lang w:val="fr-FR"/>
        </w:rPr>
        <w:tab/>
      </w:r>
      <w:r w:rsidRPr="00011EB6">
        <w:rPr>
          <w:lang w:val="fr-FR"/>
        </w:rPr>
        <w:t>La date d</w:t>
      </w:r>
      <w:r w:rsidR="005572D5">
        <w:rPr>
          <w:lang w:val="fr-FR"/>
        </w:rPr>
        <w:t>’</w:t>
      </w:r>
      <w:r w:rsidRPr="00011EB6">
        <w:rPr>
          <w:lang w:val="fr-FR"/>
        </w:rPr>
        <w:t xml:space="preserve">achèvement est </w:t>
      </w:r>
      <w:r w:rsidR="00DF4BEA">
        <w:rPr>
          <w:lang w:val="fr-FR"/>
        </w:rPr>
        <w:t>fondée</w:t>
      </w:r>
      <w:r w:rsidRPr="00011EB6">
        <w:rPr>
          <w:lang w:val="fr-FR"/>
        </w:rPr>
        <w:t xml:space="preserve"> sur la date d</w:t>
      </w:r>
      <w:r w:rsidR="005572D5">
        <w:rPr>
          <w:lang w:val="fr-FR"/>
        </w:rPr>
        <w:t>’</w:t>
      </w:r>
      <w:r w:rsidRPr="00011EB6">
        <w:rPr>
          <w:lang w:val="fr-FR"/>
        </w:rPr>
        <w:t>entrée dans le système</w:t>
      </w:r>
      <w:r w:rsidR="00E97283">
        <w:rPr>
          <w:lang w:val="fr-FR"/>
        </w:rPr>
        <w:t xml:space="preserve"> Enterprise Learning Management </w:t>
      </w:r>
      <w:r w:rsidRPr="00011EB6">
        <w:rPr>
          <w:lang w:val="fr-FR"/>
        </w:rPr>
        <w:t>(ELM), et non sur la date réelle d</w:t>
      </w:r>
      <w:r w:rsidR="005572D5">
        <w:rPr>
          <w:lang w:val="fr-FR"/>
        </w:rPr>
        <w:t>’</w:t>
      </w:r>
      <w:r w:rsidRPr="00011EB6">
        <w:rPr>
          <w:lang w:val="fr-FR"/>
        </w:rPr>
        <w:t>achèvement du cours.</w:t>
      </w:r>
    </w:p>
  </w:footnote>
  <w:footnote w:id="3">
    <w:p w14:paraId="5FBE8C1C" w14:textId="20D3E019" w:rsidR="00FE58AB" w:rsidRPr="00011EB6" w:rsidRDefault="00FE58AB" w:rsidP="00E97283">
      <w:pPr>
        <w:pStyle w:val="FootnoteText"/>
        <w:tabs>
          <w:tab w:val="left" w:pos="567"/>
        </w:tabs>
        <w:rPr>
          <w:lang w:val="fr-FR"/>
        </w:rPr>
      </w:pPr>
      <w:r w:rsidRPr="00011EB6">
        <w:rPr>
          <w:rStyle w:val="FootnoteReference"/>
          <w:lang w:val="fr-FR"/>
        </w:rPr>
        <w:footnoteRef/>
      </w:r>
      <w:r w:rsidRPr="00011EB6">
        <w:rPr>
          <w:lang w:val="fr-FR"/>
        </w:rPr>
        <w:t xml:space="preserve"> </w:t>
      </w:r>
      <w:r w:rsidR="00E97283">
        <w:rPr>
          <w:lang w:val="fr-FR"/>
        </w:rPr>
        <w:tab/>
      </w:r>
      <w:r w:rsidRPr="00011EB6">
        <w:rPr>
          <w:lang w:val="fr-FR"/>
        </w:rPr>
        <w:t xml:space="preserve">109 membres du personnel ont été invités à participer au début du programme. </w:t>
      </w:r>
      <w:r>
        <w:rPr>
          <w:lang w:val="fr-FR"/>
        </w:rPr>
        <w:t xml:space="preserve"> </w:t>
      </w:r>
      <w:r w:rsidRPr="00011EB6">
        <w:rPr>
          <w:lang w:val="fr-FR"/>
        </w:rPr>
        <w:t>Deux</w:t>
      </w:r>
      <w:r>
        <w:rPr>
          <w:lang w:val="fr-FR"/>
        </w:rPr>
        <w:t> </w:t>
      </w:r>
      <w:r w:rsidRPr="00011EB6">
        <w:rPr>
          <w:lang w:val="fr-FR"/>
        </w:rPr>
        <w:t>participants ont fait l</w:t>
      </w:r>
      <w:r w:rsidR="005572D5">
        <w:rPr>
          <w:lang w:val="fr-FR"/>
        </w:rPr>
        <w:t>’</w:t>
      </w:r>
      <w:r w:rsidRPr="00011EB6">
        <w:rPr>
          <w:lang w:val="fr-FR"/>
        </w:rPr>
        <w:t>objet d</w:t>
      </w:r>
      <w:r w:rsidR="005572D5">
        <w:rPr>
          <w:lang w:val="fr-FR"/>
        </w:rPr>
        <w:t>’</w:t>
      </w:r>
      <w:r w:rsidRPr="00011EB6">
        <w:rPr>
          <w:lang w:val="fr-FR"/>
        </w:rPr>
        <w:t>une ferme</w:t>
      </w:r>
      <w:bookmarkStart w:id="5" w:name="_GoBack"/>
      <w:bookmarkEnd w:id="5"/>
      <w:r w:rsidRPr="00011EB6">
        <w:rPr>
          <w:lang w:val="fr-FR"/>
        </w:rPr>
        <w:t>ture administrative et ont été retirés du programme</w:t>
      </w:r>
      <w:r>
        <w:rPr>
          <w:lang w:val="fr-FR"/>
        </w:rPr>
        <w:t> </w:t>
      </w:r>
      <w:r w:rsidRPr="00011EB6">
        <w:rPr>
          <w:lang w:val="fr-FR"/>
        </w:rPr>
        <w:t xml:space="preserve">2021 suite à une évaluation </w:t>
      </w:r>
      <w:r>
        <w:rPr>
          <w:lang w:val="fr-FR"/>
        </w:rPr>
        <w:t>de la cheffe du Bureau de la déontologie</w:t>
      </w:r>
      <w:r w:rsidRPr="00011EB6">
        <w:rPr>
          <w:lang w:val="fr-FR"/>
        </w:rPr>
        <w:t>.  Toutefois, deux</w:t>
      </w:r>
      <w:r>
        <w:rPr>
          <w:lang w:val="fr-FR"/>
        </w:rPr>
        <w:t> </w:t>
      </w:r>
      <w:r w:rsidRPr="00011EB6">
        <w:rPr>
          <w:lang w:val="fr-FR"/>
        </w:rPr>
        <w:t>d</w:t>
      </w:r>
      <w:r w:rsidR="005572D5">
        <w:rPr>
          <w:lang w:val="fr-FR"/>
        </w:rPr>
        <w:t>’</w:t>
      </w:r>
      <w:r w:rsidRPr="00011EB6">
        <w:rPr>
          <w:lang w:val="fr-FR"/>
        </w:rPr>
        <w:t xml:space="preserve">entre eux ont été exemptés par le </w:t>
      </w:r>
      <w:r>
        <w:rPr>
          <w:lang w:val="fr-FR"/>
        </w:rPr>
        <w:t>Bureau de la déontologie</w:t>
      </w:r>
      <w:r w:rsidRPr="00011EB6">
        <w:rPr>
          <w:lang w:val="fr-FR"/>
        </w:rPr>
        <w:t>, ce qui porte le nombre total de partici</w:t>
      </w:r>
      <w:r w:rsidR="00E97283">
        <w:rPr>
          <w:lang w:val="fr-FR"/>
        </w:rPr>
        <w:t>pants à 107.</w:t>
      </w:r>
    </w:p>
  </w:footnote>
  <w:footnote w:id="4">
    <w:p w14:paraId="7F1E9DA4" w14:textId="186D4E09" w:rsidR="009F6762" w:rsidRPr="00011EB6" w:rsidRDefault="009F6762" w:rsidP="00E97283">
      <w:pPr>
        <w:pStyle w:val="FootnoteText"/>
        <w:tabs>
          <w:tab w:val="left" w:pos="567"/>
        </w:tabs>
        <w:rPr>
          <w:lang w:val="fr-FR"/>
        </w:rPr>
      </w:pPr>
      <w:r w:rsidRPr="00011EB6">
        <w:rPr>
          <w:rStyle w:val="FootnoteReference"/>
          <w:lang w:val="fr-FR"/>
        </w:rPr>
        <w:footnoteRef/>
      </w:r>
      <w:r w:rsidRPr="00011EB6">
        <w:rPr>
          <w:lang w:val="fr-FR"/>
        </w:rPr>
        <w:t xml:space="preserve"> </w:t>
      </w:r>
      <w:r w:rsidR="00E97283">
        <w:rPr>
          <w:lang w:val="fr-FR"/>
        </w:rPr>
        <w:tab/>
      </w:r>
      <w:r w:rsidRPr="00011EB6">
        <w:rPr>
          <w:lang w:val="fr-FR"/>
        </w:rPr>
        <w:t xml:space="preserve">Comme indiqué dans </w:t>
      </w:r>
      <w:r>
        <w:rPr>
          <w:lang w:val="fr-FR"/>
        </w:rPr>
        <w:t>l</w:t>
      </w:r>
      <w:r w:rsidR="005572D5">
        <w:rPr>
          <w:lang w:val="fr-FR"/>
        </w:rPr>
        <w:t>’</w:t>
      </w:r>
      <w:r>
        <w:rPr>
          <w:lang w:val="fr-FR"/>
        </w:rPr>
        <w:t>ordre de service n° </w:t>
      </w:r>
      <w:r w:rsidRPr="00011EB6">
        <w:rPr>
          <w:lang w:val="fr-FR"/>
        </w:rPr>
        <w:t>36/2017</w:t>
      </w:r>
      <w:r>
        <w:rPr>
          <w:lang w:val="fr-FR"/>
        </w:rPr>
        <w:t> </w:t>
      </w:r>
      <w:proofErr w:type="spellStart"/>
      <w:r w:rsidRPr="00011EB6">
        <w:rPr>
          <w:lang w:val="fr-FR"/>
        </w:rPr>
        <w:t>Rev</w:t>
      </w:r>
      <w:proofErr w:type="spellEnd"/>
      <w:r w:rsidRPr="00011EB6">
        <w:rPr>
          <w:lang w:val="fr-FR"/>
        </w:rPr>
        <w:t xml:space="preserve">. </w:t>
      </w:r>
      <w:proofErr w:type="gramStart"/>
      <w:r w:rsidRPr="00011EB6">
        <w:rPr>
          <w:lang w:val="fr-FR"/>
        </w:rPr>
        <w:t>de</w:t>
      </w:r>
      <w:proofErr w:type="gramEnd"/>
      <w:r w:rsidRPr="00011EB6">
        <w:rPr>
          <w:lang w:val="fr-FR"/>
        </w:rPr>
        <w:t xml:space="preserve"> juillet</w:t>
      </w:r>
      <w:r>
        <w:rPr>
          <w:lang w:val="fr-FR"/>
        </w:rPr>
        <w:t> </w:t>
      </w:r>
      <w:r w:rsidRPr="00011EB6">
        <w:rPr>
          <w:lang w:val="fr-FR"/>
        </w:rPr>
        <w:t>2019</w:t>
      </w:r>
      <w:r>
        <w:rPr>
          <w:lang w:val="fr-FR"/>
        </w:rPr>
        <w:t>, intitulé</w:t>
      </w:r>
      <w:r w:rsidRPr="00E97283">
        <w:rPr>
          <w:lang w:val="fr-FR"/>
        </w:rPr>
        <w:t xml:space="preserve"> </w:t>
      </w:r>
      <w:r w:rsidR="00E97283">
        <w:rPr>
          <w:lang w:val="fr-FR"/>
        </w:rPr>
        <w:t>“</w:t>
      </w:r>
      <w:r w:rsidRPr="00E97283">
        <w:rPr>
          <w:lang w:val="fr-FR"/>
        </w:rPr>
        <w:t>Politique de l</w:t>
      </w:r>
      <w:r w:rsidR="005572D5" w:rsidRPr="00E97283">
        <w:rPr>
          <w:lang w:val="fr-FR"/>
        </w:rPr>
        <w:t>’</w:t>
      </w:r>
      <w:r w:rsidRPr="00E97283">
        <w:rPr>
          <w:lang w:val="fr-FR"/>
        </w:rPr>
        <w:t>OMPI en matière de déclaration de situation financière et déclaration d</w:t>
      </w:r>
      <w:r w:rsidR="005572D5" w:rsidRPr="00E97283">
        <w:rPr>
          <w:lang w:val="fr-FR"/>
        </w:rPr>
        <w:t>’</w:t>
      </w:r>
      <w:r w:rsidRPr="00E97283">
        <w:rPr>
          <w:lang w:val="fr-FR"/>
        </w:rPr>
        <w:t>intérêts</w:t>
      </w:r>
      <w:r w:rsidR="00E97283">
        <w:rPr>
          <w:lang w:val="fr-FR"/>
        </w:rPr>
        <w:t>”</w:t>
      </w:r>
      <w:r w:rsidRPr="00011EB6">
        <w:rPr>
          <w:lang w:val="fr-FR"/>
        </w:rPr>
        <w:t>.</w:t>
      </w:r>
    </w:p>
  </w:footnote>
  <w:footnote w:id="5">
    <w:p w14:paraId="10C5D4AE" w14:textId="5AEF19D6" w:rsidR="00471A92" w:rsidRPr="00011EB6" w:rsidRDefault="00471A92" w:rsidP="00E97283">
      <w:pPr>
        <w:pStyle w:val="FootnoteText"/>
        <w:tabs>
          <w:tab w:val="left" w:pos="567"/>
        </w:tabs>
        <w:rPr>
          <w:lang w:val="fr-FR"/>
        </w:rPr>
      </w:pPr>
      <w:r w:rsidRPr="00011EB6">
        <w:rPr>
          <w:rStyle w:val="FootnoteReference"/>
          <w:lang w:val="fr-FR"/>
        </w:rPr>
        <w:footnoteRef/>
      </w:r>
      <w:r w:rsidRPr="00011EB6">
        <w:rPr>
          <w:lang w:val="fr-FR"/>
        </w:rPr>
        <w:t xml:space="preserve"> </w:t>
      </w:r>
      <w:r w:rsidR="00E97283">
        <w:rPr>
          <w:lang w:val="fr-FR"/>
        </w:rPr>
        <w:tab/>
      </w:r>
      <w:r w:rsidRPr="00011EB6">
        <w:rPr>
          <w:lang w:val="fr-FR"/>
        </w:rPr>
        <w:t>Conformément à l</w:t>
      </w:r>
      <w:r w:rsidR="005572D5">
        <w:rPr>
          <w:lang w:val="fr-FR"/>
        </w:rPr>
        <w:t>’</w:t>
      </w:r>
      <w:r w:rsidRPr="00011EB6">
        <w:rPr>
          <w:lang w:val="fr-FR"/>
        </w:rPr>
        <w:t>annexe</w:t>
      </w:r>
      <w:r>
        <w:rPr>
          <w:lang w:val="fr-FR"/>
        </w:rPr>
        <w:t> </w:t>
      </w:r>
      <w:r w:rsidRPr="00011EB6">
        <w:rPr>
          <w:lang w:val="fr-FR"/>
        </w:rPr>
        <w:t xml:space="preserve">III du Règlement financier et </w:t>
      </w:r>
      <w:r>
        <w:rPr>
          <w:lang w:val="fr-FR"/>
        </w:rPr>
        <w:t>règlement d</w:t>
      </w:r>
      <w:r w:rsidR="005572D5">
        <w:rPr>
          <w:lang w:val="fr-FR"/>
        </w:rPr>
        <w:t>’</w:t>
      </w:r>
      <w:r>
        <w:rPr>
          <w:lang w:val="fr-FR"/>
        </w:rPr>
        <w:t>exécution du Règlement financier de l</w:t>
      </w:r>
      <w:r w:rsidR="005572D5">
        <w:rPr>
          <w:lang w:val="fr-FR"/>
        </w:rPr>
        <w:t>’</w:t>
      </w:r>
      <w:r>
        <w:rPr>
          <w:lang w:val="fr-FR"/>
        </w:rPr>
        <w:t>OMPI, tels que</w:t>
      </w:r>
      <w:r w:rsidRPr="00011EB6">
        <w:rPr>
          <w:lang w:val="fr-FR"/>
        </w:rPr>
        <w:t xml:space="preserve"> modifié</w:t>
      </w:r>
      <w:r>
        <w:rPr>
          <w:lang w:val="fr-FR"/>
        </w:rPr>
        <w:t>s</w:t>
      </w:r>
      <w:r w:rsidRPr="00011EB6">
        <w:rPr>
          <w:lang w:val="fr-FR"/>
        </w:rPr>
        <w:t xml:space="preserve"> le 14</w:t>
      </w:r>
      <w:r>
        <w:rPr>
          <w:lang w:val="fr-FR"/>
        </w:rPr>
        <w:t> </w:t>
      </w:r>
      <w:r w:rsidRPr="00011EB6">
        <w:rPr>
          <w:lang w:val="fr-FR"/>
        </w:rPr>
        <w:t>octobre</w:t>
      </w:r>
      <w:r>
        <w:rPr>
          <w:lang w:val="fr-FR"/>
        </w:rPr>
        <w:t> </w:t>
      </w:r>
      <w:r w:rsidR="00E97283">
        <w:rPr>
          <w:lang w:val="fr-FR"/>
        </w:rPr>
        <w:t>2015.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C3C4F" w14:textId="77777777" w:rsidR="00680275" w:rsidRDefault="006802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45276" w14:textId="77777777" w:rsidR="00EC4E49" w:rsidRDefault="00FE0D93" w:rsidP="00477D6B">
    <w:pPr>
      <w:jc w:val="right"/>
    </w:pPr>
    <w:bookmarkStart w:id="6" w:name="Code2"/>
    <w:bookmarkEnd w:id="6"/>
    <w:r>
      <w:t>WO/CC/81/INF/2</w:t>
    </w:r>
  </w:p>
  <w:p w14:paraId="3148433D" w14:textId="05C17E3A" w:rsidR="00B50B99" w:rsidRDefault="00EC4E49" w:rsidP="00F27F99">
    <w:pPr>
      <w:spacing w:after="480"/>
      <w:jc w:val="right"/>
    </w:pPr>
    <w:proofErr w:type="gramStart"/>
    <w:r>
      <w:t>page</w:t>
    </w:r>
    <w:proofErr w:type="gramEnd"/>
    <w:r w:rsidR="002269E9">
      <w:t> </w:t>
    </w:r>
    <w:r>
      <w:fldChar w:fldCharType="begin"/>
    </w:r>
    <w:r>
      <w:instrText xml:space="preserve"> PAGE  \* MERGEFORMAT </w:instrText>
    </w:r>
    <w:r>
      <w:fldChar w:fldCharType="separate"/>
    </w:r>
    <w:r w:rsidR="00AD7313">
      <w:rPr>
        <w:noProof/>
      </w:rPr>
      <w:t>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F89D3" w14:textId="77777777" w:rsidR="00680275" w:rsidRDefault="006802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FDECE71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B087328"/>
    <w:multiLevelType w:val="hybridMultilevel"/>
    <w:tmpl w:val="18E67A78"/>
    <w:lvl w:ilvl="0" w:tplc="B3CC23E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81EA7"/>
    <w:multiLevelType w:val="hybridMultilevel"/>
    <w:tmpl w:val="123CD7B2"/>
    <w:lvl w:ilvl="0" w:tplc="87FC6F6E">
      <w:start w:val="1"/>
      <w:numFmt w:val="upperRoman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065CD"/>
    <w:multiLevelType w:val="hybridMultilevel"/>
    <w:tmpl w:val="6764CB40"/>
    <w:lvl w:ilvl="0" w:tplc="06C4D484"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953A2"/>
    <w:multiLevelType w:val="hybridMultilevel"/>
    <w:tmpl w:val="229C078C"/>
    <w:lvl w:ilvl="0" w:tplc="04090017">
      <w:start w:val="1"/>
      <w:numFmt w:val="lowerLetter"/>
      <w:lvlText w:val="%1)"/>
      <w:lvlJc w:val="left"/>
      <w:pPr>
        <w:ind w:left="1272" w:hanging="504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F42D2EA">
      <w:numFmt w:val="bullet"/>
      <w:lvlText w:val="•"/>
      <w:lvlJc w:val="left"/>
      <w:pPr>
        <w:ind w:left="2114" w:hanging="504"/>
      </w:pPr>
      <w:rPr>
        <w:rFonts w:hint="default"/>
        <w:lang w:val="en-US" w:eastAsia="en-US" w:bidi="ar-SA"/>
      </w:rPr>
    </w:lvl>
    <w:lvl w:ilvl="2" w:tplc="F4506580">
      <w:numFmt w:val="bullet"/>
      <w:lvlText w:val="•"/>
      <w:lvlJc w:val="left"/>
      <w:pPr>
        <w:ind w:left="2949" w:hanging="504"/>
      </w:pPr>
      <w:rPr>
        <w:rFonts w:hint="default"/>
        <w:lang w:val="en-US" w:eastAsia="en-US" w:bidi="ar-SA"/>
      </w:rPr>
    </w:lvl>
    <w:lvl w:ilvl="3" w:tplc="569CFA84">
      <w:numFmt w:val="bullet"/>
      <w:lvlText w:val="•"/>
      <w:lvlJc w:val="left"/>
      <w:pPr>
        <w:ind w:left="3783" w:hanging="504"/>
      </w:pPr>
      <w:rPr>
        <w:rFonts w:hint="default"/>
        <w:lang w:val="en-US" w:eastAsia="en-US" w:bidi="ar-SA"/>
      </w:rPr>
    </w:lvl>
    <w:lvl w:ilvl="4" w:tplc="43A47564">
      <w:numFmt w:val="bullet"/>
      <w:lvlText w:val="•"/>
      <w:lvlJc w:val="left"/>
      <w:pPr>
        <w:ind w:left="4618" w:hanging="504"/>
      </w:pPr>
      <w:rPr>
        <w:rFonts w:hint="default"/>
        <w:lang w:val="en-US" w:eastAsia="en-US" w:bidi="ar-SA"/>
      </w:rPr>
    </w:lvl>
    <w:lvl w:ilvl="5" w:tplc="085639C6">
      <w:numFmt w:val="bullet"/>
      <w:lvlText w:val="•"/>
      <w:lvlJc w:val="left"/>
      <w:pPr>
        <w:ind w:left="5453" w:hanging="504"/>
      </w:pPr>
      <w:rPr>
        <w:rFonts w:hint="default"/>
        <w:lang w:val="en-US" w:eastAsia="en-US" w:bidi="ar-SA"/>
      </w:rPr>
    </w:lvl>
    <w:lvl w:ilvl="6" w:tplc="D856E052">
      <w:numFmt w:val="bullet"/>
      <w:lvlText w:val="•"/>
      <w:lvlJc w:val="left"/>
      <w:pPr>
        <w:ind w:left="6287" w:hanging="504"/>
      </w:pPr>
      <w:rPr>
        <w:rFonts w:hint="default"/>
        <w:lang w:val="en-US" w:eastAsia="en-US" w:bidi="ar-SA"/>
      </w:rPr>
    </w:lvl>
    <w:lvl w:ilvl="7" w:tplc="5BE2821C">
      <w:numFmt w:val="bullet"/>
      <w:lvlText w:val="•"/>
      <w:lvlJc w:val="left"/>
      <w:pPr>
        <w:ind w:left="7122" w:hanging="504"/>
      </w:pPr>
      <w:rPr>
        <w:rFonts w:hint="default"/>
        <w:lang w:val="en-US" w:eastAsia="en-US" w:bidi="ar-SA"/>
      </w:rPr>
    </w:lvl>
    <w:lvl w:ilvl="8" w:tplc="FED27230">
      <w:numFmt w:val="bullet"/>
      <w:lvlText w:val="•"/>
      <w:lvlJc w:val="left"/>
      <w:pPr>
        <w:ind w:left="7957" w:hanging="504"/>
      </w:pPr>
      <w:rPr>
        <w:rFonts w:hint="default"/>
        <w:lang w:val="en-US" w:eastAsia="en-US" w:bidi="ar-SA"/>
      </w:r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EC202EA"/>
    <w:multiLevelType w:val="hybridMultilevel"/>
    <w:tmpl w:val="E6DAC6AC"/>
    <w:lvl w:ilvl="0" w:tplc="F9FCF62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62C42"/>
    <w:multiLevelType w:val="multilevel"/>
    <w:tmpl w:val="447CB708"/>
    <w:lvl w:ilvl="0"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eastAsia="Symbol" w:hAnsi="Symbol" w:cs="Symbol" w:hint="default"/>
        <w:b w:val="0"/>
        <w:bCs w:val="0"/>
        <w:i w:val="0"/>
        <w:iCs w:val="0"/>
        <w:color w:val="2D4C6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3B3F1EC8"/>
    <w:multiLevelType w:val="multilevel"/>
    <w:tmpl w:val="1390F6F4"/>
    <w:lvl w:ilvl="0">
      <w:numFmt w:val="bullet"/>
      <w:pStyle w:val="Bulletedlistlevel2"/>
      <w:lvlText w:val="–"/>
      <w:lvlJc w:val="left"/>
      <w:pPr>
        <w:tabs>
          <w:tab w:val="num" w:pos="567"/>
        </w:tabs>
        <w:ind w:left="0" w:firstLine="0"/>
      </w:pPr>
      <w:rPr>
        <w:rFonts w:ascii="Arial" w:eastAsia="Arial" w:hAnsi="Arial" w:hint="default"/>
        <w:color w:val="2D4C61"/>
        <w:w w:val="83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5D3FB5"/>
    <w:multiLevelType w:val="hybridMultilevel"/>
    <w:tmpl w:val="D7929C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3628A"/>
    <w:multiLevelType w:val="hybridMultilevel"/>
    <w:tmpl w:val="2C00556A"/>
    <w:lvl w:ilvl="0" w:tplc="D00CD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A3979"/>
    <w:multiLevelType w:val="multilevel"/>
    <w:tmpl w:val="24E2480A"/>
    <w:lvl w:ilvl="0">
      <w:start w:val="1"/>
      <w:numFmt w:val="bullet"/>
      <w:lvlText w:val="•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2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13"/>
  </w:num>
  <w:num w:numId="10">
    <w:abstractNumId w:val="4"/>
  </w:num>
  <w:num w:numId="11">
    <w:abstractNumId w:val="14"/>
  </w:num>
  <w:num w:numId="12">
    <w:abstractNumId w:val="3"/>
  </w:num>
  <w:num w:numId="13">
    <w:abstractNumId w:val="2"/>
  </w:num>
  <w:num w:numId="14">
    <w:abstractNumId w:val="1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FE0D93"/>
    <w:rsid w:val="0000071A"/>
    <w:rsid w:val="0000137F"/>
    <w:rsid w:val="00011EB6"/>
    <w:rsid w:val="0001647B"/>
    <w:rsid w:val="00043CAA"/>
    <w:rsid w:val="0005773B"/>
    <w:rsid w:val="00075432"/>
    <w:rsid w:val="00092916"/>
    <w:rsid w:val="00095CDF"/>
    <w:rsid w:val="000968ED"/>
    <w:rsid w:val="000974D5"/>
    <w:rsid w:val="000B1819"/>
    <w:rsid w:val="000D27A1"/>
    <w:rsid w:val="000D53EA"/>
    <w:rsid w:val="000E254C"/>
    <w:rsid w:val="000F048D"/>
    <w:rsid w:val="000F5E56"/>
    <w:rsid w:val="001024FE"/>
    <w:rsid w:val="001032D9"/>
    <w:rsid w:val="00123DDC"/>
    <w:rsid w:val="001362EE"/>
    <w:rsid w:val="001419F8"/>
    <w:rsid w:val="00142868"/>
    <w:rsid w:val="00151611"/>
    <w:rsid w:val="00153ACE"/>
    <w:rsid w:val="00171500"/>
    <w:rsid w:val="001832A6"/>
    <w:rsid w:val="0019456F"/>
    <w:rsid w:val="001A2102"/>
    <w:rsid w:val="001A23DF"/>
    <w:rsid w:val="001A7393"/>
    <w:rsid w:val="001B6046"/>
    <w:rsid w:val="001C6808"/>
    <w:rsid w:val="001D777E"/>
    <w:rsid w:val="001D7D7C"/>
    <w:rsid w:val="001E0F97"/>
    <w:rsid w:val="001E4141"/>
    <w:rsid w:val="002007E0"/>
    <w:rsid w:val="002121FA"/>
    <w:rsid w:val="002252B1"/>
    <w:rsid w:val="00225CB8"/>
    <w:rsid w:val="002269E9"/>
    <w:rsid w:val="00226B19"/>
    <w:rsid w:val="002525E2"/>
    <w:rsid w:val="002563F7"/>
    <w:rsid w:val="002579EF"/>
    <w:rsid w:val="002634C4"/>
    <w:rsid w:val="00266F53"/>
    <w:rsid w:val="002737C3"/>
    <w:rsid w:val="002767DD"/>
    <w:rsid w:val="00292805"/>
    <w:rsid w:val="002928D3"/>
    <w:rsid w:val="002A15B7"/>
    <w:rsid w:val="002C208E"/>
    <w:rsid w:val="002F1FE6"/>
    <w:rsid w:val="002F4E68"/>
    <w:rsid w:val="002F5BBC"/>
    <w:rsid w:val="00310866"/>
    <w:rsid w:val="00312F7F"/>
    <w:rsid w:val="003228B7"/>
    <w:rsid w:val="003508A3"/>
    <w:rsid w:val="003512F0"/>
    <w:rsid w:val="003625B2"/>
    <w:rsid w:val="003673CF"/>
    <w:rsid w:val="003845C1"/>
    <w:rsid w:val="00391461"/>
    <w:rsid w:val="0039576E"/>
    <w:rsid w:val="00396EC3"/>
    <w:rsid w:val="003A1521"/>
    <w:rsid w:val="003A6F89"/>
    <w:rsid w:val="003B38C1"/>
    <w:rsid w:val="003B38D6"/>
    <w:rsid w:val="003C3779"/>
    <w:rsid w:val="003C71DB"/>
    <w:rsid w:val="003E4083"/>
    <w:rsid w:val="00423E3E"/>
    <w:rsid w:val="004279D3"/>
    <w:rsid w:val="00427AF4"/>
    <w:rsid w:val="00431221"/>
    <w:rsid w:val="00436A4D"/>
    <w:rsid w:val="004400E2"/>
    <w:rsid w:val="00446C4B"/>
    <w:rsid w:val="00451F2D"/>
    <w:rsid w:val="00461632"/>
    <w:rsid w:val="004647DA"/>
    <w:rsid w:val="0047036E"/>
    <w:rsid w:val="0047123A"/>
    <w:rsid w:val="00471A92"/>
    <w:rsid w:val="00474062"/>
    <w:rsid w:val="004768AA"/>
    <w:rsid w:val="00477D6B"/>
    <w:rsid w:val="0048672F"/>
    <w:rsid w:val="004A2037"/>
    <w:rsid w:val="004B2EFC"/>
    <w:rsid w:val="004B46B4"/>
    <w:rsid w:val="004D39C4"/>
    <w:rsid w:val="00501CC4"/>
    <w:rsid w:val="005075CD"/>
    <w:rsid w:val="00513445"/>
    <w:rsid w:val="005175A5"/>
    <w:rsid w:val="00523936"/>
    <w:rsid w:val="0053057A"/>
    <w:rsid w:val="005530C1"/>
    <w:rsid w:val="005572D5"/>
    <w:rsid w:val="00560A29"/>
    <w:rsid w:val="00564295"/>
    <w:rsid w:val="005662EE"/>
    <w:rsid w:val="005716B5"/>
    <w:rsid w:val="00576232"/>
    <w:rsid w:val="005844AB"/>
    <w:rsid w:val="00594D27"/>
    <w:rsid w:val="005C6D26"/>
    <w:rsid w:val="005D71E1"/>
    <w:rsid w:val="00601760"/>
    <w:rsid w:val="00605827"/>
    <w:rsid w:val="0061058C"/>
    <w:rsid w:val="0062702A"/>
    <w:rsid w:val="00640265"/>
    <w:rsid w:val="00646050"/>
    <w:rsid w:val="006713CA"/>
    <w:rsid w:val="00676C5C"/>
    <w:rsid w:val="00680275"/>
    <w:rsid w:val="006814EB"/>
    <w:rsid w:val="0068457E"/>
    <w:rsid w:val="00695558"/>
    <w:rsid w:val="00697F95"/>
    <w:rsid w:val="006A30C3"/>
    <w:rsid w:val="006D5E0F"/>
    <w:rsid w:val="006E1F6E"/>
    <w:rsid w:val="006F5A9C"/>
    <w:rsid w:val="00703660"/>
    <w:rsid w:val="007058FB"/>
    <w:rsid w:val="0071462C"/>
    <w:rsid w:val="007315C7"/>
    <w:rsid w:val="00737E5D"/>
    <w:rsid w:val="0076790E"/>
    <w:rsid w:val="007700AF"/>
    <w:rsid w:val="00785345"/>
    <w:rsid w:val="0079380D"/>
    <w:rsid w:val="00793C2E"/>
    <w:rsid w:val="00794C51"/>
    <w:rsid w:val="00794FA4"/>
    <w:rsid w:val="007B1FCB"/>
    <w:rsid w:val="007B61A1"/>
    <w:rsid w:val="007B6A58"/>
    <w:rsid w:val="007D1613"/>
    <w:rsid w:val="007E0715"/>
    <w:rsid w:val="007F7E3D"/>
    <w:rsid w:val="00800B22"/>
    <w:rsid w:val="00803040"/>
    <w:rsid w:val="00804C8E"/>
    <w:rsid w:val="0083461F"/>
    <w:rsid w:val="0085115F"/>
    <w:rsid w:val="00853437"/>
    <w:rsid w:val="00856E49"/>
    <w:rsid w:val="008605BA"/>
    <w:rsid w:val="00873EE5"/>
    <w:rsid w:val="008A0FCC"/>
    <w:rsid w:val="008B120C"/>
    <w:rsid w:val="008B2CC1"/>
    <w:rsid w:val="008B4B5E"/>
    <w:rsid w:val="008B60B2"/>
    <w:rsid w:val="008B60D6"/>
    <w:rsid w:val="008C3233"/>
    <w:rsid w:val="008D0034"/>
    <w:rsid w:val="008D04D8"/>
    <w:rsid w:val="0090731E"/>
    <w:rsid w:val="00916EE2"/>
    <w:rsid w:val="009360B4"/>
    <w:rsid w:val="009376E7"/>
    <w:rsid w:val="00951EA4"/>
    <w:rsid w:val="00964FB0"/>
    <w:rsid w:val="00966A22"/>
    <w:rsid w:val="0096722F"/>
    <w:rsid w:val="009766C9"/>
    <w:rsid w:val="00980843"/>
    <w:rsid w:val="009960BD"/>
    <w:rsid w:val="009A5FB8"/>
    <w:rsid w:val="009D406E"/>
    <w:rsid w:val="009E2791"/>
    <w:rsid w:val="009E3F6F"/>
    <w:rsid w:val="009E5EBB"/>
    <w:rsid w:val="009F3BF9"/>
    <w:rsid w:val="009F499F"/>
    <w:rsid w:val="009F6762"/>
    <w:rsid w:val="00A0184B"/>
    <w:rsid w:val="00A065C9"/>
    <w:rsid w:val="00A11759"/>
    <w:rsid w:val="00A137DE"/>
    <w:rsid w:val="00A14CDE"/>
    <w:rsid w:val="00A2144E"/>
    <w:rsid w:val="00A42DAF"/>
    <w:rsid w:val="00A45BD8"/>
    <w:rsid w:val="00A4782C"/>
    <w:rsid w:val="00A778BF"/>
    <w:rsid w:val="00A85B8E"/>
    <w:rsid w:val="00A9173A"/>
    <w:rsid w:val="00A9623D"/>
    <w:rsid w:val="00A963D4"/>
    <w:rsid w:val="00AB18C6"/>
    <w:rsid w:val="00AC205C"/>
    <w:rsid w:val="00AD7313"/>
    <w:rsid w:val="00AE4F62"/>
    <w:rsid w:val="00AF5C73"/>
    <w:rsid w:val="00AF6BB5"/>
    <w:rsid w:val="00B05A69"/>
    <w:rsid w:val="00B0757C"/>
    <w:rsid w:val="00B11053"/>
    <w:rsid w:val="00B133E2"/>
    <w:rsid w:val="00B279E5"/>
    <w:rsid w:val="00B40598"/>
    <w:rsid w:val="00B45A37"/>
    <w:rsid w:val="00B50B99"/>
    <w:rsid w:val="00B51B00"/>
    <w:rsid w:val="00B5707C"/>
    <w:rsid w:val="00B62CD9"/>
    <w:rsid w:val="00B7218B"/>
    <w:rsid w:val="00B86765"/>
    <w:rsid w:val="00B94F46"/>
    <w:rsid w:val="00B9734B"/>
    <w:rsid w:val="00BA18E9"/>
    <w:rsid w:val="00BA7548"/>
    <w:rsid w:val="00BB5A5A"/>
    <w:rsid w:val="00BB7DD7"/>
    <w:rsid w:val="00BC102B"/>
    <w:rsid w:val="00C032BA"/>
    <w:rsid w:val="00C06FC6"/>
    <w:rsid w:val="00C11BFE"/>
    <w:rsid w:val="00C1728A"/>
    <w:rsid w:val="00C271A3"/>
    <w:rsid w:val="00C34022"/>
    <w:rsid w:val="00C473DA"/>
    <w:rsid w:val="00C57B9A"/>
    <w:rsid w:val="00C82336"/>
    <w:rsid w:val="00C854C7"/>
    <w:rsid w:val="00C94629"/>
    <w:rsid w:val="00CE65D4"/>
    <w:rsid w:val="00D258DA"/>
    <w:rsid w:val="00D45252"/>
    <w:rsid w:val="00D500BA"/>
    <w:rsid w:val="00D71B4D"/>
    <w:rsid w:val="00D8271F"/>
    <w:rsid w:val="00D85DBE"/>
    <w:rsid w:val="00D93D55"/>
    <w:rsid w:val="00D94B57"/>
    <w:rsid w:val="00DA3A3E"/>
    <w:rsid w:val="00DA3DBC"/>
    <w:rsid w:val="00DA6293"/>
    <w:rsid w:val="00DC4E58"/>
    <w:rsid w:val="00DD4E13"/>
    <w:rsid w:val="00DF4BEA"/>
    <w:rsid w:val="00E04E2C"/>
    <w:rsid w:val="00E06BD8"/>
    <w:rsid w:val="00E161A2"/>
    <w:rsid w:val="00E255C7"/>
    <w:rsid w:val="00E335FE"/>
    <w:rsid w:val="00E412BF"/>
    <w:rsid w:val="00E5021F"/>
    <w:rsid w:val="00E54977"/>
    <w:rsid w:val="00E570A6"/>
    <w:rsid w:val="00E671A6"/>
    <w:rsid w:val="00E744A9"/>
    <w:rsid w:val="00E97283"/>
    <w:rsid w:val="00EB3592"/>
    <w:rsid w:val="00EB5D64"/>
    <w:rsid w:val="00EC3B10"/>
    <w:rsid w:val="00EC4E49"/>
    <w:rsid w:val="00ED77FB"/>
    <w:rsid w:val="00EF57AD"/>
    <w:rsid w:val="00F021A6"/>
    <w:rsid w:val="00F11D94"/>
    <w:rsid w:val="00F27F99"/>
    <w:rsid w:val="00F446FC"/>
    <w:rsid w:val="00F527EF"/>
    <w:rsid w:val="00F66152"/>
    <w:rsid w:val="00F70EFB"/>
    <w:rsid w:val="00F740CE"/>
    <w:rsid w:val="00F74FF4"/>
    <w:rsid w:val="00F77C8B"/>
    <w:rsid w:val="00FD085C"/>
    <w:rsid w:val="00FD3548"/>
    <w:rsid w:val="00FD7647"/>
    <w:rsid w:val="00FE0D93"/>
    <w:rsid w:val="00FE58AB"/>
    <w:rsid w:val="00FE7B07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,"/>
  <w14:docId w14:val="032D5640"/>
  <w15:docId w15:val="{8EB56469-CAFC-48F0-8DFC-05EB0882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F27F99"/>
    <w:pPr>
      <w:keepNext/>
      <w:numPr>
        <w:numId w:val="12"/>
      </w:numPr>
      <w:spacing w:before="240" w:after="240"/>
      <w:ind w:left="567" w:hanging="567"/>
      <w:outlineLvl w:val="0"/>
    </w:pPr>
    <w:rPr>
      <w:b/>
      <w:bCs/>
      <w:caps/>
      <w:kern w:val="32"/>
      <w:szCs w:val="32"/>
      <w:lang w:val="fr-FR"/>
    </w:rPr>
  </w:style>
  <w:style w:type="paragraph" w:styleId="Heading2">
    <w:name w:val="heading 2"/>
    <w:basedOn w:val="Normal"/>
    <w:next w:val="Normal"/>
    <w:qFormat/>
    <w:rsid w:val="00F27F99"/>
    <w:pPr>
      <w:keepNext/>
      <w:numPr>
        <w:numId w:val="13"/>
      </w:numPr>
      <w:spacing w:before="240" w:after="240"/>
      <w:ind w:left="1134" w:hanging="567"/>
      <w:outlineLvl w:val="1"/>
    </w:pPr>
    <w:rPr>
      <w:bCs/>
      <w:iCs/>
      <w:caps/>
      <w:szCs w:val="28"/>
      <w:lang w:val="fr-FR"/>
    </w:rPr>
  </w:style>
  <w:style w:type="paragraph" w:styleId="Heading3">
    <w:name w:val="heading 3"/>
    <w:basedOn w:val="Normal"/>
    <w:next w:val="Normal"/>
    <w:qFormat/>
    <w:rsid w:val="00E97283"/>
    <w:pPr>
      <w:keepNext/>
      <w:spacing w:before="240" w:after="240"/>
      <w:ind w:left="1134"/>
      <w:outlineLvl w:val="2"/>
    </w:pPr>
    <w:rPr>
      <w:bCs/>
      <w:szCs w:val="26"/>
      <w:u w:val="single"/>
      <w:lang w:val="fr-FR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nhideWhenUsed/>
    <w:rsid w:val="00FE0D93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1B604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604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6046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1B6046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1B60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B6046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semiHidden/>
    <w:unhideWhenUsed/>
    <w:rsid w:val="003108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7F99"/>
    <w:pPr>
      <w:ind w:left="720"/>
      <w:contextualSpacing/>
    </w:pPr>
  </w:style>
  <w:style w:type="paragraph" w:customStyle="1" w:styleId="Bulletedlistlevel2">
    <w:name w:val="Bulleted list level 2"/>
    <w:basedOn w:val="Normal"/>
    <w:rsid w:val="00F27F99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8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64FA-6036-493A-BBB9-3FBAAA45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CC 81 (E)</Template>
  <TotalTime>326</TotalTime>
  <Pages>6</Pages>
  <Words>2182</Words>
  <Characters>11768</Characters>
  <Application>Microsoft Office Word</Application>
  <DocSecurity>0</DocSecurity>
  <Lines>190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WO/CC/81/INF/2</vt:lpstr>
      <vt:lpstr>WO/CC/81/INF/2</vt:lpstr>
    </vt:vector>
  </TitlesOfParts>
  <Company>WIPO</Company>
  <LinksUpToDate>false</LinksUpToDate>
  <CharactersWithSpaces>13921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WO/CC/81/INF/2</dc:title>
  <dc:subject>Sixty-Third Series of Meetings</dc:subject>
  <dc:creator>WIPO</dc:creator>
  <cp:keywords>PUBLIC</cp:keywords>
  <cp:lastModifiedBy>MARIN-CUDRAZ DAVI Nicoletta</cp:lastModifiedBy>
  <cp:revision>136</cp:revision>
  <cp:lastPrinted>2011-02-15T11:56:00Z</cp:lastPrinted>
  <dcterms:created xsi:type="dcterms:W3CDTF">2022-04-25T12:27:00Z</dcterms:created>
  <dcterms:modified xsi:type="dcterms:W3CDTF">2022-05-05T12:27:00Z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ff7f7c28-fbea-4882-83ba-43a8c54e3912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