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49" w:rsidRPr="00123893" w:rsidRDefault="00470E49" w:rsidP="00470E49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470E49" w:rsidRDefault="00470E49" w:rsidP="00470E49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0436BE94" wp14:editId="4339EC1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49" w:rsidRPr="00EA3800" w:rsidRDefault="00470E49" w:rsidP="00470E4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LI/A/35</w:t>
      </w:r>
      <w:r w:rsidRPr="00EA3800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1</w:t>
      </w:r>
    </w:p>
    <w:p w:rsidR="00470E49" w:rsidRPr="00EA3800" w:rsidRDefault="00470E49" w:rsidP="00470E49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EA3800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EA3800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470E49" w:rsidRPr="00EA3800" w:rsidRDefault="00470E49" w:rsidP="00470E49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EA3800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EA3800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23 juillet 2018</w:t>
      </w:r>
    </w:p>
    <w:p w:rsidR="00470E49" w:rsidRDefault="00470E49" w:rsidP="00470E49">
      <w:pPr>
        <w:pStyle w:val="Heading1"/>
        <w:rPr>
          <w:lang w:val="fr-CH"/>
        </w:rPr>
      </w:pPr>
      <w:r w:rsidRPr="00EA3800">
        <w:rPr>
          <w:lang w:val="fr-CH"/>
        </w:rPr>
        <w:t>Union particulière pour la protection des appellations d</w:t>
      </w:r>
      <w:r>
        <w:rPr>
          <w:lang w:val="fr-CH"/>
        </w:rPr>
        <w:t>’</w:t>
      </w:r>
      <w:r w:rsidRPr="00EA3800">
        <w:rPr>
          <w:lang w:val="fr-CH"/>
        </w:rPr>
        <w:t>origine et leur enregistrement international (Union de Lisbonne)</w:t>
      </w:r>
    </w:p>
    <w:p w:rsidR="00470E49" w:rsidRDefault="00470E49" w:rsidP="00470E49">
      <w:pPr>
        <w:pStyle w:val="Heading1"/>
        <w:rPr>
          <w:lang w:val="fr-CH"/>
        </w:rPr>
      </w:pPr>
      <w:r>
        <w:rPr>
          <w:lang w:val="fr-CH"/>
        </w:rPr>
        <w:t>Assemblée</w:t>
      </w:r>
    </w:p>
    <w:p w:rsidR="00470E49" w:rsidRPr="00AE52F6" w:rsidRDefault="00470E49" w:rsidP="00470E49">
      <w:pPr>
        <w:spacing w:after="720"/>
        <w:rPr>
          <w:b/>
          <w:sz w:val="24"/>
          <w:szCs w:val="24"/>
          <w:lang w:val="fr-CH"/>
        </w:rPr>
      </w:pPr>
      <w:r w:rsidRPr="00AE52F6">
        <w:rPr>
          <w:b/>
          <w:sz w:val="24"/>
          <w:szCs w:val="24"/>
          <w:lang w:val="fr-CH"/>
        </w:rPr>
        <w:t>Trente-cinquième session (13</w:t>
      </w:r>
      <w:r w:rsidRPr="00AE52F6">
        <w:rPr>
          <w:b/>
          <w:sz w:val="24"/>
          <w:szCs w:val="24"/>
          <w:vertAlign w:val="superscript"/>
          <w:lang w:val="fr-CH"/>
        </w:rPr>
        <w:t>e</w:t>
      </w:r>
      <w:r w:rsidRPr="00AE52F6">
        <w:rPr>
          <w:b/>
          <w:sz w:val="24"/>
          <w:szCs w:val="24"/>
          <w:lang w:val="fr-CH"/>
        </w:rPr>
        <w:t xml:space="preserve"> session extraordinaire</w:t>
      </w:r>
      <w:proofErr w:type="gramStart"/>
      <w:r w:rsidRPr="00AE52F6">
        <w:rPr>
          <w:b/>
          <w:sz w:val="24"/>
          <w:szCs w:val="24"/>
          <w:lang w:val="fr-CH"/>
        </w:rPr>
        <w:t>)</w:t>
      </w:r>
      <w:proofErr w:type="gramEnd"/>
      <w:r w:rsidRPr="00AE52F6">
        <w:rPr>
          <w:b/>
          <w:sz w:val="24"/>
          <w:szCs w:val="24"/>
          <w:lang w:val="fr-CH"/>
        </w:rPr>
        <w:br/>
        <w:t>Genève, 24 septembre – 2 octobre 2018</w:t>
      </w:r>
    </w:p>
    <w:p w:rsidR="00470E49" w:rsidRDefault="00470E49" w:rsidP="00470E49">
      <w:pPr>
        <w:spacing w:after="360"/>
        <w:rPr>
          <w:caps/>
          <w:sz w:val="24"/>
          <w:lang w:val="fr-FR"/>
        </w:rPr>
      </w:pPr>
      <w:bookmarkStart w:id="4" w:name="TitleOfDoc"/>
      <w:bookmarkStart w:id="5" w:name="Prepared"/>
      <w:bookmarkEnd w:id="4"/>
      <w:bookmarkEnd w:id="5"/>
      <w:r w:rsidRPr="007C3B45">
        <w:rPr>
          <w:caps/>
          <w:sz w:val="24"/>
          <w:lang w:val="fr-FR"/>
        </w:rPr>
        <w:t xml:space="preserve">Rapport sur le groupe de travail </w:t>
      </w:r>
      <w:r>
        <w:rPr>
          <w:caps/>
          <w:sz w:val="24"/>
          <w:lang w:val="fr-FR"/>
        </w:rPr>
        <w:t>sur le développement du</w:t>
      </w:r>
      <w:r w:rsidR="00297BCA">
        <w:rPr>
          <w:caps/>
          <w:sz w:val="24"/>
          <w:lang w:val="fr-FR"/>
        </w:rPr>
        <w:t> </w:t>
      </w:r>
      <w:r>
        <w:rPr>
          <w:caps/>
          <w:sz w:val="24"/>
          <w:lang w:val="fr-FR"/>
        </w:rPr>
        <w:t>système de lisbonne</w:t>
      </w:r>
    </w:p>
    <w:p w:rsidR="00470E49" w:rsidRDefault="00470E49" w:rsidP="00470E49">
      <w:pPr>
        <w:spacing w:after="960"/>
        <w:rPr>
          <w:i/>
          <w:lang w:val="fr-FR"/>
        </w:rPr>
      </w:pPr>
      <w:proofErr w:type="gramStart"/>
      <w:r>
        <w:rPr>
          <w:i/>
          <w:lang w:val="fr-FR"/>
        </w:rPr>
        <w:t>établi</w:t>
      </w:r>
      <w:proofErr w:type="gramEnd"/>
      <w:r>
        <w:rPr>
          <w:i/>
          <w:lang w:val="fr-FR"/>
        </w:rPr>
        <w:t xml:space="preserve"> par le Bureau international</w:t>
      </w:r>
    </w:p>
    <w:p w:rsidR="007C3B45" w:rsidRPr="00E10B74" w:rsidRDefault="007C3B45" w:rsidP="00E10B74">
      <w:pPr>
        <w:pStyle w:val="ONUMFS"/>
        <w:rPr>
          <w:lang w:val="fr-FR"/>
        </w:rPr>
      </w:pPr>
      <w:r w:rsidRPr="00E10B74">
        <w:rPr>
          <w:lang w:val="fr-FR"/>
        </w:rPr>
        <w:t>Depuis la précédente session de l</w:t>
      </w:r>
      <w:r w:rsidR="00262423" w:rsidRPr="00E10B74">
        <w:rPr>
          <w:lang w:val="fr-FR"/>
        </w:rPr>
        <w:t>’</w:t>
      </w:r>
      <w:r w:rsidRPr="00E10B74">
        <w:rPr>
          <w:lang w:val="fr-FR"/>
        </w:rPr>
        <w:t>Assemblée de l</w:t>
      </w:r>
      <w:r w:rsidR="00262423" w:rsidRPr="00E10B74">
        <w:rPr>
          <w:lang w:val="fr-FR"/>
        </w:rPr>
        <w:t>’</w:t>
      </w:r>
      <w:r w:rsidRPr="00E10B74">
        <w:rPr>
          <w:lang w:val="fr-FR"/>
        </w:rPr>
        <w:t>Union de Lisbonne, le Groupe de travail sur le développement du système de Lisbonne (ci</w:t>
      </w:r>
      <w:r w:rsidR="00470E49" w:rsidRPr="00E10B74">
        <w:rPr>
          <w:lang w:val="fr-FR"/>
        </w:rPr>
        <w:noBreakHyphen/>
      </w:r>
      <w:r w:rsidRPr="00E10B74">
        <w:rPr>
          <w:lang w:val="fr-FR"/>
        </w:rPr>
        <w:t xml:space="preserve">après dénommé </w:t>
      </w:r>
      <w:r w:rsidR="00262423" w:rsidRPr="00E10B74">
        <w:rPr>
          <w:lang w:val="fr-FR"/>
        </w:rPr>
        <w:t>“g</w:t>
      </w:r>
      <w:r w:rsidRPr="00E10B74">
        <w:rPr>
          <w:lang w:val="fr-FR"/>
        </w:rPr>
        <w:t>roupe de travai</w:t>
      </w:r>
      <w:r w:rsidR="00262423" w:rsidRPr="00E10B74">
        <w:rPr>
          <w:lang w:val="fr-FR"/>
        </w:rPr>
        <w:t>l”</w:t>
      </w:r>
      <w:r w:rsidRPr="00E10B74">
        <w:rPr>
          <w:lang w:val="fr-FR"/>
        </w:rPr>
        <w:t>) a tenu sa première session les 11 et 1</w:t>
      </w:r>
      <w:r w:rsidR="00262423" w:rsidRPr="00E10B74">
        <w:rPr>
          <w:lang w:val="fr-FR"/>
        </w:rPr>
        <w:t>2 juin 20</w:t>
      </w:r>
      <w:r w:rsidRPr="00E10B74">
        <w:rPr>
          <w:lang w:val="fr-FR"/>
        </w:rPr>
        <w:t>18.</w:t>
      </w:r>
      <w:r w:rsidR="00C5283D" w:rsidRPr="00E10B74">
        <w:rPr>
          <w:lang w:val="fr-FR"/>
        </w:rPr>
        <w:t xml:space="preserve"> </w:t>
      </w:r>
      <w:r w:rsidR="007F35DE" w:rsidRPr="00E10B74">
        <w:rPr>
          <w:lang w:val="fr-FR"/>
        </w:rPr>
        <w:t xml:space="preserve"> </w:t>
      </w:r>
      <w:r w:rsidRPr="00E10B74">
        <w:rPr>
          <w:lang w:val="fr-FR"/>
        </w:rPr>
        <w:t>Les délégations ont échangé des vues sur des questions concernant le fonctionnement du système de Lisbonne, ainsi qu</w:t>
      </w:r>
      <w:r w:rsidR="00262423" w:rsidRPr="00E10B74">
        <w:rPr>
          <w:lang w:val="fr-FR"/>
        </w:rPr>
        <w:t>’</w:t>
      </w:r>
      <w:r w:rsidRPr="00E10B74">
        <w:rPr>
          <w:lang w:val="fr-FR"/>
        </w:rPr>
        <w:t>il est indiqué dans l</w:t>
      </w:r>
      <w:r w:rsidR="00262423" w:rsidRPr="00E10B74">
        <w:rPr>
          <w:lang w:val="fr-FR"/>
        </w:rPr>
        <w:t>’</w:t>
      </w:r>
      <w:r w:rsidRPr="00E10B74">
        <w:rPr>
          <w:lang w:val="fr-FR"/>
        </w:rPr>
        <w:t>annexe du présent document (document</w:t>
      </w:r>
      <w:r w:rsidR="00470E49" w:rsidRPr="00E10B74">
        <w:rPr>
          <w:lang w:val="fr-FR"/>
        </w:rPr>
        <w:t> </w:t>
      </w:r>
      <w:r w:rsidRPr="00E10B74">
        <w:rPr>
          <w:lang w:val="fr-FR"/>
        </w:rPr>
        <w:t>LI/WG/DEV</w:t>
      </w:r>
      <w:r w:rsidR="00470E49" w:rsidRPr="00E10B74">
        <w:rPr>
          <w:lang w:val="fr-FR"/>
        </w:rPr>
        <w:noBreakHyphen/>
      </w:r>
      <w:r w:rsidRPr="00E10B74">
        <w:rPr>
          <w:lang w:val="fr-FR"/>
        </w:rPr>
        <w:t>SYS/1/4), approuvée par le groupe de travail.</w:t>
      </w:r>
    </w:p>
    <w:p w:rsidR="007C3B45" w:rsidRDefault="00575EF9" w:rsidP="00E10B74">
      <w:pPr>
        <w:pStyle w:val="ONUMFS"/>
        <w:rPr>
          <w:lang w:val="fr-FR"/>
        </w:rPr>
      </w:pPr>
      <w:r w:rsidRPr="00575EF9">
        <w:rPr>
          <w:lang w:val="fr-FR"/>
        </w:rPr>
        <w:t>Parmi les sujets examinés lors de la session, le groupe de travail est convenu de recommander à l</w:t>
      </w:r>
      <w:r w:rsidR="00262423">
        <w:rPr>
          <w:lang w:val="fr-FR"/>
        </w:rPr>
        <w:t>’</w:t>
      </w:r>
      <w:r w:rsidRPr="00575EF9">
        <w:rPr>
          <w:lang w:val="fr-FR"/>
        </w:rPr>
        <w:t xml:space="preserve">assemblée </w:t>
      </w:r>
      <w:r w:rsidR="009324E9">
        <w:rPr>
          <w:lang w:val="fr-FR"/>
        </w:rPr>
        <w:t>l</w:t>
      </w:r>
      <w:r w:rsidR="00262423">
        <w:rPr>
          <w:lang w:val="fr-FR"/>
        </w:rPr>
        <w:t>’</w:t>
      </w:r>
      <w:r w:rsidR="009324E9">
        <w:rPr>
          <w:lang w:val="fr-FR"/>
        </w:rPr>
        <w:t>adoption d</w:t>
      </w:r>
      <w:r w:rsidR="00262423">
        <w:rPr>
          <w:lang w:val="fr-FR"/>
        </w:rPr>
        <w:t>’</w:t>
      </w:r>
      <w:r w:rsidRPr="00575EF9">
        <w:rPr>
          <w:lang w:val="fr-FR"/>
        </w:rPr>
        <w:t xml:space="preserve">une réduction de 50% </w:t>
      </w:r>
      <w:r w:rsidR="00B1574E">
        <w:rPr>
          <w:lang w:val="fr-FR"/>
        </w:rPr>
        <w:t>du montant prescrit des taxes</w:t>
      </w:r>
      <w:r w:rsidRPr="00575EF9">
        <w:rPr>
          <w:lang w:val="fr-FR"/>
        </w:rPr>
        <w:t xml:space="preserve"> pour les pays les moins avancés (PMA) </w:t>
      </w:r>
      <w:r w:rsidR="00262423">
        <w:rPr>
          <w:lang w:val="fr-FR"/>
        </w:rPr>
        <w:t>à l’égard</w:t>
      </w:r>
      <w:r w:rsidR="00741EA2">
        <w:rPr>
          <w:lang w:val="fr-FR"/>
        </w:rPr>
        <w:t xml:space="preserve"> d</w:t>
      </w:r>
      <w:r w:rsidRPr="00575EF9">
        <w:rPr>
          <w:lang w:val="fr-FR"/>
        </w:rPr>
        <w:t>es</w:t>
      </w:r>
      <w:r w:rsidR="00EF256B">
        <w:rPr>
          <w:lang w:val="fr-FR"/>
        </w:rPr>
        <w:t xml:space="preserve"> enregistrements internationaux d</w:t>
      </w:r>
      <w:r w:rsidR="00262423">
        <w:rPr>
          <w:lang w:val="fr-FR"/>
        </w:rPr>
        <w:t>’</w:t>
      </w:r>
      <w:r w:rsidRPr="00575EF9">
        <w:rPr>
          <w:lang w:val="fr-FR"/>
        </w:rPr>
        <w:t>appellations d</w:t>
      </w:r>
      <w:r w:rsidR="00262423">
        <w:rPr>
          <w:lang w:val="fr-FR"/>
        </w:rPr>
        <w:t>’</w:t>
      </w:r>
      <w:r w:rsidRPr="00575EF9">
        <w:rPr>
          <w:lang w:val="fr-FR"/>
        </w:rPr>
        <w:t xml:space="preserve">origine et </w:t>
      </w:r>
      <w:r w:rsidR="00741EA2">
        <w:rPr>
          <w:lang w:val="fr-FR"/>
        </w:rPr>
        <w:t>d</w:t>
      </w:r>
      <w:r w:rsidR="00262423">
        <w:rPr>
          <w:lang w:val="fr-FR"/>
        </w:rPr>
        <w:t>’</w:t>
      </w:r>
      <w:r w:rsidRPr="00575EF9">
        <w:rPr>
          <w:lang w:val="fr-FR"/>
        </w:rPr>
        <w:t>indications géographiques, ainsi qu</w:t>
      </w:r>
      <w:r w:rsidR="00262423">
        <w:rPr>
          <w:lang w:val="fr-FR"/>
        </w:rPr>
        <w:t>’</w:t>
      </w:r>
      <w:r w:rsidRPr="00575EF9">
        <w:rPr>
          <w:lang w:val="fr-FR"/>
        </w:rPr>
        <w:t>il est indiqué dans la proposition contenue dans le document</w:t>
      </w:r>
      <w:r w:rsidR="00470E49">
        <w:rPr>
          <w:lang w:val="fr-FR"/>
        </w:rPr>
        <w:t> </w:t>
      </w:r>
      <w:r w:rsidRPr="00575EF9">
        <w:rPr>
          <w:lang w:val="fr-FR"/>
        </w:rPr>
        <w:t>LI/A/35/2.</w:t>
      </w:r>
    </w:p>
    <w:p w:rsidR="007C3B45" w:rsidRDefault="00575EF9" w:rsidP="00E10B74">
      <w:pPr>
        <w:pStyle w:val="ONUMFS"/>
        <w:rPr>
          <w:lang w:val="fr-FR"/>
        </w:rPr>
      </w:pPr>
      <w:r w:rsidRPr="00575EF9">
        <w:rPr>
          <w:color w:val="000000"/>
          <w:lang w:val="fr-FR"/>
        </w:rPr>
        <w:t>En ce qui concerne la viab</w:t>
      </w:r>
      <w:r w:rsidR="00EF256B">
        <w:rPr>
          <w:color w:val="000000"/>
          <w:lang w:val="fr-FR"/>
        </w:rPr>
        <w:t>i</w:t>
      </w:r>
      <w:r w:rsidRPr="00575EF9">
        <w:rPr>
          <w:color w:val="000000"/>
          <w:lang w:val="fr-FR"/>
        </w:rPr>
        <w:t>lité financière de l</w:t>
      </w:r>
      <w:r w:rsidR="00262423">
        <w:rPr>
          <w:color w:val="000000"/>
          <w:lang w:val="fr-FR"/>
        </w:rPr>
        <w:t>’</w:t>
      </w:r>
      <w:r w:rsidRPr="00575EF9">
        <w:rPr>
          <w:color w:val="000000"/>
          <w:lang w:val="fr-FR"/>
        </w:rPr>
        <w:t xml:space="preserve">Union de Lisbonne, le groupe de travail est convenu de </w:t>
      </w:r>
      <w:r w:rsidRPr="003345D6">
        <w:rPr>
          <w:lang w:val="fr-FR"/>
        </w:rPr>
        <w:t>poursuivre l</w:t>
      </w:r>
      <w:r w:rsidR="00262423">
        <w:rPr>
          <w:lang w:val="fr-FR"/>
        </w:rPr>
        <w:t>’</w:t>
      </w:r>
      <w:r w:rsidRPr="003345D6">
        <w:rPr>
          <w:lang w:val="fr-FR"/>
        </w:rPr>
        <w:t>examen des différentes options lors de futures sessions du groupe de travail et des réunions informelles que le président du groupe de travail pourrait demander au Secrétariat de convoquer</w:t>
      </w:r>
      <w:r w:rsidRPr="00575EF9">
        <w:rPr>
          <w:color w:val="000000"/>
          <w:lang w:val="fr-FR"/>
        </w:rPr>
        <w:t>.</w:t>
      </w:r>
    </w:p>
    <w:p w:rsidR="007C3B45" w:rsidRDefault="00575EF9" w:rsidP="00E10B74">
      <w:pPr>
        <w:pStyle w:val="ONUMFS"/>
        <w:ind w:left="5534"/>
        <w:rPr>
          <w:i/>
          <w:lang w:val="fr-FR"/>
        </w:rPr>
      </w:pPr>
      <w:r w:rsidRPr="00575EF9">
        <w:rPr>
          <w:i/>
          <w:color w:val="000000"/>
          <w:lang w:val="fr-FR"/>
        </w:rPr>
        <w:lastRenderedPageBreak/>
        <w:t>L</w:t>
      </w:r>
      <w:r w:rsidR="00262423">
        <w:rPr>
          <w:i/>
          <w:color w:val="000000"/>
          <w:lang w:val="fr-FR"/>
        </w:rPr>
        <w:t>’</w:t>
      </w:r>
      <w:r w:rsidRPr="00575EF9">
        <w:rPr>
          <w:i/>
          <w:color w:val="000000"/>
          <w:lang w:val="fr-FR"/>
        </w:rPr>
        <w:t>Assemblée de l</w:t>
      </w:r>
      <w:r w:rsidR="00262423">
        <w:rPr>
          <w:i/>
          <w:color w:val="000000"/>
          <w:lang w:val="fr-FR"/>
        </w:rPr>
        <w:t>’</w:t>
      </w:r>
      <w:r w:rsidRPr="00575EF9">
        <w:rPr>
          <w:i/>
          <w:color w:val="000000"/>
          <w:lang w:val="fr-FR"/>
        </w:rPr>
        <w:t xml:space="preserve">Union de Lisbonne est invitée à prendre note du </w:t>
      </w:r>
      <w:r w:rsidR="00262423">
        <w:rPr>
          <w:i/>
          <w:color w:val="000000"/>
          <w:lang w:val="fr-FR"/>
        </w:rPr>
        <w:t>“</w:t>
      </w:r>
      <w:r w:rsidR="00262423" w:rsidRPr="00575EF9">
        <w:rPr>
          <w:i/>
          <w:color w:val="000000"/>
          <w:lang w:val="fr-FR"/>
        </w:rPr>
        <w:t>R</w:t>
      </w:r>
      <w:r w:rsidRPr="00575EF9">
        <w:rPr>
          <w:i/>
          <w:color w:val="000000"/>
          <w:lang w:val="fr-FR"/>
        </w:rPr>
        <w:t>apport sur le Groupe de travail sur le développement du système de Lisbonn</w:t>
      </w:r>
      <w:r w:rsidR="00262423" w:rsidRPr="00575EF9">
        <w:rPr>
          <w:i/>
          <w:color w:val="000000"/>
          <w:lang w:val="fr-FR"/>
        </w:rPr>
        <w:t>e</w:t>
      </w:r>
      <w:r w:rsidR="00262423">
        <w:rPr>
          <w:i/>
          <w:color w:val="000000"/>
          <w:lang w:val="fr-FR"/>
        </w:rPr>
        <w:t>”</w:t>
      </w:r>
      <w:r w:rsidRPr="00575EF9">
        <w:rPr>
          <w:i/>
          <w:color w:val="000000"/>
          <w:lang w:val="fr-FR"/>
        </w:rPr>
        <w:t xml:space="preserve"> (document</w:t>
      </w:r>
      <w:r w:rsidR="00470E49">
        <w:rPr>
          <w:i/>
          <w:color w:val="000000"/>
          <w:lang w:val="fr-FR"/>
        </w:rPr>
        <w:t> </w:t>
      </w:r>
      <w:r w:rsidRPr="00575EF9">
        <w:rPr>
          <w:i/>
          <w:color w:val="000000"/>
          <w:lang w:val="fr-FR"/>
        </w:rPr>
        <w:t>LI/A/35/1).</w:t>
      </w:r>
    </w:p>
    <w:p w:rsidR="00653EF6" w:rsidRPr="007C3B45" w:rsidRDefault="00575EF9" w:rsidP="00E10B74">
      <w:pPr>
        <w:pStyle w:val="Endofdocument-Annex"/>
        <w:spacing w:before="720"/>
        <w:rPr>
          <w:lang w:val="fr-FR"/>
        </w:rPr>
        <w:sectPr w:rsidR="00653EF6" w:rsidRPr="007C3B45" w:rsidSect="00AC631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75EF9">
        <w:rPr>
          <w:color w:val="000000"/>
          <w:lang w:val="fr-FR"/>
        </w:rPr>
        <w:t>[Le document</w:t>
      </w:r>
      <w:r w:rsidR="00470E49">
        <w:rPr>
          <w:color w:val="000000"/>
          <w:lang w:val="fr-FR"/>
        </w:rPr>
        <w:t> </w:t>
      </w:r>
      <w:r w:rsidRPr="00575EF9">
        <w:rPr>
          <w:color w:val="000000"/>
          <w:lang w:val="fr-FR"/>
        </w:rPr>
        <w:t>LI/WG/DEV</w:t>
      </w:r>
      <w:r w:rsidR="00470E49">
        <w:rPr>
          <w:color w:val="000000"/>
          <w:lang w:val="fr-FR"/>
        </w:rPr>
        <w:noBreakHyphen/>
      </w:r>
      <w:r w:rsidRPr="00575EF9">
        <w:rPr>
          <w:color w:val="000000"/>
          <w:lang w:val="fr-FR"/>
        </w:rPr>
        <w:t>SY</w:t>
      </w:r>
      <w:r w:rsidR="003B6563">
        <w:rPr>
          <w:color w:val="000000"/>
          <w:lang w:val="fr-FR"/>
        </w:rPr>
        <w:t>S</w:t>
      </w:r>
      <w:r w:rsidRPr="00575EF9">
        <w:rPr>
          <w:color w:val="000000"/>
          <w:lang w:val="fr-FR"/>
        </w:rPr>
        <w:t>/1/4 suit]</w:t>
      </w:r>
    </w:p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A3091C" w:rsidRPr="00C0224E" w:rsidTr="001F28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091C" w:rsidRPr="00C0224E" w:rsidRDefault="00A3091C" w:rsidP="001F282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091C" w:rsidRPr="00C0224E" w:rsidRDefault="00A3091C" w:rsidP="001F282C">
            <w:r w:rsidRPr="00C0224E">
              <w:rPr>
                <w:noProof/>
                <w:lang w:eastAsia="en-US"/>
              </w:rPr>
              <w:drawing>
                <wp:inline distT="0" distB="0" distL="0" distR="0" wp14:anchorId="36C25A8A" wp14:editId="59182A9C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091C" w:rsidRPr="00C0224E" w:rsidRDefault="00A3091C" w:rsidP="001F282C">
            <w:pPr>
              <w:jc w:val="right"/>
            </w:pPr>
            <w:r w:rsidRPr="00C0224E">
              <w:rPr>
                <w:b/>
                <w:sz w:val="40"/>
                <w:szCs w:val="40"/>
              </w:rPr>
              <w:t>F</w:t>
            </w:r>
          </w:p>
        </w:tc>
      </w:tr>
      <w:tr w:rsidR="00A3091C" w:rsidRPr="00C0224E" w:rsidTr="001F282C">
        <w:trPr>
          <w:trHeight w:hRule="exact" w:val="340"/>
        </w:trPr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091C" w:rsidRPr="00C0224E" w:rsidRDefault="00A3091C" w:rsidP="001F28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224E">
              <w:rPr>
                <w:rFonts w:ascii="Arial Black" w:hAnsi="Arial Black"/>
                <w:caps/>
                <w:sz w:val="15"/>
              </w:rPr>
              <w:t>LI/WG/DEV</w:t>
            </w:r>
            <w:r>
              <w:rPr>
                <w:rFonts w:ascii="Arial Black" w:hAnsi="Arial Black"/>
                <w:caps/>
                <w:sz w:val="15"/>
              </w:rPr>
              <w:noBreakHyphen/>
            </w:r>
            <w:r w:rsidRPr="00C0224E">
              <w:rPr>
                <w:rFonts w:ascii="Arial Black" w:hAnsi="Arial Black"/>
                <w:caps/>
                <w:sz w:val="15"/>
              </w:rPr>
              <w:t xml:space="preserve">SYS/1/4  </w:t>
            </w:r>
          </w:p>
        </w:tc>
      </w:tr>
      <w:tr w:rsidR="00A3091C" w:rsidRPr="00C0224E" w:rsidTr="001F282C">
        <w:trPr>
          <w:trHeight w:hRule="exact" w:val="170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091C" w:rsidRPr="00C0224E" w:rsidRDefault="00A3091C" w:rsidP="001F28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224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C0224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3091C" w:rsidRPr="00C0224E" w:rsidTr="001F282C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A3091C" w:rsidRPr="00C0224E" w:rsidRDefault="00A3091C" w:rsidP="001F28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224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C0224E">
              <w:rPr>
                <w:rFonts w:ascii="Arial Black" w:hAnsi="Arial Black"/>
                <w:caps/>
                <w:sz w:val="15"/>
              </w:rPr>
              <w:t xml:space="preserve"> 12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C0224E">
              <w:rPr>
                <w:rFonts w:ascii="Arial Black" w:hAnsi="Arial Black"/>
                <w:caps/>
                <w:sz w:val="15"/>
              </w:rPr>
              <w:t>juin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C0224E">
              <w:rPr>
                <w:rFonts w:ascii="Arial Black" w:hAnsi="Arial Black"/>
                <w:caps/>
                <w:sz w:val="15"/>
              </w:rPr>
              <w:t>2018</w:t>
            </w:r>
          </w:p>
        </w:tc>
      </w:tr>
    </w:tbl>
    <w:p w:rsidR="00A3091C" w:rsidRPr="00356034" w:rsidRDefault="00A3091C" w:rsidP="0053038D">
      <w:pPr>
        <w:pStyle w:val="Heading1"/>
        <w:spacing w:before="1200"/>
        <w:rPr>
          <w:lang w:val="fr-FR"/>
        </w:rPr>
      </w:pPr>
      <w:r w:rsidRPr="00356034">
        <w:rPr>
          <w:lang w:val="fr-FR"/>
        </w:rPr>
        <w:t>Groupe de travail sur le développement du système de Lisbonne</w:t>
      </w:r>
    </w:p>
    <w:p w:rsidR="00A3091C" w:rsidRPr="00356034" w:rsidRDefault="00A3091C" w:rsidP="00A3091C">
      <w:pPr>
        <w:rPr>
          <w:b/>
          <w:sz w:val="24"/>
          <w:szCs w:val="24"/>
          <w:lang w:val="fr-FR"/>
        </w:rPr>
      </w:pPr>
      <w:r w:rsidRPr="00356034">
        <w:rPr>
          <w:b/>
          <w:sz w:val="24"/>
          <w:szCs w:val="24"/>
          <w:lang w:val="fr-FR"/>
        </w:rPr>
        <w:t>Première session</w:t>
      </w:r>
    </w:p>
    <w:p w:rsidR="00A3091C" w:rsidRPr="00356034" w:rsidRDefault="00A3091C" w:rsidP="00A3091C">
      <w:pPr>
        <w:rPr>
          <w:b/>
          <w:sz w:val="24"/>
          <w:szCs w:val="24"/>
          <w:lang w:val="fr-FR"/>
        </w:rPr>
      </w:pPr>
      <w:r w:rsidRPr="00356034">
        <w:rPr>
          <w:b/>
          <w:sz w:val="24"/>
          <w:szCs w:val="24"/>
          <w:lang w:val="fr-FR"/>
        </w:rPr>
        <w:t>Genève, 11 et 12</w:t>
      </w:r>
      <w:r>
        <w:rPr>
          <w:b/>
          <w:sz w:val="24"/>
          <w:szCs w:val="24"/>
          <w:lang w:val="fr-FR"/>
        </w:rPr>
        <w:t> </w:t>
      </w:r>
      <w:r w:rsidRPr="00356034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356034">
        <w:rPr>
          <w:b/>
          <w:sz w:val="24"/>
          <w:szCs w:val="24"/>
          <w:lang w:val="fr-FR"/>
        </w:rPr>
        <w:t>2018</w:t>
      </w:r>
    </w:p>
    <w:p w:rsidR="00A3091C" w:rsidRPr="00356034" w:rsidRDefault="00A3091C" w:rsidP="0053038D">
      <w:pPr>
        <w:spacing w:before="720" w:after="360"/>
        <w:rPr>
          <w:caps/>
          <w:sz w:val="24"/>
          <w:lang w:val="fr-FR"/>
        </w:rPr>
      </w:pPr>
      <w:r w:rsidRPr="00356034">
        <w:rPr>
          <w:caps/>
          <w:sz w:val="24"/>
          <w:lang w:val="fr-FR"/>
        </w:rPr>
        <w:t>résumé présenté par le président</w:t>
      </w:r>
    </w:p>
    <w:p w:rsidR="00A3091C" w:rsidRPr="00356034" w:rsidRDefault="00A3091C" w:rsidP="0053038D">
      <w:pPr>
        <w:spacing w:after="960"/>
        <w:rPr>
          <w:i/>
          <w:lang w:val="fr-FR"/>
        </w:rPr>
      </w:pPr>
      <w:r>
        <w:rPr>
          <w:i/>
          <w:lang w:val="fr-FR"/>
        </w:rPr>
        <w:t>Adopté par le groupe de travail</w:t>
      </w:r>
    </w:p>
    <w:p w:rsidR="00A3091C" w:rsidRPr="00E10B74" w:rsidRDefault="00A3091C" w:rsidP="00E10B74">
      <w:pPr>
        <w:pStyle w:val="ONUMFS"/>
        <w:numPr>
          <w:ilvl w:val="0"/>
          <w:numId w:val="13"/>
        </w:numPr>
        <w:rPr>
          <w:lang w:val="fr-FR"/>
        </w:rPr>
      </w:pPr>
      <w:r w:rsidRPr="00E10B74">
        <w:rPr>
          <w:lang w:val="fr-FR"/>
        </w:rPr>
        <w:t>Le Groupe de travail sur le développement du système de Lisbonne (ci</w:t>
      </w:r>
      <w:r w:rsidRPr="00E10B74">
        <w:rPr>
          <w:lang w:val="fr-FR"/>
        </w:rPr>
        <w:noBreakHyphen/>
        <w:t>après dénommé “groupe de travail”) s’est réuni à Genève les 11 et 12 juin 2018.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Les parties contractantes ci</w:t>
      </w:r>
      <w:r>
        <w:rPr>
          <w:lang w:val="fr-FR"/>
        </w:rPr>
        <w:noBreakHyphen/>
      </w:r>
      <w:r w:rsidRPr="00356034">
        <w:rPr>
          <w:lang w:val="fr-FR"/>
        </w:rPr>
        <w:t>après de l</w:t>
      </w:r>
      <w:r>
        <w:rPr>
          <w:lang w:val="fr-FR"/>
        </w:rPr>
        <w:t>’</w:t>
      </w:r>
      <w:r w:rsidRPr="00356034">
        <w:rPr>
          <w:lang w:val="fr-FR"/>
        </w:rPr>
        <w:t>Union de Lisbonne étaient représentées à la session</w:t>
      </w:r>
      <w:r>
        <w:rPr>
          <w:lang w:val="fr-FR"/>
        </w:rPr>
        <w:t> :</w:t>
      </w:r>
      <w:r w:rsidRPr="00356034">
        <w:rPr>
          <w:lang w:val="fr-FR"/>
        </w:rPr>
        <w:t xml:space="preserve"> Algérie, Bulgarie, France, Gabon, Géorgie, Hongrie, Iran (République islamique d</w:t>
      </w:r>
      <w:r>
        <w:rPr>
          <w:lang w:val="fr-FR"/>
        </w:rPr>
        <w:t>’</w:t>
      </w:r>
      <w:r w:rsidRPr="00356034">
        <w:rPr>
          <w:lang w:val="fr-FR"/>
        </w:rPr>
        <w:t>), Israël, Italie, Mexique, Pérou, Portugal, République populaire démocratique de Corée, République tchèque (14).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Les États ci</w:t>
      </w:r>
      <w:r>
        <w:rPr>
          <w:lang w:val="fr-FR"/>
        </w:rPr>
        <w:noBreakHyphen/>
      </w:r>
      <w:r w:rsidRPr="00356034">
        <w:rPr>
          <w:lang w:val="fr-FR"/>
        </w:rPr>
        <w:t>après étaient représentés en qualité d</w:t>
      </w:r>
      <w:r>
        <w:rPr>
          <w:lang w:val="fr-FR"/>
        </w:rPr>
        <w:t>’</w:t>
      </w:r>
      <w:r w:rsidRPr="00356034">
        <w:rPr>
          <w:lang w:val="fr-FR"/>
        </w:rPr>
        <w:t>observateurs</w:t>
      </w:r>
      <w:r>
        <w:rPr>
          <w:lang w:val="fr-FR"/>
        </w:rPr>
        <w:t> :</w:t>
      </w:r>
      <w:r w:rsidRPr="00356034">
        <w:rPr>
          <w:lang w:val="fr-FR"/>
        </w:rPr>
        <w:t xml:space="preserve"> Allemagne, </w:t>
      </w:r>
      <w:r>
        <w:rPr>
          <w:lang w:val="fr-FR"/>
        </w:rPr>
        <w:t>Arabie saoudite</w:t>
      </w:r>
      <w:r w:rsidRPr="00356034">
        <w:rPr>
          <w:lang w:val="fr-FR"/>
        </w:rPr>
        <w:t>, Australie, Espagne, États</w:t>
      </w:r>
      <w:r>
        <w:rPr>
          <w:lang w:val="fr-FR"/>
        </w:rPr>
        <w:noBreakHyphen/>
      </w:r>
      <w:r w:rsidRPr="00356034">
        <w:rPr>
          <w:lang w:val="fr-FR"/>
        </w:rPr>
        <w:t>Unis d</w:t>
      </w:r>
      <w:r>
        <w:rPr>
          <w:lang w:val="fr-FR"/>
        </w:rPr>
        <w:t>’</w:t>
      </w:r>
      <w:r w:rsidRPr="00356034">
        <w:rPr>
          <w:lang w:val="fr-FR"/>
        </w:rPr>
        <w:t>Amérique, Éthiopie, Fédération de Russie, Guatemala, Inde, Japon, Koweït, Maroc, Nigéria, Ouganda, République démocratique du Congo, République de Corée, République dominicaine, Roumanie, Sénégal, Suisse, Thaïlande, Turquie, Zimbabwe (23).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Des représentants des organisations internationales intergouvernementales ci</w:t>
      </w:r>
      <w:r>
        <w:rPr>
          <w:lang w:val="fr-FR"/>
        </w:rPr>
        <w:noBreakHyphen/>
      </w:r>
      <w:r w:rsidRPr="00356034">
        <w:rPr>
          <w:lang w:val="fr-FR"/>
        </w:rPr>
        <w:t>après ont pris part à la session en qualité d</w:t>
      </w:r>
      <w:r>
        <w:rPr>
          <w:lang w:val="fr-FR"/>
        </w:rPr>
        <w:t>’</w:t>
      </w:r>
      <w:r w:rsidRPr="00356034">
        <w:rPr>
          <w:lang w:val="fr-FR"/>
        </w:rPr>
        <w:t>observateurs</w:t>
      </w:r>
      <w:r>
        <w:rPr>
          <w:lang w:val="fr-FR"/>
        </w:rPr>
        <w:t> :</w:t>
      </w:r>
      <w:r w:rsidRPr="00356034">
        <w:rPr>
          <w:lang w:val="fr-FR"/>
        </w:rPr>
        <w:t xml:space="preserve"> Groupe des États d</w:t>
      </w:r>
      <w:r>
        <w:rPr>
          <w:lang w:val="fr-FR"/>
        </w:rPr>
        <w:t>’</w:t>
      </w:r>
      <w:r w:rsidRPr="00356034">
        <w:rPr>
          <w:lang w:val="fr-FR"/>
        </w:rPr>
        <w:t xml:space="preserve">Afrique, des Caraïbes et du Pacifique (ACP GROUP), Organisation de la coopération islamique (OCI), Organisation des </w:t>
      </w:r>
      <w:r>
        <w:rPr>
          <w:lang w:val="fr-FR"/>
        </w:rPr>
        <w:t>Nations Unies</w:t>
      </w:r>
      <w:r w:rsidRPr="00356034">
        <w:rPr>
          <w:lang w:val="fr-FR"/>
        </w:rPr>
        <w:t xml:space="preserve"> pour l</w:t>
      </w:r>
      <w:r>
        <w:rPr>
          <w:lang w:val="fr-FR"/>
        </w:rPr>
        <w:t>’</w:t>
      </w:r>
      <w:r w:rsidRPr="00356034">
        <w:rPr>
          <w:lang w:val="fr-FR"/>
        </w:rPr>
        <w:t>alimentation et l</w:t>
      </w:r>
      <w:r>
        <w:rPr>
          <w:lang w:val="fr-FR"/>
        </w:rPr>
        <w:t>’</w:t>
      </w:r>
      <w:r w:rsidRPr="00356034">
        <w:rPr>
          <w:lang w:val="fr-FR"/>
        </w:rPr>
        <w:t>agriculture (FAO), Organisation mondiale du commerce (OMC), Union économique et monétaire ouest</w:t>
      </w:r>
      <w:r>
        <w:rPr>
          <w:lang w:val="fr-FR"/>
        </w:rPr>
        <w:noBreakHyphen/>
      </w:r>
      <w:r w:rsidRPr="00356034">
        <w:rPr>
          <w:lang w:val="fr-FR"/>
        </w:rPr>
        <w:t>africaine (UEMOA), Union européenne (UE) (6).</w:t>
      </w:r>
    </w:p>
    <w:p w:rsidR="00A3091C" w:rsidRPr="00356034" w:rsidRDefault="00A3091C" w:rsidP="00A3091C">
      <w:pPr>
        <w:pStyle w:val="ONUMFS"/>
        <w:keepNext/>
        <w:keepLines/>
        <w:rPr>
          <w:lang w:val="fr-FR"/>
        </w:rPr>
      </w:pPr>
      <w:r w:rsidRPr="00356034">
        <w:rPr>
          <w:lang w:val="fr-FR"/>
        </w:rPr>
        <w:t>Des représentants des organisations internationales non gouvernementales (ONG) ci</w:t>
      </w:r>
      <w:r>
        <w:rPr>
          <w:lang w:val="fr-FR"/>
        </w:rPr>
        <w:noBreakHyphen/>
      </w:r>
      <w:r w:rsidRPr="00356034">
        <w:rPr>
          <w:lang w:val="fr-FR"/>
        </w:rPr>
        <w:t>après ont pris part à la session en qualité d</w:t>
      </w:r>
      <w:r>
        <w:rPr>
          <w:lang w:val="fr-FR"/>
        </w:rPr>
        <w:t>’</w:t>
      </w:r>
      <w:r w:rsidRPr="00356034">
        <w:rPr>
          <w:lang w:val="fr-FR"/>
        </w:rPr>
        <w:t>observateurs</w:t>
      </w:r>
      <w:r>
        <w:rPr>
          <w:lang w:val="fr-FR"/>
        </w:rPr>
        <w:t> :</w:t>
      </w:r>
      <w:r w:rsidRPr="00356034">
        <w:rPr>
          <w:lang w:val="fr-FR"/>
        </w:rPr>
        <w:t xml:space="preserve"> Association internationale des juristes du droit de la vigne et du vin (AIDV), Association internationale pour les marques (INTA), Association romande de propriété intellectuelle (AROPI), Centre d</w:t>
      </w:r>
      <w:r>
        <w:rPr>
          <w:lang w:val="fr-FR"/>
        </w:rPr>
        <w:t>’</w:t>
      </w:r>
      <w:r w:rsidRPr="00356034">
        <w:rPr>
          <w:lang w:val="fr-FR"/>
        </w:rPr>
        <w:t xml:space="preserve">études internationales de la propriété intellectuelle (CEIPI), </w:t>
      </w:r>
      <w:proofErr w:type="spellStart"/>
      <w:r w:rsidRPr="00356034">
        <w:rPr>
          <w:lang w:val="fr-FR"/>
        </w:rPr>
        <w:t>Health</w:t>
      </w:r>
      <w:proofErr w:type="spellEnd"/>
      <w:r w:rsidRPr="00356034">
        <w:rPr>
          <w:lang w:val="fr-FR"/>
        </w:rPr>
        <w:t xml:space="preserve"> and </w:t>
      </w:r>
      <w:proofErr w:type="spellStart"/>
      <w:r w:rsidRPr="00356034">
        <w:rPr>
          <w:lang w:val="fr-FR"/>
        </w:rPr>
        <w:t>Environment</w:t>
      </w:r>
      <w:proofErr w:type="spellEnd"/>
      <w:r w:rsidRPr="00356034">
        <w:rPr>
          <w:lang w:val="fr-FR"/>
        </w:rPr>
        <w:t xml:space="preserve"> Program (HEP), International </w:t>
      </w:r>
      <w:proofErr w:type="spellStart"/>
      <w:r w:rsidRPr="00356034">
        <w:rPr>
          <w:lang w:val="fr-FR"/>
        </w:rPr>
        <w:t>Intellectual</w:t>
      </w:r>
      <w:proofErr w:type="spellEnd"/>
      <w:r w:rsidRPr="00356034">
        <w:rPr>
          <w:lang w:val="fr-FR"/>
        </w:rPr>
        <w:t xml:space="preserve"> </w:t>
      </w:r>
      <w:proofErr w:type="spellStart"/>
      <w:r w:rsidRPr="00356034">
        <w:rPr>
          <w:lang w:val="fr-FR"/>
        </w:rPr>
        <w:t>Property</w:t>
      </w:r>
      <w:proofErr w:type="spellEnd"/>
      <w:r w:rsidRPr="00356034">
        <w:rPr>
          <w:lang w:val="fr-FR"/>
        </w:rPr>
        <w:t xml:space="preserve"> </w:t>
      </w:r>
      <w:proofErr w:type="spellStart"/>
      <w:r w:rsidRPr="00356034">
        <w:rPr>
          <w:lang w:val="fr-FR"/>
        </w:rPr>
        <w:t>Commercialization</w:t>
      </w:r>
      <w:proofErr w:type="spellEnd"/>
      <w:r w:rsidRPr="00356034">
        <w:rPr>
          <w:lang w:val="fr-FR"/>
        </w:rPr>
        <w:t xml:space="preserve"> Council (IIPCC), Organisation pour un réseau international d</w:t>
      </w:r>
      <w:r>
        <w:rPr>
          <w:lang w:val="fr-FR"/>
        </w:rPr>
        <w:t>’</w:t>
      </w:r>
      <w:r w:rsidRPr="00356034">
        <w:rPr>
          <w:lang w:val="fr-FR"/>
        </w:rPr>
        <w:t>indications géographiques (</w:t>
      </w:r>
      <w:proofErr w:type="spellStart"/>
      <w:r w:rsidRPr="00356034">
        <w:rPr>
          <w:lang w:val="fr-FR"/>
        </w:rPr>
        <w:t>oriGIn</w:t>
      </w:r>
      <w:proofErr w:type="spellEnd"/>
      <w:r w:rsidRPr="00356034">
        <w:rPr>
          <w:lang w:val="fr-FR"/>
        </w:rPr>
        <w:t>) (7).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La liste des participants figure dans le document LI/WG/DEV</w:t>
      </w:r>
      <w:r>
        <w:rPr>
          <w:lang w:val="fr-FR"/>
        </w:rPr>
        <w:noBreakHyphen/>
      </w:r>
      <w:r w:rsidRPr="00356034">
        <w:rPr>
          <w:lang w:val="fr-FR"/>
        </w:rPr>
        <w:t>SYS/1/INF/1</w:t>
      </w:r>
      <w:r>
        <w:rPr>
          <w:lang w:val="fr-FR"/>
        </w:rPr>
        <w:t> </w:t>
      </w:r>
      <w:proofErr w:type="spellStart"/>
      <w:r w:rsidRPr="00356034">
        <w:rPr>
          <w:lang w:val="fr-FR"/>
        </w:rPr>
        <w:t>Prov</w:t>
      </w:r>
      <w:proofErr w:type="spellEnd"/>
      <w:r w:rsidRPr="00356034">
        <w:rPr>
          <w:lang w:val="fr-FR"/>
        </w:rPr>
        <w:t>. 2</w:t>
      </w:r>
      <w:r>
        <w:rPr>
          <w:rStyle w:val="FootnoteReference"/>
          <w:lang w:val="fr-FR"/>
        </w:rPr>
        <w:footnoteReference w:id="2"/>
      </w:r>
      <w:r w:rsidRPr="00356034">
        <w:rPr>
          <w:lang w:val="fr-FR"/>
        </w:rPr>
        <w:t>.</w:t>
      </w:r>
    </w:p>
    <w:p w:rsidR="00A3091C" w:rsidRPr="005923B4" w:rsidRDefault="00A3091C" w:rsidP="00A3091C">
      <w:pPr>
        <w:pStyle w:val="Heading2"/>
        <w:rPr>
          <w:lang w:val="fr-FR"/>
        </w:rPr>
      </w:pPr>
      <w:r w:rsidRPr="005923B4">
        <w:rPr>
          <w:lang w:val="fr-FR"/>
        </w:rPr>
        <w:t>Point</w:t>
      </w:r>
      <w:r>
        <w:rPr>
          <w:lang w:val="fr-FR"/>
        </w:rPr>
        <w:t> </w:t>
      </w:r>
      <w:r w:rsidRPr="005923B4">
        <w:rPr>
          <w:lang w:val="fr-FR"/>
        </w:rPr>
        <w:t>1 de l</w:t>
      </w:r>
      <w:r>
        <w:rPr>
          <w:lang w:val="fr-FR"/>
        </w:rPr>
        <w:t>’</w:t>
      </w:r>
      <w:r w:rsidRPr="005923B4">
        <w:rPr>
          <w:lang w:val="fr-FR"/>
        </w:rPr>
        <w:t>ordre du jour</w:t>
      </w:r>
      <w:r>
        <w:rPr>
          <w:lang w:val="fr-FR"/>
        </w:rPr>
        <w:t> :</w:t>
      </w:r>
      <w:r w:rsidRPr="005923B4">
        <w:rPr>
          <w:lang w:val="fr-FR"/>
        </w:rPr>
        <w:t xml:space="preserve"> ouverture de la session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M.</w:t>
      </w:r>
      <w:r>
        <w:rPr>
          <w:lang w:val="fr-FR"/>
        </w:rPr>
        <w:t> </w:t>
      </w:r>
      <w:r w:rsidRPr="00356034">
        <w:rPr>
          <w:lang w:val="fr-FR"/>
        </w:rPr>
        <w:t>Francis Gurry, Directeur général, a ouvert la session.</w:t>
      </w:r>
    </w:p>
    <w:p w:rsidR="00A3091C" w:rsidRPr="0082321B" w:rsidRDefault="00A3091C" w:rsidP="00A3091C">
      <w:pPr>
        <w:pStyle w:val="Heading2"/>
        <w:rPr>
          <w:lang w:val="fr-FR"/>
        </w:rPr>
      </w:pPr>
      <w:r w:rsidRPr="0082321B">
        <w:rPr>
          <w:lang w:val="fr-FR"/>
        </w:rPr>
        <w:t>Point 2 de l’o</w:t>
      </w:r>
      <w:r>
        <w:rPr>
          <w:lang w:val="fr-FR"/>
        </w:rPr>
        <w:t>r</w:t>
      </w:r>
      <w:r w:rsidRPr="0082321B">
        <w:rPr>
          <w:lang w:val="fr-FR"/>
        </w:rPr>
        <w:t xml:space="preserve">dre du jour : élection </w:t>
      </w:r>
      <w:r>
        <w:rPr>
          <w:lang w:val="fr-FR"/>
        </w:rPr>
        <w:t>d’un</w:t>
      </w:r>
      <w:r w:rsidRPr="0082321B">
        <w:rPr>
          <w:lang w:val="fr-FR"/>
        </w:rPr>
        <w:t xml:space="preserve"> président et de deux vice</w:t>
      </w:r>
      <w:r>
        <w:rPr>
          <w:lang w:val="fr-FR"/>
        </w:rPr>
        <w:noBreakHyphen/>
      </w:r>
      <w:r w:rsidRPr="0082321B">
        <w:rPr>
          <w:lang w:val="fr-FR"/>
        </w:rPr>
        <w:t>présidents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M.</w:t>
      </w:r>
      <w:r>
        <w:rPr>
          <w:lang w:val="fr-FR"/>
        </w:rPr>
        <w:t> </w:t>
      </w:r>
      <w:proofErr w:type="spellStart"/>
      <w:r w:rsidRPr="00356034">
        <w:rPr>
          <w:lang w:val="fr-FR"/>
        </w:rPr>
        <w:t>Nikoloz</w:t>
      </w:r>
      <w:proofErr w:type="spellEnd"/>
      <w:r w:rsidR="00D16B5E">
        <w:rPr>
          <w:lang w:val="fr-FR"/>
        </w:rPr>
        <w:t> </w:t>
      </w:r>
      <w:proofErr w:type="spellStart"/>
      <w:r w:rsidRPr="00356034">
        <w:rPr>
          <w:lang w:val="fr-FR"/>
        </w:rPr>
        <w:t>Gogilidze</w:t>
      </w:r>
      <w:proofErr w:type="spellEnd"/>
      <w:r w:rsidRPr="00356034">
        <w:rPr>
          <w:lang w:val="fr-FR"/>
        </w:rPr>
        <w:t xml:space="preserve"> (Géorgie) a été élu à l</w:t>
      </w:r>
      <w:r>
        <w:rPr>
          <w:lang w:val="fr-FR"/>
        </w:rPr>
        <w:t>’</w:t>
      </w:r>
      <w:r w:rsidRPr="00356034">
        <w:rPr>
          <w:lang w:val="fr-FR"/>
        </w:rPr>
        <w:t>unanimité président du groupe de travail et M.</w:t>
      </w:r>
      <w:r>
        <w:rPr>
          <w:lang w:val="fr-FR"/>
        </w:rPr>
        <w:t> </w:t>
      </w:r>
      <w:r w:rsidRPr="00356034">
        <w:rPr>
          <w:lang w:val="fr-FR"/>
        </w:rPr>
        <w:t xml:space="preserve">Alfredo </w:t>
      </w:r>
      <w:proofErr w:type="spellStart"/>
      <w:r w:rsidRPr="00356034">
        <w:rPr>
          <w:lang w:val="fr-FR"/>
        </w:rPr>
        <w:t>Rendón</w:t>
      </w:r>
      <w:proofErr w:type="spellEnd"/>
      <w:r w:rsidR="00D16B5E">
        <w:rPr>
          <w:lang w:val="fr-FR"/>
        </w:rPr>
        <w:t> </w:t>
      </w:r>
      <w:proofErr w:type="spellStart"/>
      <w:r w:rsidRPr="00356034">
        <w:rPr>
          <w:lang w:val="fr-FR"/>
        </w:rPr>
        <w:t>Algara</w:t>
      </w:r>
      <w:proofErr w:type="spellEnd"/>
      <w:r w:rsidRPr="00356034">
        <w:rPr>
          <w:lang w:val="fr-FR"/>
        </w:rPr>
        <w:t xml:space="preserve"> (Mexique) et M.</w:t>
      </w:r>
      <w:r>
        <w:rPr>
          <w:lang w:val="fr-FR"/>
        </w:rPr>
        <w:t> </w:t>
      </w:r>
      <w:proofErr w:type="spellStart"/>
      <w:r w:rsidRPr="00356034">
        <w:rPr>
          <w:lang w:val="fr-FR"/>
        </w:rPr>
        <w:t>Cristóbal</w:t>
      </w:r>
      <w:proofErr w:type="spellEnd"/>
      <w:r w:rsidR="00D16B5E">
        <w:rPr>
          <w:lang w:val="fr-FR"/>
        </w:rPr>
        <w:t> </w:t>
      </w:r>
      <w:proofErr w:type="spellStart"/>
      <w:r w:rsidRPr="00356034">
        <w:rPr>
          <w:lang w:val="fr-FR"/>
        </w:rPr>
        <w:t>Melgar</w:t>
      </w:r>
      <w:proofErr w:type="spellEnd"/>
      <w:r w:rsidRPr="00356034">
        <w:rPr>
          <w:lang w:val="fr-FR"/>
        </w:rPr>
        <w:t xml:space="preserve"> (Pérou) ont été élus à l</w:t>
      </w:r>
      <w:r>
        <w:rPr>
          <w:lang w:val="fr-FR"/>
        </w:rPr>
        <w:t>’</w:t>
      </w:r>
      <w:r w:rsidRPr="00356034">
        <w:rPr>
          <w:lang w:val="fr-FR"/>
        </w:rPr>
        <w:t>unanimité vice</w:t>
      </w:r>
      <w:r>
        <w:rPr>
          <w:lang w:val="fr-FR"/>
        </w:rPr>
        <w:noBreakHyphen/>
      </w:r>
      <w:r w:rsidRPr="00356034">
        <w:rPr>
          <w:lang w:val="fr-FR"/>
        </w:rPr>
        <w:t>présidents.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Mme</w:t>
      </w:r>
      <w:r>
        <w:rPr>
          <w:lang w:val="fr-FR"/>
        </w:rPr>
        <w:t> </w:t>
      </w:r>
      <w:r w:rsidRPr="00356034">
        <w:rPr>
          <w:lang w:val="fr-FR"/>
        </w:rPr>
        <w:t>Alexandra</w:t>
      </w:r>
      <w:r w:rsidR="00D16B5E">
        <w:rPr>
          <w:lang w:val="fr-FR"/>
        </w:rPr>
        <w:t> </w:t>
      </w:r>
      <w:r w:rsidRPr="00356034">
        <w:rPr>
          <w:lang w:val="fr-FR"/>
        </w:rPr>
        <w:t>Grazioli (OMPI) a assuré le secrétariat du groupe de travail.</w:t>
      </w:r>
    </w:p>
    <w:p w:rsidR="00A3091C" w:rsidRPr="00356034" w:rsidRDefault="00A3091C" w:rsidP="00A3091C">
      <w:pPr>
        <w:pStyle w:val="Heading2"/>
        <w:rPr>
          <w:lang w:val="fr-FR"/>
        </w:rPr>
      </w:pPr>
      <w:r w:rsidRPr="005923B4">
        <w:rPr>
          <w:lang w:val="fr-FR"/>
        </w:rPr>
        <w:t>Point</w:t>
      </w:r>
      <w:r>
        <w:rPr>
          <w:lang w:val="fr-FR"/>
        </w:rPr>
        <w:t> </w:t>
      </w:r>
      <w:r w:rsidRPr="005923B4">
        <w:rPr>
          <w:lang w:val="fr-FR"/>
        </w:rPr>
        <w:t>3 de l</w:t>
      </w:r>
      <w:r>
        <w:rPr>
          <w:lang w:val="fr-FR"/>
        </w:rPr>
        <w:t>’</w:t>
      </w:r>
      <w:r w:rsidRPr="005923B4">
        <w:rPr>
          <w:lang w:val="fr-FR"/>
        </w:rPr>
        <w:t>ordre du jour</w:t>
      </w:r>
      <w:r>
        <w:rPr>
          <w:lang w:val="fr-FR"/>
        </w:rPr>
        <w:t> :</w:t>
      </w:r>
      <w:r w:rsidRPr="005923B4">
        <w:rPr>
          <w:lang w:val="fr-FR"/>
        </w:rPr>
        <w:t xml:space="preserve"> adoption de l</w:t>
      </w:r>
      <w:r>
        <w:rPr>
          <w:lang w:val="fr-FR"/>
        </w:rPr>
        <w:t>’</w:t>
      </w:r>
      <w:r w:rsidRPr="005923B4">
        <w:rPr>
          <w:lang w:val="fr-FR"/>
        </w:rPr>
        <w:t>ordre du jour</w:t>
      </w:r>
    </w:p>
    <w:p w:rsidR="00A3091C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Le groupe de travail a adopté le projet d</w:t>
      </w:r>
      <w:r>
        <w:rPr>
          <w:lang w:val="fr-FR"/>
        </w:rPr>
        <w:t>’</w:t>
      </w:r>
      <w:r w:rsidRPr="00356034">
        <w:rPr>
          <w:lang w:val="fr-FR"/>
        </w:rPr>
        <w:t>ordre du jour (document LI/WG/DEV</w:t>
      </w:r>
      <w:r>
        <w:rPr>
          <w:lang w:val="fr-FR"/>
        </w:rPr>
        <w:noBreakHyphen/>
      </w:r>
      <w:r w:rsidRPr="00356034">
        <w:rPr>
          <w:lang w:val="fr-FR"/>
        </w:rPr>
        <w:t>SYS/1/1</w:t>
      </w:r>
      <w:r>
        <w:rPr>
          <w:lang w:val="fr-FR"/>
        </w:rPr>
        <w:t> </w:t>
      </w:r>
      <w:proofErr w:type="spellStart"/>
      <w:r w:rsidRPr="00356034">
        <w:rPr>
          <w:lang w:val="fr-FR"/>
        </w:rPr>
        <w:t>Prov</w:t>
      </w:r>
      <w:proofErr w:type="spellEnd"/>
      <w:r w:rsidRPr="00356034">
        <w:rPr>
          <w:lang w:val="fr-FR"/>
        </w:rPr>
        <w:t>.) sans modification.</w:t>
      </w:r>
    </w:p>
    <w:p w:rsidR="00A3091C" w:rsidRPr="005923B4" w:rsidRDefault="00A3091C" w:rsidP="00A3091C">
      <w:pPr>
        <w:pStyle w:val="Heading2"/>
        <w:rPr>
          <w:lang w:val="fr-FR"/>
        </w:rPr>
      </w:pPr>
      <w:r w:rsidRPr="005923B4">
        <w:rPr>
          <w:lang w:val="fr-FR"/>
        </w:rPr>
        <w:t>Point</w:t>
      </w:r>
      <w:r>
        <w:rPr>
          <w:lang w:val="fr-FR"/>
        </w:rPr>
        <w:t> </w:t>
      </w:r>
      <w:r w:rsidRPr="005923B4">
        <w:rPr>
          <w:lang w:val="fr-FR"/>
        </w:rPr>
        <w:t xml:space="preserve">4 de </w:t>
      </w:r>
      <w:r>
        <w:rPr>
          <w:lang w:val="fr-FR"/>
        </w:rPr>
        <w:t>l’ordre</w:t>
      </w:r>
      <w:r w:rsidRPr="005923B4">
        <w:rPr>
          <w:lang w:val="fr-FR"/>
        </w:rPr>
        <w:t xml:space="preserve"> du jour</w:t>
      </w:r>
      <w:r>
        <w:rPr>
          <w:lang w:val="fr-FR"/>
        </w:rPr>
        <w:t> :</w:t>
      </w:r>
      <w:r w:rsidRPr="005923B4">
        <w:rPr>
          <w:lang w:val="fr-FR"/>
        </w:rPr>
        <w:t xml:space="preserve"> réduction de taxes prescrite par l</w:t>
      </w:r>
      <w:r>
        <w:rPr>
          <w:lang w:val="fr-FR"/>
        </w:rPr>
        <w:t>’</w:t>
      </w:r>
      <w:r w:rsidRPr="005923B4">
        <w:rPr>
          <w:lang w:val="fr-FR"/>
        </w:rPr>
        <w:t>article 7.3) de l</w:t>
      </w:r>
      <w:r>
        <w:rPr>
          <w:lang w:val="fr-FR"/>
        </w:rPr>
        <w:t>’A</w:t>
      </w:r>
      <w:r w:rsidRPr="005923B4">
        <w:rPr>
          <w:lang w:val="fr-FR"/>
        </w:rPr>
        <w:t>cte de Genève de l</w:t>
      </w:r>
      <w:r>
        <w:rPr>
          <w:lang w:val="fr-FR"/>
        </w:rPr>
        <w:t>’</w:t>
      </w:r>
      <w:r w:rsidRPr="005923B4">
        <w:rPr>
          <w:lang w:val="fr-FR"/>
        </w:rPr>
        <w:t>Arrangement de Lisbonne sur les appellations d</w:t>
      </w:r>
      <w:r>
        <w:rPr>
          <w:lang w:val="fr-FR"/>
        </w:rPr>
        <w:t>’</w:t>
      </w:r>
      <w:r w:rsidRPr="005923B4">
        <w:rPr>
          <w:lang w:val="fr-FR"/>
        </w:rPr>
        <w:t>origine et les indications géographiques</w:t>
      </w:r>
    </w:p>
    <w:p w:rsidR="00A3091C" w:rsidRPr="00356034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>Les délibérations ont eu lieu sur la base du document LI/WG/DEV</w:t>
      </w:r>
      <w:r>
        <w:rPr>
          <w:lang w:val="fr-FR"/>
        </w:rPr>
        <w:noBreakHyphen/>
      </w:r>
      <w:r w:rsidRPr="00356034">
        <w:rPr>
          <w:lang w:val="fr-FR"/>
        </w:rPr>
        <w:t>SYS/1/2.</w:t>
      </w:r>
    </w:p>
    <w:p w:rsidR="00A3091C" w:rsidRPr="00356034" w:rsidRDefault="00A3091C" w:rsidP="00A3091C">
      <w:pPr>
        <w:pStyle w:val="ONUMFS"/>
        <w:ind w:left="567"/>
        <w:rPr>
          <w:lang w:val="fr-FR"/>
        </w:rPr>
      </w:pPr>
      <w:r w:rsidRPr="00356034">
        <w:rPr>
          <w:lang w:val="fr-FR"/>
        </w:rPr>
        <w:t>Le groupe de travail est convenu de recommander à l</w:t>
      </w:r>
      <w:r>
        <w:rPr>
          <w:lang w:val="fr-FR"/>
        </w:rPr>
        <w:t>’</w:t>
      </w:r>
      <w:r w:rsidRPr="00356034">
        <w:rPr>
          <w:lang w:val="fr-FR"/>
        </w:rPr>
        <w:t>Assemblée de l</w:t>
      </w:r>
      <w:r>
        <w:rPr>
          <w:lang w:val="fr-FR"/>
        </w:rPr>
        <w:t>’</w:t>
      </w:r>
      <w:r w:rsidRPr="00356034">
        <w:rPr>
          <w:lang w:val="fr-FR"/>
        </w:rPr>
        <w:t>Union de Lisbonne</w:t>
      </w:r>
      <w:r>
        <w:rPr>
          <w:lang w:val="fr-FR"/>
        </w:rPr>
        <w:t> :</w:t>
      </w:r>
    </w:p>
    <w:p w:rsidR="00A3091C" w:rsidRPr="00356034" w:rsidRDefault="00A3091C" w:rsidP="00A3091C">
      <w:pPr>
        <w:pStyle w:val="ONUMFS"/>
        <w:numPr>
          <w:ilvl w:val="2"/>
          <w:numId w:val="6"/>
        </w:numPr>
        <w:rPr>
          <w:lang w:val="fr-FR"/>
        </w:rPr>
      </w:pPr>
      <w:r w:rsidRPr="00356034">
        <w:rPr>
          <w:lang w:val="fr-FR"/>
        </w:rPr>
        <w:t>de modifier le barème des taxes figurant dans le règlement d</w:t>
      </w:r>
      <w:r>
        <w:rPr>
          <w:lang w:val="fr-FR"/>
        </w:rPr>
        <w:t>’</w:t>
      </w:r>
      <w:r w:rsidRPr="00356034">
        <w:rPr>
          <w:lang w:val="fr-FR"/>
        </w:rPr>
        <w:t>exécution commun à l</w:t>
      </w:r>
      <w:r>
        <w:rPr>
          <w:lang w:val="fr-FR"/>
        </w:rPr>
        <w:t>’</w:t>
      </w:r>
      <w:r w:rsidRPr="00356034">
        <w:rPr>
          <w:lang w:val="fr-FR"/>
        </w:rPr>
        <w:t>Arrangement de Lisbonne et à l</w:t>
      </w:r>
      <w:r>
        <w:rPr>
          <w:lang w:val="fr-FR"/>
        </w:rPr>
        <w:t>’</w:t>
      </w:r>
      <w:r w:rsidRPr="00356034">
        <w:rPr>
          <w:lang w:val="fr-FR"/>
        </w:rPr>
        <w:t>Acte de Genève de l</w:t>
      </w:r>
      <w:r>
        <w:rPr>
          <w:lang w:val="fr-FR"/>
        </w:rPr>
        <w:t>’</w:t>
      </w:r>
      <w:r w:rsidRPr="00356034">
        <w:rPr>
          <w:lang w:val="fr-FR"/>
        </w:rPr>
        <w:t>Arrangement de Lisbonne de façon à ramener à 50% du montant prescrit les taxes pour les pays les moins avancés (PMA), ainsi qu</w:t>
      </w:r>
      <w:r>
        <w:rPr>
          <w:lang w:val="fr-FR"/>
        </w:rPr>
        <w:t>’</w:t>
      </w:r>
      <w:r w:rsidRPr="00356034">
        <w:rPr>
          <w:lang w:val="fr-FR"/>
        </w:rPr>
        <w:t>il est proposé dans le document LI/WG/DEV</w:t>
      </w:r>
      <w:r>
        <w:rPr>
          <w:lang w:val="fr-FR"/>
        </w:rPr>
        <w:noBreakHyphen/>
      </w:r>
      <w:r w:rsidRPr="00356034">
        <w:rPr>
          <w:lang w:val="fr-FR"/>
        </w:rPr>
        <w:t>SYS/1/2;</w:t>
      </w:r>
    </w:p>
    <w:p w:rsidR="00A3091C" w:rsidRPr="00356034" w:rsidRDefault="00A3091C" w:rsidP="00A3091C">
      <w:pPr>
        <w:pStyle w:val="ONUMFS"/>
        <w:numPr>
          <w:ilvl w:val="2"/>
          <w:numId w:val="6"/>
        </w:numPr>
        <w:rPr>
          <w:lang w:val="fr-FR"/>
        </w:rPr>
      </w:pPr>
      <w:r w:rsidRPr="00356034">
        <w:rPr>
          <w:lang w:val="fr-FR"/>
        </w:rPr>
        <w:t>d</w:t>
      </w:r>
      <w:r>
        <w:rPr>
          <w:lang w:val="fr-FR"/>
        </w:rPr>
        <w:t>’</w:t>
      </w:r>
      <w:r w:rsidRPr="00356034">
        <w:rPr>
          <w:lang w:val="fr-FR"/>
        </w:rPr>
        <w:t>appliquer la réduction de taxes indiquée au point</w:t>
      </w:r>
      <w:r>
        <w:rPr>
          <w:lang w:val="fr-FR"/>
        </w:rPr>
        <w:t> </w:t>
      </w:r>
      <w:r w:rsidRPr="00356034">
        <w:rPr>
          <w:lang w:val="fr-FR"/>
        </w:rPr>
        <w:t>i) pendant une durée de trois</w:t>
      </w:r>
      <w:r>
        <w:rPr>
          <w:lang w:val="fr-FR"/>
        </w:rPr>
        <w:t> </w:t>
      </w:r>
      <w:r w:rsidRPr="00356034">
        <w:rPr>
          <w:lang w:val="fr-FR"/>
        </w:rPr>
        <w:t>ans à compter de la date d</w:t>
      </w:r>
      <w:r>
        <w:rPr>
          <w:lang w:val="fr-FR"/>
        </w:rPr>
        <w:t>’</w:t>
      </w:r>
      <w:r w:rsidRPr="00356034">
        <w:rPr>
          <w:lang w:val="fr-FR"/>
        </w:rPr>
        <w:t>entrée en vigueur de l</w:t>
      </w:r>
      <w:r>
        <w:rPr>
          <w:lang w:val="fr-FR"/>
        </w:rPr>
        <w:t>’</w:t>
      </w:r>
      <w:r w:rsidRPr="00356034">
        <w:rPr>
          <w:lang w:val="fr-FR"/>
        </w:rPr>
        <w:t>Acte de Genève de l</w:t>
      </w:r>
      <w:r>
        <w:rPr>
          <w:lang w:val="fr-FR"/>
        </w:rPr>
        <w:t>’</w:t>
      </w:r>
      <w:r w:rsidRPr="00356034">
        <w:rPr>
          <w:lang w:val="fr-FR"/>
        </w:rPr>
        <w:t>Arrangement de Lisbonne;  et</w:t>
      </w:r>
    </w:p>
    <w:p w:rsidR="00A3091C" w:rsidRPr="00356034" w:rsidRDefault="00A3091C" w:rsidP="00A3091C">
      <w:pPr>
        <w:pStyle w:val="ONUMFS"/>
        <w:numPr>
          <w:ilvl w:val="2"/>
          <w:numId w:val="6"/>
        </w:numPr>
        <w:rPr>
          <w:lang w:val="fr-FR"/>
        </w:rPr>
      </w:pPr>
      <w:r w:rsidRPr="00356034">
        <w:rPr>
          <w:lang w:val="fr-FR"/>
        </w:rPr>
        <w:t>de réévaluer la question de la réduction de taxes dans le cadre du système de Lisbonne une année avant l</w:t>
      </w:r>
      <w:r>
        <w:rPr>
          <w:lang w:val="fr-FR"/>
        </w:rPr>
        <w:t>’</w:t>
      </w:r>
      <w:r w:rsidRPr="00356034">
        <w:rPr>
          <w:lang w:val="fr-FR"/>
        </w:rPr>
        <w:t>expiration du délai indiqué au point</w:t>
      </w:r>
      <w:r>
        <w:rPr>
          <w:lang w:val="fr-FR"/>
        </w:rPr>
        <w:t> </w:t>
      </w:r>
      <w:r w:rsidRPr="00356034">
        <w:rPr>
          <w:lang w:val="fr-FR"/>
        </w:rPr>
        <w:t>ii).</w:t>
      </w:r>
    </w:p>
    <w:p w:rsidR="00A3091C" w:rsidRPr="00356034" w:rsidRDefault="00A3091C" w:rsidP="00A3091C">
      <w:pPr>
        <w:pStyle w:val="ONUMFS"/>
        <w:rPr>
          <w:lang w:val="fr-FR"/>
        </w:rPr>
      </w:pPr>
      <w:r w:rsidRPr="00356034">
        <w:rPr>
          <w:lang w:val="fr-FR"/>
        </w:rPr>
        <w:t xml:space="preserve">Pour </w:t>
      </w:r>
      <w:r>
        <w:rPr>
          <w:lang w:val="fr-FR"/>
        </w:rPr>
        <w:t>plus de commodité</w:t>
      </w:r>
      <w:r w:rsidRPr="00356034">
        <w:rPr>
          <w:lang w:val="fr-FR"/>
        </w:rPr>
        <w:t>, l</w:t>
      </w:r>
      <w:r>
        <w:rPr>
          <w:lang w:val="fr-FR"/>
        </w:rPr>
        <w:t>’</w:t>
      </w:r>
      <w:r w:rsidRPr="00356034">
        <w:rPr>
          <w:lang w:val="fr-FR"/>
        </w:rPr>
        <w:t xml:space="preserve">annexe du </w:t>
      </w:r>
      <w:r>
        <w:rPr>
          <w:lang w:val="fr-FR"/>
        </w:rPr>
        <w:t xml:space="preserve">présent </w:t>
      </w:r>
      <w:r w:rsidRPr="00356034">
        <w:rPr>
          <w:lang w:val="fr-FR"/>
        </w:rPr>
        <w:t xml:space="preserve">résumé </w:t>
      </w:r>
      <w:r>
        <w:rPr>
          <w:lang w:val="fr-FR"/>
        </w:rPr>
        <w:t xml:space="preserve">établi </w:t>
      </w:r>
      <w:r w:rsidRPr="00356034">
        <w:rPr>
          <w:lang w:val="fr-FR"/>
        </w:rPr>
        <w:t>par le président contient les modification</w:t>
      </w:r>
      <w:r>
        <w:rPr>
          <w:lang w:val="fr-FR"/>
        </w:rPr>
        <w:t>s</w:t>
      </w:r>
      <w:r w:rsidRPr="00356034">
        <w:rPr>
          <w:lang w:val="fr-FR"/>
        </w:rPr>
        <w:t xml:space="preserve"> du barème des taxes recommandées dans la décision figurant au paragraphe</w:t>
      </w:r>
      <w:r>
        <w:rPr>
          <w:lang w:val="fr-FR"/>
        </w:rPr>
        <w:t> </w:t>
      </w:r>
      <w:r w:rsidRPr="00356034">
        <w:rPr>
          <w:lang w:val="fr-FR"/>
        </w:rPr>
        <w:t>12.</w:t>
      </w:r>
    </w:p>
    <w:p w:rsidR="00A3091C" w:rsidRPr="005923B4" w:rsidRDefault="00A3091C" w:rsidP="00A3091C">
      <w:pPr>
        <w:pStyle w:val="Heading2"/>
        <w:rPr>
          <w:lang w:val="fr-FR"/>
        </w:rPr>
      </w:pPr>
      <w:r w:rsidRPr="005923B4">
        <w:rPr>
          <w:lang w:val="fr-FR"/>
        </w:rPr>
        <w:t>Point</w:t>
      </w:r>
      <w:r>
        <w:rPr>
          <w:lang w:val="fr-FR"/>
        </w:rPr>
        <w:t> </w:t>
      </w:r>
      <w:r w:rsidRPr="005923B4">
        <w:rPr>
          <w:lang w:val="fr-FR"/>
        </w:rPr>
        <w:t>5 de l</w:t>
      </w:r>
      <w:r>
        <w:rPr>
          <w:lang w:val="fr-FR"/>
        </w:rPr>
        <w:t>’</w:t>
      </w:r>
      <w:r w:rsidRPr="005923B4">
        <w:rPr>
          <w:lang w:val="fr-FR"/>
        </w:rPr>
        <w:t>ordre du jour</w:t>
      </w:r>
      <w:r>
        <w:rPr>
          <w:lang w:val="fr-FR"/>
        </w:rPr>
        <w:t> :</w:t>
      </w:r>
      <w:r w:rsidRPr="005923B4">
        <w:rPr>
          <w:lang w:val="fr-FR"/>
        </w:rPr>
        <w:t xml:space="preserve"> viabilité financière de l</w:t>
      </w:r>
      <w:r>
        <w:rPr>
          <w:lang w:val="fr-FR"/>
        </w:rPr>
        <w:t>’</w:t>
      </w:r>
      <w:r w:rsidRPr="005923B4">
        <w:rPr>
          <w:lang w:val="fr-FR"/>
        </w:rPr>
        <w:t>Union de Lisbonne</w:t>
      </w:r>
    </w:p>
    <w:p w:rsidR="00A3091C" w:rsidRPr="00356034" w:rsidRDefault="00A3091C" w:rsidP="00A3091C">
      <w:pPr>
        <w:pStyle w:val="ONUMFS"/>
        <w:keepNext/>
        <w:keepLines/>
        <w:rPr>
          <w:lang w:val="fr-FR"/>
        </w:rPr>
      </w:pPr>
      <w:r w:rsidRPr="00356034">
        <w:rPr>
          <w:lang w:val="fr-FR"/>
        </w:rPr>
        <w:t>Les délibérations ont eu lieu sur la base du document LI/WG/DEV</w:t>
      </w:r>
      <w:r>
        <w:rPr>
          <w:lang w:val="fr-FR"/>
        </w:rPr>
        <w:noBreakHyphen/>
      </w:r>
      <w:r w:rsidRPr="00356034">
        <w:rPr>
          <w:lang w:val="fr-FR"/>
        </w:rPr>
        <w:t>SYS/1/3.</w:t>
      </w:r>
    </w:p>
    <w:p w:rsidR="00A3091C" w:rsidRPr="00356034" w:rsidRDefault="00A3091C" w:rsidP="00A3091C">
      <w:pPr>
        <w:pStyle w:val="ONUMFS"/>
        <w:keepNext/>
        <w:keepLines/>
        <w:ind w:left="567"/>
        <w:rPr>
          <w:lang w:val="fr-FR"/>
        </w:rPr>
      </w:pPr>
      <w:r w:rsidRPr="00356034">
        <w:rPr>
          <w:lang w:val="fr-FR"/>
        </w:rPr>
        <w:t>Le groupe de travail est convenu</w:t>
      </w:r>
      <w:r>
        <w:rPr>
          <w:lang w:val="fr-FR"/>
        </w:rPr>
        <w:t> :</w:t>
      </w:r>
    </w:p>
    <w:p w:rsidR="00A3091C" w:rsidRDefault="00A3091C" w:rsidP="00A3091C">
      <w:pPr>
        <w:pStyle w:val="ONUMFS"/>
        <w:keepNext/>
        <w:keepLines/>
        <w:numPr>
          <w:ilvl w:val="2"/>
          <w:numId w:val="6"/>
        </w:numPr>
        <w:rPr>
          <w:lang w:val="fr-FR" w:eastAsia="en-US"/>
        </w:rPr>
      </w:pPr>
      <w:r w:rsidRPr="00356034">
        <w:rPr>
          <w:lang w:val="fr-FR" w:eastAsia="en-US"/>
        </w:rPr>
        <w:t>de prendre note des déclarations faites sous le point</w:t>
      </w:r>
      <w:r>
        <w:rPr>
          <w:lang w:val="fr-FR" w:eastAsia="en-US"/>
        </w:rPr>
        <w:t> </w:t>
      </w:r>
      <w:r w:rsidRPr="00356034">
        <w:rPr>
          <w:lang w:val="fr-FR" w:eastAsia="en-US"/>
        </w:rPr>
        <w:t>5 de l</w:t>
      </w:r>
      <w:r>
        <w:rPr>
          <w:lang w:val="fr-FR" w:eastAsia="en-US"/>
        </w:rPr>
        <w:t>’</w:t>
      </w:r>
      <w:r w:rsidRPr="00356034">
        <w:rPr>
          <w:lang w:val="fr-FR" w:eastAsia="en-US"/>
        </w:rPr>
        <w:t>ordre du jour;  et</w:t>
      </w:r>
    </w:p>
    <w:p w:rsidR="00A3091C" w:rsidRPr="00356034" w:rsidRDefault="00A3091C" w:rsidP="00A3091C">
      <w:pPr>
        <w:pStyle w:val="ONUMFS"/>
        <w:keepNext/>
        <w:keepLines/>
        <w:numPr>
          <w:ilvl w:val="2"/>
          <w:numId w:val="6"/>
        </w:numPr>
        <w:rPr>
          <w:lang w:val="fr-FR" w:eastAsia="en-US"/>
        </w:rPr>
      </w:pPr>
      <w:r w:rsidRPr="00356034">
        <w:rPr>
          <w:lang w:val="fr-FR" w:eastAsia="en-US"/>
        </w:rPr>
        <w:t>de poursuivre l</w:t>
      </w:r>
      <w:r>
        <w:rPr>
          <w:lang w:val="fr-FR" w:eastAsia="en-US"/>
        </w:rPr>
        <w:t>’</w:t>
      </w:r>
      <w:r w:rsidRPr="00356034">
        <w:rPr>
          <w:lang w:val="fr-FR" w:eastAsia="en-US"/>
        </w:rPr>
        <w:t>examen des différentes options concernant la viabilité financière de l</w:t>
      </w:r>
      <w:r>
        <w:rPr>
          <w:lang w:val="fr-FR" w:eastAsia="en-US"/>
        </w:rPr>
        <w:t>’</w:t>
      </w:r>
      <w:r w:rsidRPr="00356034">
        <w:rPr>
          <w:lang w:val="fr-FR" w:eastAsia="en-US"/>
        </w:rPr>
        <w:t>Union de Lisbonne lors des futures sessions du groupe de travail et des réunions informelles que le président du groupe de travail pourrait demander au Secrétariat de convoquer.</w:t>
      </w:r>
    </w:p>
    <w:p w:rsidR="00A3091C" w:rsidRPr="005923B4" w:rsidRDefault="00A3091C" w:rsidP="00A3091C">
      <w:pPr>
        <w:pStyle w:val="Heading2"/>
        <w:rPr>
          <w:lang w:val="fr-FR"/>
        </w:rPr>
      </w:pPr>
      <w:r w:rsidRPr="005923B4">
        <w:rPr>
          <w:lang w:val="fr-FR"/>
        </w:rPr>
        <w:t>Point</w:t>
      </w:r>
      <w:r>
        <w:rPr>
          <w:lang w:val="fr-FR"/>
        </w:rPr>
        <w:t> </w:t>
      </w:r>
      <w:r w:rsidRPr="005923B4">
        <w:rPr>
          <w:lang w:val="fr-FR"/>
        </w:rPr>
        <w:t>6 de l</w:t>
      </w:r>
      <w:r>
        <w:rPr>
          <w:lang w:val="fr-FR"/>
        </w:rPr>
        <w:t>’</w:t>
      </w:r>
      <w:r w:rsidRPr="005923B4">
        <w:rPr>
          <w:lang w:val="fr-FR"/>
        </w:rPr>
        <w:t>ordre du jour</w:t>
      </w:r>
      <w:r>
        <w:rPr>
          <w:lang w:val="fr-FR"/>
        </w:rPr>
        <w:t> :</w:t>
      </w:r>
      <w:r w:rsidRPr="005923B4">
        <w:rPr>
          <w:lang w:val="fr-FR"/>
        </w:rPr>
        <w:t xml:space="preserve"> adoption du résumé présenté par le président</w:t>
      </w:r>
    </w:p>
    <w:p w:rsidR="00A3091C" w:rsidRPr="00356034" w:rsidRDefault="00A3091C" w:rsidP="00A309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356034">
        <w:rPr>
          <w:lang w:val="fr-FR"/>
        </w:rPr>
        <w:t>[16.</w:t>
      </w:r>
      <w:r w:rsidRPr="00356034">
        <w:rPr>
          <w:lang w:val="fr-FR"/>
        </w:rPr>
        <w:tab/>
        <w:t>Le groupe de travail a approuvé le résumé présenté par le président figurant dans le présent document.]</w:t>
      </w:r>
    </w:p>
    <w:p w:rsidR="00A3091C" w:rsidRPr="00356034" w:rsidRDefault="00A3091C" w:rsidP="00A3091C">
      <w:pPr>
        <w:pStyle w:val="Heading2"/>
        <w:rPr>
          <w:lang w:val="fr-FR"/>
        </w:rPr>
      </w:pPr>
      <w:r w:rsidRPr="00356034">
        <w:rPr>
          <w:lang w:val="fr-FR"/>
        </w:rPr>
        <w:t>Point</w:t>
      </w:r>
      <w:r>
        <w:rPr>
          <w:lang w:val="fr-FR"/>
        </w:rPr>
        <w:t> </w:t>
      </w:r>
      <w:r w:rsidRPr="00356034">
        <w:rPr>
          <w:lang w:val="fr-FR"/>
        </w:rPr>
        <w:t>7 de l</w:t>
      </w:r>
      <w:r>
        <w:rPr>
          <w:lang w:val="fr-FR"/>
        </w:rPr>
        <w:t>’</w:t>
      </w:r>
      <w:r w:rsidRPr="00356034">
        <w:rPr>
          <w:lang w:val="fr-FR"/>
        </w:rPr>
        <w:t>ordre du jour</w:t>
      </w:r>
      <w:r>
        <w:rPr>
          <w:lang w:val="fr-FR"/>
        </w:rPr>
        <w:t> :</w:t>
      </w:r>
      <w:r w:rsidRPr="00356034">
        <w:rPr>
          <w:lang w:val="fr-FR"/>
        </w:rPr>
        <w:t xml:space="preserve"> clôture de la session</w:t>
      </w:r>
    </w:p>
    <w:p w:rsidR="00A3091C" w:rsidRPr="005923B4" w:rsidRDefault="00A3091C" w:rsidP="00A3091C">
      <w:pPr>
        <w:pStyle w:val="ONUMFS"/>
        <w:numPr>
          <w:ilvl w:val="0"/>
          <w:numId w:val="12"/>
        </w:numPr>
        <w:rPr>
          <w:lang w:val="fr-FR"/>
        </w:rPr>
      </w:pPr>
      <w:r w:rsidRPr="005923B4">
        <w:rPr>
          <w:lang w:val="fr-FR"/>
        </w:rPr>
        <w:t>Le président a prononcé la clôture de la session le 12</w:t>
      </w:r>
      <w:r>
        <w:rPr>
          <w:lang w:val="fr-FR"/>
        </w:rPr>
        <w:t> </w:t>
      </w:r>
      <w:r w:rsidRPr="005923B4">
        <w:rPr>
          <w:lang w:val="fr-FR"/>
        </w:rPr>
        <w:t>juin</w:t>
      </w:r>
      <w:r>
        <w:rPr>
          <w:lang w:val="fr-FR"/>
        </w:rPr>
        <w:t> </w:t>
      </w:r>
      <w:r w:rsidRPr="005923B4">
        <w:rPr>
          <w:lang w:val="fr-FR"/>
        </w:rPr>
        <w:t>2018.</w:t>
      </w:r>
    </w:p>
    <w:p w:rsidR="00A3091C" w:rsidRPr="00356034" w:rsidRDefault="00A3091C" w:rsidP="003F3F8A">
      <w:pPr>
        <w:pStyle w:val="Endofdocument-Annex"/>
        <w:spacing w:before="720"/>
        <w:rPr>
          <w:lang w:val="fr-FR"/>
        </w:rPr>
      </w:pPr>
      <w:r w:rsidRPr="00356034">
        <w:rPr>
          <w:lang w:val="fr-FR"/>
        </w:rPr>
        <w:t>[L</w:t>
      </w:r>
      <w:r>
        <w:rPr>
          <w:lang w:val="fr-FR"/>
        </w:rPr>
        <w:t>’</w:t>
      </w:r>
      <w:r w:rsidRPr="00356034">
        <w:rPr>
          <w:lang w:val="fr-FR"/>
        </w:rPr>
        <w:t>annexe</w:t>
      </w:r>
      <w:r w:rsidR="003F3F8A">
        <w:rPr>
          <w:lang w:val="fr-FR"/>
        </w:rPr>
        <w:t xml:space="preserve"> </w:t>
      </w:r>
      <w:r w:rsidRPr="00356034">
        <w:rPr>
          <w:lang w:val="fr-FR"/>
        </w:rPr>
        <w:t>suit]</w:t>
      </w:r>
    </w:p>
    <w:p w:rsidR="00A3091C" w:rsidRPr="00356034" w:rsidRDefault="00A3091C" w:rsidP="00A3091C">
      <w:pPr>
        <w:rPr>
          <w:lang w:val="fr-FR"/>
        </w:rPr>
        <w:sectPr w:rsidR="00A3091C" w:rsidRPr="00356034" w:rsidSect="007D43E5">
          <w:headerReference w:type="default" r:id="rId12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3091C" w:rsidRPr="005923B4" w:rsidRDefault="00A3091C" w:rsidP="00A3091C">
      <w:pPr>
        <w:pStyle w:val="Heading2"/>
        <w:rPr>
          <w:lang w:val="fr-FR" w:eastAsia="en-US"/>
        </w:rPr>
      </w:pPr>
      <w:r w:rsidRPr="005923B4">
        <w:rPr>
          <w:lang w:val="fr-FR" w:eastAsia="en-US"/>
        </w:rPr>
        <w:t>Modification du barème des taxes figurant dans le règlement d</w:t>
      </w:r>
      <w:r>
        <w:rPr>
          <w:lang w:val="fr-FR" w:eastAsia="en-US"/>
        </w:rPr>
        <w:t>’</w:t>
      </w:r>
      <w:r w:rsidRPr="005923B4">
        <w:rPr>
          <w:lang w:val="fr-FR" w:eastAsia="en-US"/>
        </w:rPr>
        <w:t>exécution commun à l</w:t>
      </w:r>
      <w:r>
        <w:rPr>
          <w:lang w:val="fr-FR" w:eastAsia="en-US"/>
        </w:rPr>
        <w:t>’</w:t>
      </w:r>
      <w:r w:rsidRPr="005923B4">
        <w:rPr>
          <w:lang w:val="fr-FR" w:eastAsia="en-US"/>
        </w:rPr>
        <w:t>Arrangement de Lisbonne et à l</w:t>
      </w:r>
      <w:r>
        <w:rPr>
          <w:lang w:val="fr-FR" w:eastAsia="en-US"/>
        </w:rPr>
        <w:t>’</w:t>
      </w:r>
      <w:r w:rsidRPr="005923B4">
        <w:rPr>
          <w:lang w:val="fr-FR" w:eastAsia="en-US"/>
        </w:rPr>
        <w:t>Acte de Genève de</w:t>
      </w:r>
      <w:r>
        <w:rPr>
          <w:lang w:val="fr-FR" w:eastAsia="en-US"/>
        </w:rPr>
        <w:t> </w:t>
      </w:r>
      <w:r w:rsidRPr="005923B4">
        <w:rPr>
          <w:lang w:val="fr-FR" w:eastAsia="en-US"/>
        </w:rPr>
        <w:t>l</w:t>
      </w:r>
      <w:r>
        <w:rPr>
          <w:lang w:val="fr-FR" w:eastAsia="en-US"/>
        </w:rPr>
        <w:t>’</w:t>
      </w:r>
      <w:r w:rsidRPr="005923B4">
        <w:rPr>
          <w:lang w:val="fr-FR" w:eastAsia="en-US"/>
        </w:rPr>
        <w:t>Arrangement de Lisbonne</w:t>
      </w:r>
    </w:p>
    <w:p w:rsidR="00A3091C" w:rsidRPr="00356034" w:rsidRDefault="00A3091C" w:rsidP="00CF3063">
      <w:pPr>
        <w:keepNext/>
        <w:spacing w:before="720"/>
        <w:jc w:val="center"/>
        <w:rPr>
          <w:b/>
          <w:lang w:val="fr-FR"/>
        </w:rPr>
      </w:pPr>
      <w:r w:rsidRPr="00356034">
        <w:rPr>
          <w:b/>
          <w:lang w:val="fr-FR"/>
        </w:rPr>
        <w:t>Règle</w:t>
      </w:r>
      <w:r>
        <w:rPr>
          <w:b/>
          <w:lang w:val="fr-FR"/>
        </w:rPr>
        <w:t> </w:t>
      </w:r>
      <w:r w:rsidRPr="00356034">
        <w:rPr>
          <w:b/>
          <w:lang w:val="fr-FR"/>
        </w:rPr>
        <w:t>8</w:t>
      </w:r>
    </w:p>
    <w:p w:rsidR="00A3091C" w:rsidRPr="00356034" w:rsidRDefault="00A3091C" w:rsidP="00CF3063">
      <w:pPr>
        <w:keepNext/>
        <w:spacing w:after="240"/>
        <w:jc w:val="center"/>
        <w:rPr>
          <w:lang w:val="fr-FR"/>
        </w:rPr>
      </w:pPr>
      <w:r w:rsidRPr="00356034">
        <w:rPr>
          <w:lang w:val="fr-FR"/>
        </w:rPr>
        <w:t>Taxes</w:t>
      </w:r>
    </w:p>
    <w:p w:rsidR="00A3091C" w:rsidRPr="00356034" w:rsidRDefault="00A3091C" w:rsidP="00A3091C">
      <w:pPr>
        <w:keepNext/>
        <w:tabs>
          <w:tab w:val="left" w:pos="567"/>
          <w:tab w:val="left" w:pos="1134"/>
        </w:tabs>
        <w:rPr>
          <w:lang w:val="fr-FR"/>
        </w:rPr>
      </w:pPr>
      <w:r w:rsidRPr="00356034">
        <w:rPr>
          <w:lang w:val="fr-FR"/>
        </w:rPr>
        <w:t>1)</w:t>
      </w:r>
      <w:r w:rsidRPr="00356034">
        <w:rPr>
          <w:lang w:val="fr-FR"/>
        </w:rPr>
        <w:tab/>
      </w:r>
      <w:r w:rsidRPr="00356034">
        <w:rPr>
          <w:i/>
          <w:lang w:val="fr-FR"/>
        </w:rPr>
        <w:t xml:space="preserve">[Montant des taxes] </w:t>
      </w:r>
      <w:r w:rsidRPr="00356034">
        <w:rPr>
          <w:lang w:val="fr-FR"/>
        </w:rPr>
        <w:t>Le Bureau international perçoit les taxes suivantes, payables en francs suisses</w:t>
      </w:r>
      <w:r>
        <w:rPr>
          <w:lang w:val="fr-FR"/>
        </w:rPr>
        <w:t> :</w:t>
      </w:r>
    </w:p>
    <w:p w:rsidR="00A3091C" w:rsidRPr="00356034" w:rsidRDefault="00A3091C" w:rsidP="00A3091C">
      <w:pPr>
        <w:tabs>
          <w:tab w:val="left" w:pos="1134"/>
          <w:tab w:val="left" w:pos="1701"/>
          <w:tab w:val="right" w:pos="9355"/>
        </w:tabs>
        <w:rPr>
          <w:lang w:val="fr-FR"/>
        </w:rPr>
      </w:pPr>
      <w:r w:rsidRPr="00356034">
        <w:rPr>
          <w:lang w:val="fr-FR"/>
        </w:rPr>
        <w:tab/>
        <w:t>i)</w:t>
      </w:r>
      <w:r w:rsidRPr="00356034">
        <w:rPr>
          <w:lang w:val="fr-FR"/>
        </w:rPr>
        <w:tab/>
      </w:r>
      <w:r w:rsidRPr="00356034">
        <w:rPr>
          <w:rFonts w:eastAsia="Times New Roman"/>
          <w:sz w:val="21"/>
          <w:szCs w:val="21"/>
          <w:lang w:val="fr-FR" w:eastAsia="en-US"/>
        </w:rPr>
        <w:t>taxe d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enregistrement international</w:t>
      </w:r>
      <w:r w:rsidRPr="00356034">
        <w:rPr>
          <w:b/>
          <w:color w:val="FF0000"/>
          <w:u w:val="single"/>
          <w:vertAlign w:val="superscript"/>
          <w:lang w:val="fr-FR"/>
        </w:rPr>
        <w:t>[</w:t>
      </w:r>
      <w:r w:rsidRPr="00356034">
        <w:rPr>
          <w:b/>
          <w:color w:val="FF0000"/>
          <w:u w:val="single"/>
          <w:vertAlign w:val="superscript"/>
          <w:lang w:val="fr-FR"/>
        </w:rPr>
        <w:footnoteReference w:customMarkFollows="1" w:id="3"/>
        <w:sym w:font="Symbol" w:char="F02A"/>
      </w:r>
      <w:r w:rsidRPr="00356034">
        <w:rPr>
          <w:b/>
          <w:color w:val="FF0000"/>
          <w:u w:val="single"/>
          <w:vertAlign w:val="superscript"/>
          <w:lang w:val="fr-FR"/>
        </w:rPr>
        <w:t>]</w:t>
      </w:r>
      <w:r w:rsidRPr="00356034">
        <w:rPr>
          <w:lang w:val="fr-FR"/>
        </w:rPr>
        <w:tab/>
        <w:t>1000</w:t>
      </w:r>
    </w:p>
    <w:p w:rsidR="00A3091C" w:rsidRPr="00356034" w:rsidRDefault="00A3091C" w:rsidP="00A3091C">
      <w:pPr>
        <w:tabs>
          <w:tab w:val="left" w:pos="1134"/>
          <w:tab w:val="left" w:pos="1701"/>
          <w:tab w:val="right" w:pos="9355"/>
        </w:tabs>
        <w:rPr>
          <w:lang w:val="fr-FR"/>
        </w:rPr>
      </w:pPr>
      <w:r w:rsidRPr="00356034">
        <w:rPr>
          <w:lang w:val="fr-FR"/>
        </w:rPr>
        <w:tab/>
        <w:t>ii)</w:t>
      </w:r>
      <w:r w:rsidRPr="00356034">
        <w:rPr>
          <w:lang w:val="fr-FR"/>
        </w:rPr>
        <w:tab/>
      </w:r>
      <w:r w:rsidRPr="00356034">
        <w:rPr>
          <w:rFonts w:eastAsia="Times New Roman"/>
          <w:sz w:val="21"/>
          <w:szCs w:val="21"/>
          <w:lang w:val="fr-FR" w:eastAsia="en-US"/>
        </w:rPr>
        <w:t>taxe pour chaque modification d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un enregistrement international</w:t>
      </w:r>
      <w:r w:rsidRPr="00356034">
        <w:rPr>
          <w:b/>
          <w:color w:val="FF0000"/>
          <w:u w:val="single"/>
          <w:vertAlign w:val="superscript"/>
          <w:lang w:val="fr-FR"/>
        </w:rPr>
        <w:t>[</w:t>
      </w:r>
      <w:r w:rsidRPr="00356034">
        <w:rPr>
          <w:b/>
          <w:color w:val="FF0000"/>
          <w:u w:val="single"/>
          <w:vertAlign w:val="superscript"/>
          <w:lang w:val="fr-FR"/>
        </w:rPr>
        <w:footnoteReference w:customMarkFollows="1" w:id="4"/>
        <w:sym w:font="Symbol" w:char="F02A"/>
      </w:r>
      <w:r w:rsidRPr="00356034">
        <w:rPr>
          <w:b/>
          <w:color w:val="FF0000"/>
          <w:u w:val="single"/>
          <w:vertAlign w:val="superscript"/>
          <w:lang w:val="fr-FR"/>
        </w:rPr>
        <w:t>]</w:t>
      </w:r>
      <w:r w:rsidRPr="00356034">
        <w:rPr>
          <w:lang w:val="fr-FR"/>
        </w:rPr>
        <w:tab/>
        <w:t>500</w:t>
      </w:r>
    </w:p>
    <w:p w:rsidR="00A3091C" w:rsidRPr="00356034" w:rsidRDefault="00A3091C" w:rsidP="00A3091C">
      <w:pPr>
        <w:tabs>
          <w:tab w:val="left" w:pos="1134"/>
          <w:tab w:val="left" w:pos="1701"/>
          <w:tab w:val="right" w:pos="9355"/>
        </w:tabs>
        <w:rPr>
          <w:lang w:val="fr-FR"/>
        </w:rPr>
      </w:pPr>
      <w:r w:rsidRPr="00356034">
        <w:rPr>
          <w:lang w:val="fr-FR"/>
        </w:rPr>
        <w:tab/>
        <w:t>iii)</w:t>
      </w:r>
      <w:r w:rsidRPr="00356034">
        <w:rPr>
          <w:lang w:val="fr-FR"/>
        </w:rPr>
        <w:tab/>
      </w:r>
      <w:r w:rsidRPr="00356034">
        <w:rPr>
          <w:rFonts w:eastAsia="Times New Roman"/>
          <w:sz w:val="21"/>
          <w:szCs w:val="21"/>
          <w:lang w:val="fr-FR" w:eastAsia="en-US"/>
        </w:rPr>
        <w:t>taxe pour la fourniture d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un extrait du registre international</w:t>
      </w:r>
      <w:r w:rsidRPr="00356034">
        <w:rPr>
          <w:lang w:val="fr-FR"/>
        </w:rPr>
        <w:tab/>
        <w:t>150</w:t>
      </w:r>
    </w:p>
    <w:p w:rsidR="00A3091C" w:rsidRPr="00356034" w:rsidRDefault="00A3091C" w:rsidP="00A3091C">
      <w:pPr>
        <w:tabs>
          <w:tab w:val="left" w:pos="1134"/>
          <w:tab w:val="left" w:pos="1701"/>
          <w:tab w:val="right" w:pos="9355"/>
        </w:tabs>
        <w:rPr>
          <w:lang w:val="fr-FR"/>
        </w:rPr>
      </w:pPr>
      <w:r w:rsidRPr="00356034">
        <w:rPr>
          <w:lang w:val="fr-FR"/>
        </w:rPr>
        <w:tab/>
        <w:t>iv)</w:t>
      </w:r>
      <w:r w:rsidRPr="00356034">
        <w:rPr>
          <w:lang w:val="fr-FR"/>
        </w:rPr>
        <w:tab/>
      </w:r>
      <w:r w:rsidRPr="00356034">
        <w:rPr>
          <w:rFonts w:eastAsia="Times New Roman"/>
          <w:sz w:val="21"/>
          <w:szCs w:val="21"/>
          <w:lang w:val="fr-FR" w:eastAsia="en-US"/>
        </w:rPr>
        <w:t>taxe pour la fourniture d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une attestation ou de tout autre</w:t>
      </w:r>
      <w:r>
        <w:rPr>
          <w:rFonts w:eastAsia="Times New Roman"/>
          <w:sz w:val="21"/>
          <w:szCs w:val="21"/>
          <w:lang w:val="fr-FR" w:eastAsia="en-US"/>
        </w:rPr>
        <w:t xml:space="preserve"> </w:t>
      </w:r>
      <w:r w:rsidRPr="00356034">
        <w:rPr>
          <w:rFonts w:eastAsia="Times New Roman"/>
          <w:sz w:val="21"/>
          <w:szCs w:val="21"/>
          <w:lang w:val="fr-FR" w:eastAsia="en-US"/>
        </w:rPr>
        <w:t xml:space="preserve">renseignement </w:t>
      </w:r>
      <w:r>
        <w:rPr>
          <w:rFonts w:eastAsia="Times New Roman"/>
          <w:sz w:val="21"/>
          <w:szCs w:val="21"/>
          <w:lang w:val="fr-FR" w:eastAsia="en-US"/>
        </w:rPr>
        <w:br/>
      </w:r>
      <w:r w:rsidRPr="00356034">
        <w:rPr>
          <w:rFonts w:eastAsia="Times New Roman"/>
          <w:sz w:val="21"/>
          <w:szCs w:val="21"/>
          <w:lang w:val="fr-FR" w:eastAsia="en-US"/>
        </w:rPr>
        <w:t>par écrit sur le contenu du registre international</w:t>
      </w:r>
      <w:r w:rsidRPr="00356034">
        <w:rPr>
          <w:lang w:val="fr-FR"/>
        </w:rPr>
        <w:tab/>
        <w:t>100</w:t>
      </w:r>
    </w:p>
    <w:p w:rsidR="00A3091C" w:rsidRPr="00356034" w:rsidRDefault="00A3091C" w:rsidP="00A3091C">
      <w:pPr>
        <w:tabs>
          <w:tab w:val="left" w:pos="1134"/>
          <w:tab w:val="left" w:pos="1701"/>
          <w:tab w:val="left" w:pos="8640"/>
          <w:tab w:val="right" w:pos="9355"/>
        </w:tabs>
        <w:rPr>
          <w:lang w:val="fr-FR"/>
        </w:rPr>
      </w:pPr>
      <w:r w:rsidRPr="00356034">
        <w:rPr>
          <w:lang w:val="fr-FR"/>
        </w:rPr>
        <w:tab/>
        <w:t>v)</w:t>
      </w:r>
      <w:r w:rsidRPr="00356034">
        <w:rPr>
          <w:lang w:val="fr-FR"/>
        </w:rPr>
        <w:tab/>
      </w:r>
      <w:r w:rsidRPr="00356034">
        <w:rPr>
          <w:rFonts w:eastAsia="Times New Roman"/>
          <w:sz w:val="21"/>
          <w:szCs w:val="21"/>
          <w:lang w:val="fr-FR" w:eastAsia="en-US"/>
        </w:rPr>
        <w:t>taxes individuelles visées à l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alinéa 2</w:t>
      </w:r>
      <w:r w:rsidRPr="00356034">
        <w:rPr>
          <w:lang w:val="fr-FR"/>
        </w:rPr>
        <w:t>).</w:t>
      </w:r>
    </w:p>
    <w:p w:rsidR="00A3091C" w:rsidRPr="00356034" w:rsidRDefault="00A3091C" w:rsidP="00CF3063">
      <w:pPr>
        <w:tabs>
          <w:tab w:val="left" w:pos="1170"/>
        </w:tabs>
        <w:spacing w:before="240"/>
        <w:ind w:firstLine="567"/>
        <w:rPr>
          <w:szCs w:val="22"/>
          <w:lang w:val="fr-FR"/>
        </w:rPr>
      </w:pPr>
      <w:r w:rsidRPr="00356034">
        <w:rPr>
          <w:szCs w:val="22"/>
          <w:lang w:val="fr-FR"/>
        </w:rPr>
        <w:t>[…]</w:t>
      </w:r>
    </w:p>
    <w:p w:rsidR="00A3091C" w:rsidRPr="00356034" w:rsidRDefault="00A3091C" w:rsidP="00CF3063">
      <w:pPr>
        <w:spacing w:before="720"/>
        <w:ind w:left="5534" w:firstLine="431"/>
        <w:rPr>
          <w:szCs w:val="22"/>
          <w:lang w:val="fr-FR"/>
        </w:rPr>
      </w:pPr>
      <w:r w:rsidRPr="00356034">
        <w:rPr>
          <w:szCs w:val="22"/>
          <w:lang w:val="fr-FR"/>
        </w:rPr>
        <w:t>[</w:t>
      </w:r>
      <w:r w:rsidRPr="00356034">
        <w:rPr>
          <w:rFonts w:eastAsia="Times New Roman"/>
          <w:sz w:val="21"/>
          <w:szCs w:val="21"/>
          <w:lang w:val="fr-FR" w:eastAsia="en-US"/>
        </w:rPr>
        <w:t>Fin de l</w:t>
      </w:r>
      <w:r>
        <w:rPr>
          <w:rFonts w:eastAsia="Times New Roman"/>
          <w:sz w:val="21"/>
          <w:szCs w:val="21"/>
          <w:lang w:val="fr-FR" w:eastAsia="en-US"/>
        </w:rPr>
        <w:t>’</w:t>
      </w:r>
      <w:r w:rsidRPr="00356034">
        <w:rPr>
          <w:rFonts w:eastAsia="Times New Roman"/>
          <w:sz w:val="21"/>
          <w:szCs w:val="21"/>
          <w:lang w:val="fr-FR" w:eastAsia="en-US"/>
        </w:rPr>
        <w:t>annexe et du document</w:t>
      </w:r>
      <w:r w:rsidRPr="00356034">
        <w:rPr>
          <w:szCs w:val="22"/>
          <w:lang w:val="fr-FR"/>
        </w:rPr>
        <w:t>]</w:t>
      </w:r>
    </w:p>
    <w:sectPr w:rsidR="00A3091C" w:rsidRPr="00356034" w:rsidSect="007D43E5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87" w:rsidRDefault="00597187">
      <w:r>
        <w:separator/>
      </w:r>
    </w:p>
  </w:endnote>
  <w:endnote w:type="continuationSeparator" w:id="0">
    <w:p w:rsidR="00597187" w:rsidRDefault="00597187" w:rsidP="003B38C1">
      <w:r>
        <w:separator/>
      </w:r>
    </w:p>
    <w:p w:rsidR="00597187" w:rsidRPr="003B38C1" w:rsidRDefault="005971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7187" w:rsidRPr="003B38C1" w:rsidRDefault="005971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87" w:rsidRDefault="00597187">
      <w:r>
        <w:separator/>
      </w:r>
    </w:p>
  </w:footnote>
  <w:footnote w:type="continuationSeparator" w:id="0">
    <w:p w:rsidR="00597187" w:rsidRDefault="00597187" w:rsidP="008B60B2">
      <w:r>
        <w:separator/>
      </w:r>
    </w:p>
    <w:p w:rsidR="00597187" w:rsidRPr="00ED77FB" w:rsidRDefault="005971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7187" w:rsidRPr="00ED77FB" w:rsidRDefault="005971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3091C" w:rsidRPr="007D58D4" w:rsidRDefault="00A3091C" w:rsidP="00A3091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D14DD">
        <w:rPr>
          <w:lang w:val="fr-CH"/>
        </w:rPr>
        <w:t>La liste définitive des participants figurera dans une annexe du rapport de la session.</w:t>
      </w:r>
    </w:p>
  </w:footnote>
  <w:footnote w:id="3">
    <w:p w:rsidR="00A3091C" w:rsidRPr="00693573" w:rsidRDefault="00A3091C" w:rsidP="00A3091C">
      <w:pPr>
        <w:autoSpaceDE w:val="0"/>
        <w:autoSpaceDN w:val="0"/>
        <w:adjustRightInd w:val="0"/>
        <w:rPr>
          <w:b/>
          <w:color w:val="FF0000"/>
          <w:u w:val="single"/>
          <w:lang w:val="fr-FR"/>
        </w:rPr>
      </w:pPr>
      <w:r w:rsidRPr="00693573">
        <w:rPr>
          <w:b/>
          <w:color w:val="FF0000"/>
          <w:sz w:val="16"/>
          <w:szCs w:val="16"/>
          <w:u w:val="single"/>
          <w:lang w:val="fr-FR"/>
        </w:rPr>
        <w:t>[</w:t>
      </w:r>
      <w:r w:rsidRPr="00693573">
        <w:rPr>
          <w:rStyle w:val="FootnoteReference"/>
          <w:b/>
          <w:color w:val="FF0000"/>
          <w:sz w:val="16"/>
          <w:szCs w:val="16"/>
          <w:u w:val="single"/>
          <w:lang w:val="fr-FR"/>
        </w:rPr>
        <w:sym w:font="Symbol" w:char="F02A"/>
      </w:r>
      <w:r w:rsidRPr="00693573">
        <w:rPr>
          <w:b/>
          <w:color w:val="FF0000"/>
          <w:sz w:val="16"/>
          <w:szCs w:val="16"/>
          <w:u w:val="single"/>
          <w:lang w:val="fr-FR"/>
        </w:rPr>
        <w:tab/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Pour un enregistrement international désignant une aire géographique située dans un pays de la catégorie des pays les moins avancés (PMA), conformément aux listes établies par l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’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 xml:space="preserve">Organisation des 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Nations Unies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, la taxe est ramenée à 50% du montant prescrit (arrondi au nombre entier le plus proche).  Dans ce cas, la taxe sera de 500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 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francs suisses pour un enregistrement international désignant une aire géographique d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’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origine située dans un pays de la catégorie des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 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PMA, et de 250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 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francs suisses pour chaque modification d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’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un enregistrement international désignant une aire géographique d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’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origine située dans un pays de la catégorie des</w:t>
      </w:r>
      <w:r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 </w:t>
      </w:r>
      <w:r w:rsidRPr="00693573">
        <w:rPr>
          <w:rFonts w:eastAsia="Times New Roman"/>
          <w:b/>
          <w:bCs/>
          <w:color w:val="FF0000"/>
          <w:sz w:val="16"/>
          <w:szCs w:val="16"/>
          <w:u w:val="single"/>
          <w:lang w:val="fr-FR" w:eastAsia="en-US"/>
        </w:rPr>
        <w:t>PMA</w:t>
      </w:r>
      <w:r w:rsidRPr="00693573">
        <w:rPr>
          <w:b/>
          <w:color w:val="FF0000"/>
          <w:sz w:val="16"/>
          <w:szCs w:val="16"/>
          <w:u w:val="single"/>
          <w:lang w:val="fr-FR"/>
        </w:rPr>
        <w:t>.  Ces réductions de taxes seront applicables pendant une durée de trois</w:t>
      </w:r>
      <w:r>
        <w:rPr>
          <w:b/>
          <w:color w:val="FF0000"/>
          <w:sz w:val="16"/>
          <w:szCs w:val="16"/>
          <w:u w:val="single"/>
          <w:lang w:val="fr-FR"/>
        </w:rPr>
        <w:t> </w:t>
      </w:r>
      <w:r w:rsidRPr="00693573">
        <w:rPr>
          <w:b/>
          <w:color w:val="FF0000"/>
          <w:sz w:val="16"/>
          <w:szCs w:val="16"/>
          <w:u w:val="single"/>
          <w:lang w:val="fr-FR"/>
        </w:rPr>
        <w:t>ans à compter de la date d</w:t>
      </w:r>
      <w:r>
        <w:rPr>
          <w:b/>
          <w:color w:val="FF0000"/>
          <w:sz w:val="16"/>
          <w:szCs w:val="16"/>
          <w:u w:val="single"/>
          <w:lang w:val="fr-FR"/>
        </w:rPr>
        <w:t>’</w:t>
      </w:r>
      <w:r w:rsidRPr="00693573">
        <w:rPr>
          <w:b/>
          <w:color w:val="FF0000"/>
          <w:sz w:val="16"/>
          <w:szCs w:val="16"/>
          <w:u w:val="single"/>
          <w:lang w:val="fr-FR"/>
        </w:rPr>
        <w:t>entrée en vigueur de l</w:t>
      </w:r>
      <w:r>
        <w:rPr>
          <w:b/>
          <w:color w:val="FF0000"/>
          <w:sz w:val="16"/>
          <w:szCs w:val="16"/>
          <w:u w:val="single"/>
          <w:lang w:val="fr-FR"/>
        </w:rPr>
        <w:t>’</w:t>
      </w:r>
      <w:r w:rsidRPr="00693573">
        <w:rPr>
          <w:b/>
          <w:color w:val="FF0000"/>
          <w:sz w:val="16"/>
          <w:szCs w:val="16"/>
          <w:u w:val="single"/>
          <w:lang w:val="fr-FR"/>
        </w:rPr>
        <w:t>Acte de Genève de l</w:t>
      </w:r>
      <w:r>
        <w:rPr>
          <w:b/>
          <w:color w:val="FF0000"/>
          <w:sz w:val="16"/>
          <w:szCs w:val="16"/>
          <w:u w:val="single"/>
          <w:lang w:val="fr-FR"/>
        </w:rPr>
        <w:t>’</w:t>
      </w:r>
      <w:r w:rsidRPr="00693573">
        <w:rPr>
          <w:b/>
          <w:color w:val="FF0000"/>
          <w:sz w:val="16"/>
          <w:szCs w:val="16"/>
          <w:u w:val="single"/>
          <w:lang w:val="fr-FR"/>
        </w:rPr>
        <w:t>Arrangement de Lisbonne.]</w:t>
      </w:r>
    </w:p>
  </w:footnote>
  <w:footnote w:id="4">
    <w:p w:rsidR="00A3091C" w:rsidRPr="00937DAC" w:rsidRDefault="00A3091C" w:rsidP="00A3091C">
      <w:pPr>
        <w:pStyle w:val="FootnoteText"/>
        <w:rPr>
          <w:b/>
          <w:color w:val="FF0000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59" w:rsidRDefault="00AC6315" w:rsidP="00477D6B">
    <w:pPr>
      <w:jc w:val="right"/>
    </w:pPr>
    <w:bookmarkStart w:id="6" w:name="Code2"/>
    <w:bookmarkEnd w:id="6"/>
    <w:r>
      <w:t>LI/A/35/1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70E4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E19F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1C" w:rsidRPr="00946E1C" w:rsidRDefault="00A3091C" w:rsidP="00A3091C">
    <w:pPr>
      <w:jc w:val="right"/>
    </w:pPr>
    <w:r w:rsidRPr="00946E1C">
      <w:t>LI/WG/DEV-SYS/1/4</w:t>
    </w:r>
  </w:p>
  <w:p w:rsidR="00A3091C" w:rsidRDefault="00A3091C" w:rsidP="00A3091C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1E19F6">
      <w:rPr>
        <w:noProof/>
      </w:rPr>
      <w:t>1</w:t>
    </w:r>
    <w:r>
      <w:fldChar w:fldCharType="end"/>
    </w:r>
  </w:p>
  <w:p w:rsidR="00A3091C" w:rsidRDefault="00A3091C" w:rsidP="00A3091C">
    <w:pPr>
      <w:jc w:val="right"/>
    </w:pPr>
  </w:p>
  <w:p w:rsidR="00A3091C" w:rsidRPr="00A3091C" w:rsidRDefault="00A3091C" w:rsidP="00A30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8" w:rsidRPr="00946E1C" w:rsidRDefault="00297BCA" w:rsidP="00D24130">
    <w:pPr>
      <w:jc w:val="right"/>
    </w:pPr>
    <w:r w:rsidRPr="00946E1C">
      <w:t>LI/WG/DEV-SYS/1/4</w:t>
    </w:r>
  </w:p>
  <w:p w:rsidR="00000598" w:rsidRPr="007D43E5" w:rsidRDefault="00297BCA" w:rsidP="00D24130">
    <w:pPr>
      <w:pStyle w:val="Header"/>
      <w:jc w:val="right"/>
      <w:rPr>
        <w:lang w:val="fr-CH"/>
      </w:rPr>
    </w:pPr>
    <w:r>
      <w:rPr>
        <w:lang w:val="fr-CH"/>
      </w:rPr>
      <w:t>ANNEXE</w:t>
    </w:r>
  </w:p>
  <w:p w:rsidR="00000598" w:rsidRDefault="001E19F6" w:rsidP="00D24130">
    <w:pPr>
      <w:pStyle w:val="Header"/>
    </w:pPr>
  </w:p>
  <w:p w:rsidR="00000598" w:rsidRDefault="001E1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D936688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B97057D"/>
    <w:multiLevelType w:val="hybridMultilevel"/>
    <w:tmpl w:val="12024318"/>
    <w:lvl w:ilvl="0" w:tplc="3F5C089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56C3A"/>
    <w:multiLevelType w:val="hybridMultilevel"/>
    <w:tmpl w:val="99E20378"/>
    <w:lvl w:ilvl="0" w:tplc="AF723B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C6315"/>
    <w:rsid w:val="000101CC"/>
    <w:rsid w:val="00043CAA"/>
    <w:rsid w:val="00064FB6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1A4A1C"/>
    <w:rsid w:val="001E19F6"/>
    <w:rsid w:val="0021217E"/>
    <w:rsid w:val="00220BB4"/>
    <w:rsid w:val="00251237"/>
    <w:rsid w:val="00262423"/>
    <w:rsid w:val="002634C4"/>
    <w:rsid w:val="002928D3"/>
    <w:rsid w:val="00297BCA"/>
    <w:rsid w:val="002F1FE6"/>
    <w:rsid w:val="002F4E68"/>
    <w:rsid w:val="00312F7F"/>
    <w:rsid w:val="003345D6"/>
    <w:rsid w:val="00350AE2"/>
    <w:rsid w:val="00361450"/>
    <w:rsid w:val="003673CF"/>
    <w:rsid w:val="003845C1"/>
    <w:rsid w:val="003A6F89"/>
    <w:rsid w:val="003B38C1"/>
    <w:rsid w:val="003B6563"/>
    <w:rsid w:val="003D57B0"/>
    <w:rsid w:val="003F3F8A"/>
    <w:rsid w:val="00423E3E"/>
    <w:rsid w:val="00424BF7"/>
    <w:rsid w:val="00427AF4"/>
    <w:rsid w:val="004647DA"/>
    <w:rsid w:val="00470E49"/>
    <w:rsid w:val="00474062"/>
    <w:rsid w:val="0047713C"/>
    <w:rsid w:val="00477D6B"/>
    <w:rsid w:val="005019FF"/>
    <w:rsid w:val="00504DE4"/>
    <w:rsid w:val="00513B45"/>
    <w:rsid w:val="0053038D"/>
    <w:rsid w:val="0053057A"/>
    <w:rsid w:val="00560A29"/>
    <w:rsid w:val="00575EF9"/>
    <w:rsid w:val="00597187"/>
    <w:rsid w:val="005B6A3D"/>
    <w:rsid w:val="005C6649"/>
    <w:rsid w:val="005F2748"/>
    <w:rsid w:val="00605827"/>
    <w:rsid w:val="00646050"/>
    <w:rsid w:val="00653EF6"/>
    <w:rsid w:val="006713CA"/>
    <w:rsid w:val="00676C5C"/>
    <w:rsid w:val="006E4F5F"/>
    <w:rsid w:val="0072404D"/>
    <w:rsid w:val="00741EA2"/>
    <w:rsid w:val="00783FB8"/>
    <w:rsid w:val="007C3B45"/>
    <w:rsid w:val="007D1613"/>
    <w:rsid w:val="007D42A8"/>
    <w:rsid w:val="007E4C0E"/>
    <w:rsid w:val="007F12EC"/>
    <w:rsid w:val="007F35DE"/>
    <w:rsid w:val="008237EF"/>
    <w:rsid w:val="00846A2D"/>
    <w:rsid w:val="00860537"/>
    <w:rsid w:val="00877718"/>
    <w:rsid w:val="008A134B"/>
    <w:rsid w:val="008B2CC1"/>
    <w:rsid w:val="008B60B2"/>
    <w:rsid w:val="008C1281"/>
    <w:rsid w:val="008E2B5B"/>
    <w:rsid w:val="0090731E"/>
    <w:rsid w:val="00916EE2"/>
    <w:rsid w:val="009324E9"/>
    <w:rsid w:val="00946E8F"/>
    <w:rsid w:val="0096099B"/>
    <w:rsid w:val="00966A22"/>
    <w:rsid w:val="0096722F"/>
    <w:rsid w:val="00980843"/>
    <w:rsid w:val="009C127D"/>
    <w:rsid w:val="009D2CFC"/>
    <w:rsid w:val="009E2791"/>
    <w:rsid w:val="009E3F6F"/>
    <w:rsid w:val="009F499F"/>
    <w:rsid w:val="00A3091C"/>
    <w:rsid w:val="00A37342"/>
    <w:rsid w:val="00A42DAF"/>
    <w:rsid w:val="00A45BD8"/>
    <w:rsid w:val="00A61A0C"/>
    <w:rsid w:val="00A869B7"/>
    <w:rsid w:val="00AA2DD4"/>
    <w:rsid w:val="00AC205C"/>
    <w:rsid w:val="00AC6315"/>
    <w:rsid w:val="00AD18A9"/>
    <w:rsid w:val="00AE4D2B"/>
    <w:rsid w:val="00AF0A6B"/>
    <w:rsid w:val="00B05A69"/>
    <w:rsid w:val="00B1574E"/>
    <w:rsid w:val="00B9734B"/>
    <w:rsid w:val="00BA30E2"/>
    <w:rsid w:val="00C11BFE"/>
    <w:rsid w:val="00C5068F"/>
    <w:rsid w:val="00C5283D"/>
    <w:rsid w:val="00C86D74"/>
    <w:rsid w:val="00C90131"/>
    <w:rsid w:val="00CB1B0E"/>
    <w:rsid w:val="00CC5FB7"/>
    <w:rsid w:val="00CD04F1"/>
    <w:rsid w:val="00CD7F59"/>
    <w:rsid w:val="00CF3063"/>
    <w:rsid w:val="00D1208F"/>
    <w:rsid w:val="00D16B5E"/>
    <w:rsid w:val="00D44A0B"/>
    <w:rsid w:val="00D45252"/>
    <w:rsid w:val="00D66E37"/>
    <w:rsid w:val="00D71B4D"/>
    <w:rsid w:val="00D93D55"/>
    <w:rsid w:val="00D95159"/>
    <w:rsid w:val="00DF023A"/>
    <w:rsid w:val="00DF383E"/>
    <w:rsid w:val="00E10B74"/>
    <w:rsid w:val="00E15015"/>
    <w:rsid w:val="00E335FE"/>
    <w:rsid w:val="00E85557"/>
    <w:rsid w:val="00EA7D6E"/>
    <w:rsid w:val="00EC4E49"/>
    <w:rsid w:val="00ED77FB"/>
    <w:rsid w:val="00EE45FA"/>
    <w:rsid w:val="00EF1920"/>
    <w:rsid w:val="00EF256B"/>
    <w:rsid w:val="00F66152"/>
    <w:rsid w:val="00F9412D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3091C"/>
    <w:pPr>
      <w:keepNext/>
      <w:spacing w:before="240" w:after="1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70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3091C"/>
    <w:pPr>
      <w:keepNext/>
      <w:spacing w:before="240" w:after="1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70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B5DA-EBB1-4237-9481-A268F0C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35 (E).dotm</Template>
  <TotalTime>0</TotalTime>
  <Pages>6</Pages>
  <Words>1083</Words>
  <Characters>6179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LI/A/35/</vt:lpstr>
      <vt:lpstr>LI/A/35/</vt:lpstr>
    </vt:vector>
  </TitlesOfParts>
  <Company>WIPO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LI/A/35/</dc:title>
  <dc:subject>Thirty-Fifth (13th Extraordinary) Session</dc:subject>
  <dc:creator>DORE Marie-Pierre</dc:creator>
  <cp:lastModifiedBy>DORE Marie-Pierre</cp:lastModifiedBy>
  <cp:revision>2</cp:revision>
  <cp:lastPrinted>2018-07-13T12:46:00Z</cp:lastPrinted>
  <dcterms:created xsi:type="dcterms:W3CDTF">2018-07-13T12:47:00Z</dcterms:created>
  <dcterms:modified xsi:type="dcterms:W3CDTF">2018-07-13T12:47:00Z</dcterms:modified>
  <cp:category>Special Union for the Protection of Appellations of Origin and their International Registration (Lisbon Union)</cp:category>
</cp:coreProperties>
</file>