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7880"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771B4599" wp14:editId="6C49ED2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308EE0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3B2C8B6F" w14:textId="77777777" w:rsidR="008B2CC1" w:rsidRPr="002326AB" w:rsidRDefault="0040273E" w:rsidP="0040273E">
      <w:pPr>
        <w:bidi w:val="0"/>
        <w:rPr>
          <w:rFonts w:ascii="Arial Black" w:hAnsi="Arial Black"/>
          <w:caps/>
          <w:sz w:val="15"/>
          <w:szCs w:val="15"/>
        </w:rPr>
      </w:pPr>
      <w:r>
        <w:rPr>
          <w:rFonts w:ascii="Arial Black" w:hAnsi="Arial Black"/>
          <w:caps/>
          <w:sz w:val="15"/>
          <w:szCs w:val="15"/>
        </w:rPr>
        <w:t>BP/A/</w:t>
      </w:r>
      <w:r w:rsidR="009A2123">
        <w:rPr>
          <w:rFonts w:ascii="Arial Black" w:hAnsi="Arial Black"/>
          <w:caps/>
          <w:sz w:val="15"/>
          <w:szCs w:val="15"/>
        </w:rPr>
        <w:t>41</w:t>
      </w:r>
      <w:r>
        <w:rPr>
          <w:rFonts w:ascii="Arial Black" w:hAnsi="Arial Black"/>
          <w:caps/>
          <w:sz w:val="15"/>
          <w:szCs w:val="15"/>
        </w:rPr>
        <w:t>/</w:t>
      </w:r>
      <w:r w:rsidR="009A2123">
        <w:rPr>
          <w:rFonts w:ascii="Arial Black" w:hAnsi="Arial Black"/>
          <w:caps/>
          <w:sz w:val="15"/>
          <w:szCs w:val="15"/>
        </w:rPr>
        <w:t>1</w:t>
      </w:r>
    </w:p>
    <w:p w14:paraId="36EDFF5C" w14:textId="77777777" w:rsidR="008B2CC1" w:rsidRPr="009A2123" w:rsidRDefault="00CC3E2D" w:rsidP="00CC3E2D">
      <w:pPr>
        <w:jc w:val="right"/>
        <w:rPr>
          <w:rFonts w:asciiTheme="minorHAnsi" w:hAnsiTheme="minorHAnsi" w:cstheme="minorHAnsi"/>
          <w:b/>
          <w:bCs/>
          <w:caps/>
          <w:sz w:val="15"/>
          <w:szCs w:val="15"/>
        </w:rPr>
      </w:pPr>
      <w:bookmarkStart w:id="0" w:name="Original"/>
      <w:r w:rsidRPr="009A2123">
        <w:rPr>
          <w:rFonts w:asciiTheme="minorHAnsi" w:hAnsiTheme="minorHAnsi" w:cstheme="minorHAnsi" w:hint="cs"/>
          <w:b/>
          <w:bCs/>
          <w:caps/>
          <w:sz w:val="15"/>
          <w:szCs w:val="15"/>
          <w:rtl/>
        </w:rPr>
        <w:t xml:space="preserve">الأصل: </w:t>
      </w:r>
      <w:r w:rsidR="009A2123" w:rsidRPr="009A2123">
        <w:rPr>
          <w:rFonts w:asciiTheme="minorHAnsi" w:hAnsiTheme="minorHAnsi" w:cstheme="minorHAnsi" w:hint="cs"/>
          <w:b/>
          <w:bCs/>
          <w:caps/>
          <w:sz w:val="15"/>
          <w:szCs w:val="15"/>
          <w:rtl/>
        </w:rPr>
        <w:t>بالإنكليزية</w:t>
      </w:r>
    </w:p>
    <w:p w14:paraId="636A44B0" w14:textId="77777777" w:rsidR="008B2CC1" w:rsidRPr="00CC3E2D" w:rsidRDefault="00CC3E2D" w:rsidP="00CC3E2D">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 xml:space="preserve">التاريخ: </w:t>
      </w:r>
      <w:r w:rsidR="009A2123">
        <w:rPr>
          <w:rFonts w:asciiTheme="minorHAnsi" w:hAnsiTheme="minorHAnsi" w:cstheme="minorHAnsi" w:hint="cs"/>
          <w:b/>
          <w:bCs/>
          <w:caps/>
          <w:sz w:val="15"/>
          <w:szCs w:val="15"/>
          <w:rtl/>
        </w:rPr>
        <w:t>8 مايو 2024</w:t>
      </w:r>
    </w:p>
    <w:bookmarkEnd w:id="1"/>
    <w:p w14:paraId="7ED9ECB9" w14:textId="77777777" w:rsidR="008B2CC1" w:rsidRDefault="00F0061B" w:rsidP="0040273E">
      <w:pPr>
        <w:pStyle w:val="Heading1"/>
        <w:rPr>
          <w:rtl/>
        </w:rPr>
      </w:pPr>
      <w:r w:rsidRPr="00F0061B">
        <w:rPr>
          <w:rtl/>
        </w:rPr>
        <w:t xml:space="preserve">اتحاد </w:t>
      </w:r>
      <w:r w:rsidR="0040273E">
        <w:rPr>
          <w:rFonts w:hint="cs"/>
          <w:rtl/>
        </w:rPr>
        <w:t>الاعتراف الدولي بإيداع الكائنات الدقيقة لأغراض الإجراءات الخاصة بالبراءات</w:t>
      </w:r>
      <w:r w:rsidRPr="00F0061B">
        <w:rPr>
          <w:rtl/>
        </w:rPr>
        <w:t xml:space="preserve"> (اتحاد </w:t>
      </w:r>
      <w:r w:rsidR="0040273E">
        <w:rPr>
          <w:rFonts w:hint="cs"/>
          <w:rtl/>
        </w:rPr>
        <w:t>بودابست</w:t>
      </w:r>
      <w:r w:rsidRPr="00F0061B">
        <w:rPr>
          <w:rtl/>
        </w:rPr>
        <w:t>)</w:t>
      </w:r>
    </w:p>
    <w:p w14:paraId="095B7EC7" w14:textId="77777777" w:rsidR="00F0061B" w:rsidRDefault="00F0061B" w:rsidP="00F0061B">
      <w:pPr>
        <w:pStyle w:val="Heading1"/>
        <w:rPr>
          <w:rtl/>
        </w:rPr>
      </w:pPr>
      <w:r>
        <w:rPr>
          <w:rFonts w:hint="cs"/>
          <w:rtl/>
        </w:rPr>
        <w:t>الجمعية</w:t>
      </w:r>
    </w:p>
    <w:p w14:paraId="161B5EA7" w14:textId="77777777" w:rsidR="00A90F0A" w:rsidRPr="00D67EAE" w:rsidRDefault="00D67EAE" w:rsidP="0040273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41418">
        <w:rPr>
          <w:rFonts w:hint="cs"/>
          <w:b/>
          <w:bCs/>
          <w:sz w:val="24"/>
          <w:szCs w:val="24"/>
          <w:rtl/>
        </w:rPr>
        <w:t>الحادية والأربعون (الدورة الاستثنائية التاسعة عشرة)</w:t>
      </w:r>
    </w:p>
    <w:p w14:paraId="330AF5A6" w14:textId="77777777" w:rsidR="008B2CC1" w:rsidRPr="00D67EAE" w:rsidRDefault="00D67EAE" w:rsidP="0040273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41418" w:rsidRPr="00441418">
        <w:rPr>
          <w:rFonts w:asciiTheme="minorHAnsi" w:hAnsiTheme="minorHAnsi"/>
          <w:bCs/>
          <w:sz w:val="24"/>
          <w:szCs w:val="24"/>
          <w:rtl/>
        </w:rPr>
        <w:t>9 إلى 17 يوليو 2024</w:t>
      </w:r>
    </w:p>
    <w:p w14:paraId="467EB7FF" w14:textId="77777777" w:rsidR="008B2CC1" w:rsidRPr="00D67EAE" w:rsidRDefault="00CA24BB" w:rsidP="00DD7B7F">
      <w:pPr>
        <w:spacing w:after="360"/>
        <w:outlineLvl w:val="0"/>
        <w:rPr>
          <w:rFonts w:asciiTheme="minorHAnsi" w:hAnsiTheme="minorHAnsi" w:cstheme="minorHAnsi"/>
          <w:caps/>
          <w:sz w:val="24"/>
        </w:rPr>
      </w:pPr>
      <w:bookmarkStart w:id="2" w:name="TitleOfDoc"/>
      <w:r w:rsidRPr="00CA24BB">
        <w:rPr>
          <w:rFonts w:asciiTheme="minorHAnsi" w:hAnsiTheme="minorHAnsi"/>
          <w:caps/>
          <w:sz w:val="28"/>
          <w:szCs w:val="24"/>
          <w:rtl/>
        </w:rPr>
        <w:t>تقرير الأنشطة عن تشغيل نظام بودابست</w:t>
      </w:r>
    </w:p>
    <w:p w14:paraId="0665918C" w14:textId="77777777" w:rsidR="002928D3" w:rsidRDefault="00D67EAE" w:rsidP="001D4107">
      <w:pPr>
        <w:spacing w:after="1040"/>
        <w:rPr>
          <w:rFonts w:asciiTheme="minorHAnsi" w:hAnsiTheme="minorHAnsi" w:cstheme="minorHAnsi"/>
          <w:iCs/>
          <w:rtl/>
        </w:rPr>
      </w:pPr>
      <w:bookmarkStart w:id="3" w:name="Prepared"/>
      <w:bookmarkEnd w:id="2"/>
      <w:bookmarkEnd w:id="3"/>
      <w:r w:rsidRPr="00D67EAE">
        <w:rPr>
          <w:rFonts w:asciiTheme="minorHAnsi" w:hAnsiTheme="minorHAnsi" w:cstheme="minorHAnsi" w:hint="cs"/>
          <w:iCs/>
          <w:rtl/>
        </w:rPr>
        <w:t>وثيقة من إعداد</w:t>
      </w:r>
      <w:r w:rsidR="00631AF2" w:rsidRPr="00631AF2">
        <w:rPr>
          <w:rFonts w:hint="cs"/>
          <w:i/>
          <w:iCs/>
          <w:rtl/>
        </w:rPr>
        <w:t xml:space="preserve"> </w:t>
      </w:r>
      <w:r w:rsidR="00631AF2">
        <w:rPr>
          <w:rFonts w:hint="cs"/>
          <w:i/>
          <w:iCs/>
          <w:rtl/>
        </w:rPr>
        <w:t>المكتب الدولي</w:t>
      </w:r>
    </w:p>
    <w:p w14:paraId="018D6E85" w14:textId="77777777" w:rsidR="00514196" w:rsidRPr="00514196" w:rsidRDefault="00514196" w:rsidP="00514196">
      <w:pPr>
        <w:pStyle w:val="ONUMA"/>
        <w:rPr>
          <w:rtl/>
          <w:lang w:bidi="ar-EG"/>
        </w:rPr>
      </w:pPr>
      <w:r w:rsidRPr="00514196">
        <w:rPr>
          <w:rFonts w:hint="cs"/>
          <w:rtl/>
          <w:lang w:bidi="ar-EG"/>
        </w:rPr>
        <w:t>تحتوي هذه الوثيقة على معلومات عن آخر التطورات والأنشطة المتعلقة بمعاهدة بودابست بشأن الاعتراف الدولي بإيداع الكائنات الدقيقة لأغراض الإجراءات الخاصة بالبراءات (معاهدة بودابست)، منذ انعقاد اجتماع جمعية اتحاد بودابست في الفترة من 14 إلى 22 يوليو 2022.</w:t>
      </w:r>
    </w:p>
    <w:p w14:paraId="29D5A2CF" w14:textId="77777777" w:rsidR="00514196" w:rsidRPr="00514196" w:rsidRDefault="00514196" w:rsidP="00514196">
      <w:pPr>
        <w:pStyle w:val="Heading3"/>
        <w:rPr>
          <w:rtl/>
        </w:rPr>
      </w:pPr>
      <w:r w:rsidRPr="00514196">
        <w:rPr>
          <w:rFonts w:hint="cs"/>
          <w:rtl/>
        </w:rPr>
        <w:t>الدول المتعاقدة الجديدة والمنظمات الدولية الحكومية للملكية الصناعية وسلطات الإيداع الدولية</w:t>
      </w:r>
    </w:p>
    <w:p w14:paraId="03D3A56A" w14:textId="77777777" w:rsidR="00514196" w:rsidRDefault="00514196" w:rsidP="00514196">
      <w:pPr>
        <w:pStyle w:val="ONUMA"/>
        <w:rPr>
          <w:rtl/>
          <w:lang w:bidi="ar-EG"/>
        </w:rPr>
      </w:pPr>
      <w:bookmarkStart w:id="4" w:name="_Hlk163043940"/>
      <w:r w:rsidRPr="00514196">
        <w:rPr>
          <w:rFonts w:hint="cs"/>
          <w:rtl/>
          <w:lang w:bidi="ar-EG"/>
        </w:rPr>
        <w:t>انضمت باراغواي ورواندا إلى معاهدة بودابست في 5 مايو 2023 و4 سبتمبر 2023، على التوالي</w:t>
      </w:r>
      <w:r w:rsidR="008518FF">
        <w:rPr>
          <w:rFonts w:hint="cs"/>
          <w:rtl/>
          <w:lang w:bidi="ar-EG"/>
        </w:rPr>
        <w:t xml:space="preserve">. </w:t>
      </w:r>
      <w:r w:rsidRPr="00514196">
        <w:rPr>
          <w:rFonts w:hint="cs"/>
          <w:rtl/>
          <w:lang w:bidi="ar-EG"/>
        </w:rPr>
        <w:t>وحتى تاريخ 12 أبريل 2024، بلغ عدد الدول الأطراف في معاهدة بودابست 89 دولة</w:t>
      </w:r>
      <w:r w:rsidR="008518FF">
        <w:rPr>
          <w:rFonts w:hint="cs"/>
          <w:rtl/>
          <w:lang w:bidi="ar-EG"/>
        </w:rPr>
        <w:t xml:space="preserve">. </w:t>
      </w:r>
      <w:r w:rsidRPr="00514196">
        <w:rPr>
          <w:rFonts w:hint="cs"/>
          <w:rtl/>
          <w:lang w:bidi="ar-EG"/>
        </w:rPr>
        <w:t>ويبين الجدول 1 الزيادة في عدد الدول المتعاقدة منذ دخول معاهدة بودابست حيز التنفيذ في 19 أغسطس 1980.</w:t>
      </w:r>
    </w:p>
    <w:p w14:paraId="697D73B0" w14:textId="77777777" w:rsidR="00514196" w:rsidRDefault="00514196" w:rsidP="00074D6A">
      <w:pPr>
        <w:rPr>
          <w:rFonts w:eastAsia="Times New Roman"/>
          <w:rtl/>
          <w:lang w:eastAsia="en-US" w:bidi="ar-EG"/>
        </w:rPr>
      </w:pPr>
      <w:r>
        <w:rPr>
          <w:rtl/>
          <w:lang w:bidi="ar-EG"/>
        </w:rPr>
        <w:br w:type="page"/>
      </w:r>
    </w:p>
    <w:p w14:paraId="0CCC1486" w14:textId="77777777" w:rsidR="00514196" w:rsidRPr="00514196" w:rsidRDefault="00514196" w:rsidP="00514196">
      <w:pPr>
        <w:pStyle w:val="BodyText"/>
        <w:jc w:val="center"/>
        <w:rPr>
          <w:rtl/>
          <w:lang w:bidi="ar-EG"/>
        </w:rPr>
      </w:pPr>
      <w:r w:rsidRPr="00514196">
        <w:rPr>
          <w:rFonts w:hint="cs"/>
          <w:rtl/>
          <w:lang w:bidi="ar-EG"/>
        </w:rPr>
        <w:lastRenderedPageBreak/>
        <w:t>الجدول 1: زيادة عدد الدول المتعاقدة</w:t>
      </w:r>
    </w:p>
    <w:tbl>
      <w:tblPr>
        <w:tblStyle w:val="TableGrid"/>
        <w:bidiVisual/>
        <w:tblW w:w="0" w:type="auto"/>
        <w:tblLook w:val="04A0" w:firstRow="1" w:lastRow="0" w:firstColumn="1" w:lastColumn="0" w:noHBand="0" w:noVBand="1"/>
      </w:tblPr>
      <w:tblGrid>
        <w:gridCol w:w="2089"/>
        <w:gridCol w:w="1209"/>
        <w:gridCol w:w="1209"/>
        <w:gridCol w:w="1210"/>
        <w:gridCol w:w="1209"/>
        <w:gridCol w:w="1209"/>
        <w:gridCol w:w="1210"/>
      </w:tblGrid>
      <w:tr w:rsidR="00514196" w:rsidRPr="00514196" w14:paraId="7F963680" w14:textId="77777777" w:rsidTr="007B6ADC">
        <w:trPr>
          <w:trHeight w:val="404"/>
        </w:trPr>
        <w:tc>
          <w:tcPr>
            <w:tcW w:w="2089" w:type="dxa"/>
          </w:tcPr>
          <w:p w14:paraId="0C3C11EE" w14:textId="77777777" w:rsidR="00514196" w:rsidRPr="00514196" w:rsidRDefault="00514196" w:rsidP="00514196">
            <w:pPr>
              <w:pStyle w:val="BodyText"/>
            </w:pPr>
          </w:p>
        </w:tc>
        <w:tc>
          <w:tcPr>
            <w:tcW w:w="1209" w:type="dxa"/>
          </w:tcPr>
          <w:p w14:paraId="7788823E" w14:textId="77777777" w:rsidR="00514196" w:rsidRPr="00514196" w:rsidRDefault="00514196" w:rsidP="00514196">
            <w:pPr>
              <w:pStyle w:val="BodyText"/>
              <w:rPr>
                <w:rtl/>
              </w:rPr>
            </w:pPr>
            <w:r w:rsidRPr="00514196">
              <w:rPr>
                <w:rFonts w:hint="cs"/>
                <w:rtl/>
              </w:rPr>
              <w:t>1980</w:t>
            </w:r>
          </w:p>
        </w:tc>
        <w:tc>
          <w:tcPr>
            <w:tcW w:w="1209" w:type="dxa"/>
          </w:tcPr>
          <w:p w14:paraId="4AF979DC" w14:textId="77777777" w:rsidR="00514196" w:rsidRPr="00514196" w:rsidRDefault="00514196" w:rsidP="00514196">
            <w:pPr>
              <w:pStyle w:val="BodyText"/>
              <w:rPr>
                <w:rtl/>
              </w:rPr>
            </w:pPr>
            <w:r w:rsidRPr="00514196">
              <w:rPr>
                <w:rFonts w:hint="cs"/>
                <w:rtl/>
              </w:rPr>
              <w:t>1983</w:t>
            </w:r>
          </w:p>
        </w:tc>
        <w:tc>
          <w:tcPr>
            <w:tcW w:w="1210" w:type="dxa"/>
          </w:tcPr>
          <w:p w14:paraId="5FC4D825" w14:textId="77777777" w:rsidR="00514196" w:rsidRPr="00514196" w:rsidRDefault="00514196" w:rsidP="00514196">
            <w:pPr>
              <w:pStyle w:val="BodyText"/>
              <w:rPr>
                <w:rtl/>
              </w:rPr>
            </w:pPr>
            <w:r w:rsidRPr="00514196">
              <w:rPr>
                <w:rFonts w:hint="cs"/>
                <w:rtl/>
              </w:rPr>
              <w:t>1993</w:t>
            </w:r>
          </w:p>
        </w:tc>
        <w:tc>
          <w:tcPr>
            <w:tcW w:w="1209" w:type="dxa"/>
          </w:tcPr>
          <w:p w14:paraId="1DA4DA83" w14:textId="77777777" w:rsidR="00514196" w:rsidRPr="00514196" w:rsidRDefault="00514196" w:rsidP="00514196">
            <w:pPr>
              <w:pStyle w:val="BodyText"/>
              <w:rPr>
                <w:rtl/>
              </w:rPr>
            </w:pPr>
            <w:r w:rsidRPr="00514196">
              <w:rPr>
                <w:rFonts w:hint="cs"/>
                <w:rtl/>
              </w:rPr>
              <w:t>2003</w:t>
            </w:r>
          </w:p>
        </w:tc>
        <w:tc>
          <w:tcPr>
            <w:tcW w:w="1209" w:type="dxa"/>
          </w:tcPr>
          <w:p w14:paraId="585F899D" w14:textId="77777777" w:rsidR="00514196" w:rsidRPr="00514196" w:rsidRDefault="00514196" w:rsidP="00514196">
            <w:pPr>
              <w:pStyle w:val="BodyText"/>
              <w:rPr>
                <w:rtl/>
              </w:rPr>
            </w:pPr>
            <w:r w:rsidRPr="00514196">
              <w:rPr>
                <w:rFonts w:hint="cs"/>
                <w:rtl/>
              </w:rPr>
              <w:t>2013</w:t>
            </w:r>
          </w:p>
        </w:tc>
        <w:tc>
          <w:tcPr>
            <w:tcW w:w="1210" w:type="dxa"/>
          </w:tcPr>
          <w:p w14:paraId="642F2473" w14:textId="77777777" w:rsidR="00514196" w:rsidRPr="00514196" w:rsidRDefault="00514196" w:rsidP="00514196">
            <w:pPr>
              <w:pStyle w:val="BodyText"/>
              <w:rPr>
                <w:rtl/>
              </w:rPr>
            </w:pPr>
            <w:r w:rsidRPr="00514196">
              <w:rPr>
                <w:rFonts w:hint="cs"/>
                <w:rtl/>
              </w:rPr>
              <w:t>2023</w:t>
            </w:r>
          </w:p>
        </w:tc>
      </w:tr>
      <w:tr w:rsidR="00514196" w:rsidRPr="00514196" w14:paraId="4D1A2654" w14:textId="77777777" w:rsidTr="007B6ADC">
        <w:tc>
          <w:tcPr>
            <w:tcW w:w="2089" w:type="dxa"/>
          </w:tcPr>
          <w:p w14:paraId="40B5CDD4" w14:textId="77777777" w:rsidR="00514196" w:rsidRPr="00514196" w:rsidRDefault="00514196" w:rsidP="00514196">
            <w:pPr>
              <w:pStyle w:val="BodyText"/>
              <w:rPr>
                <w:rtl/>
              </w:rPr>
            </w:pPr>
            <w:r w:rsidRPr="00514196">
              <w:rPr>
                <w:rFonts w:hint="cs"/>
                <w:rtl/>
              </w:rPr>
              <w:t>عدد الدول المتعاقدة</w:t>
            </w:r>
          </w:p>
        </w:tc>
        <w:tc>
          <w:tcPr>
            <w:tcW w:w="1209" w:type="dxa"/>
            <w:vAlign w:val="center"/>
          </w:tcPr>
          <w:p w14:paraId="19A60546" w14:textId="77777777" w:rsidR="00514196" w:rsidRPr="00514196" w:rsidRDefault="00514196" w:rsidP="00514196">
            <w:pPr>
              <w:pStyle w:val="BodyText"/>
              <w:rPr>
                <w:rtl/>
              </w:rPr>
            </w:pPr>
            <w:r w:rsidRPr="00514196">
              <w:rPr>
                <w:rFonts w:hint="cs"/>
                <w:rtl/>
              </w:rPr>
              <w:t>6</w:t>
            </w:r>
          </w:p>
        </w:tc>
        <w:tc>
          <w:tcPr>
            <w:tcW w:w="1209" w:type="dxa"/>
            <w:vAlign w:val="center"/>
          </w:tcPr>
          <w:p w14:paraId="11251E4E" w14:textId="77777777" w:rsidR="00514196" w:rsidRPr="00514196" w:rsidRDefault="00514196" w:rsidP="00514196">
            <w:pPr>
              <w:pStyle w:val="BodyText"/>
              <w:rPr>
                <w:rtl/>
              </w:rPr>
            </w:pPr>
            <w:r w:rsidRPr="00514196">
              <w:rPr>
                <w:rFonts w:hint="cs"/>
                <w:rtl/>
              </w:rPr>
              <w:t>14</w:t>
            </w:r>
          </w:p>
        </w:tc>
        <w:tc>
          <w:tcPr>
            <w:tcW w:w="1210" w:type="dxa"/>
            <w:vAlign w:val="center"/>
          </w:tcPr>
          <w:p w14:paraId="580861F0" w14:textId="77777777" w:rsidR="00514196" w:rsidRPr="00514196" w:rsidRDefault="00514196" w:rsidP="00514196">
            <w:pPr>
              <w:pStyle w:val="BodyText"/>
              <w:rPr>
                <w:rtl/>
              </w:rPr>
            </w:pPr>
            <w:r w:rsidRPr="00514196">
              <w:rPr>
                <w:rFonts w:hint="cs"/>
                <w:rtl/>
              </w:rPr>
              <w:t>28</w:t>
            </w:r>
          </w:p>
        </w:tc>
        <w:tc>
          <w:tcPr>
            <w:tcW w:w="1209" w:type="dxa"/>
            <w:vAlign w:val="center"/>
          </w:tcPr>
          <w:p w14:paraId="54A21897" w14:textId="77777777" w:rsidR="00514196" w:rsidRPr="00514196" w:rsidRDefault="00514196" w:rsidP="00514196">
            <w:pPr>
              <w:pStyle w:val="BodyText"/>
              <w:rPr>
                <w:rtl/>
              </w:rPr>
            </w:pPr>
            <w:r w:rsidRPr="00514196">
              <w:rPr>
                <w:rFonts w:hint="cs"/>
                <w:rtl/>
              </w:rPr>
              <w:t>58</w:t>
            </w:r>
          </w:p>
        </w:tc>
        <w:tc>
          <w:tcPr>
            <w:tcW w:w="1209" w:type="dxa"/>
            <w:vAlign w:val="center"/>
          </w:tcPr>
          <w:p w14:paraId="699641FA" w14:textId="77777777" w:rsidR="00514196" w:rsidRPr="00514196" w:rsidRDefault="00514196" w:rsidP="00514196">
            <w:pPr>
              <w:pStyle w:val="BodyText"/>
              <w:rPr>
                <w:rtl/>
              </w:rPr>
            </w:pPr>
            <w:r w:rsidRPr="00514196">
              <w:rPr>
                <w:rFonts w:hint="cs"/>
                <w:rtl/>
              </w:rPr>
              <w:t>78</w:t>
            </w:r>
          </w:p>
        </w:tc>
        <w:tc>
          <w:tcPr>
            <w:tcW w:w="1210" w:type="dxa"/>
            <w:vAlign w:val="center"/>
          </w:tcPr>
          <w:p w14:paraId="446E0DF4" w14:textId="77777777" w:rsidR="00514196" w:rsidRPr="00514196" w:rsidRDefault="00514196" w:rsidP="00514196">
            <w:pPr>
              <w:pStyle w:val="BodyText"/>
              <w:rPr>
                <w:rtl/>
              </w:rPr>
            </w:pPr>
            <w:r w:rsidRPr="00514196">
              <w:rPr>
                <w:rFonts w:hint="cs"/>
                <w:rtl/>
              </w:rPr>
              <w:t>89</w:t>
            </w:r>
          </w:p>
        </w:tc>
      </w:tr>
    </w:tbl>
    <w:p w14:paraId="7F3D3270" w14:textId="77777777" w:rsidR="00514196" w:rsidRPr="00514196" w:rsidRDefault="00514196" w:rsidP="00514196">
      <w:pPr>
        <w:pStyle w:val="BodyText"/>
        <w:rPr>
          <w:rtl/>
          <w:lang w:bidi="ar-EG"/>
        </w:rPr>
      </w:pPr>
    </w:p>
    <w:bookmarkEnd w:id="4"/>
    <w:p w14:paraId="69C4EF4B" w14:textId="77777777" w:rsidR="00514196" w:rsidRPr="00514196" w:rsidRDefault="00514196" w:rsidP="00402146">
      <w:pPr>
        <w:pStyle w:val="ONUMA"/>
        <w:rPr>
          <w:rtl/>
          <w:lang w:bidi="ar-EG"/>
        </w:rPr>
      </w:pPr>
      <w:r w:rsidRPr="00514196">
        <w:rPr>
          <w:rFonts w:hint="cs"/>
          <w:rtl/>
          <w:lang w:bidi="ar-EG"/>
        </w:rPr>
        <w:t>وفقا</w:t>
      </w:r>
      <w:r w:rsidR="00402146">
        <w:rPr>
          <w:rFonts w:hint="cs"/>
          <w:rtl/>
          <w:lang w:bidi="ar-EG"/>
        </w:rPr>
        <w:t>ً</w:t>
      </w:r>
      <w:r w:rsidRPr="00514196">
        <w:rPr>
          <w:rFonts w:hint="cs"/>
          <w:rtl/>
          <w:lang w:bidi="ar-EG"/>
        </w:rPr>
        <w:t xml:space="preserve"> للمادة 9(1)(أ) من معاهدة بودابست، يجوز لأي منظمة دولية حكومية للملكية الصناعية تستوفي الشروط المنصوص عليها في ذلك الحكم أن تقدم إعلاناً بقبولها الالتزامات والآثار المنصوص عليها في المعاهدة واللائحة التنفيذية لمعاهدة بودابست (اللائحة التنفيذية)</w:t>
      </w:r>
      <w:r w:rsidR="008518FF">
        <w:rPr>
          <w:rFonts w:hint="cs"/>
          <w:rtl/>
          <w:lang w:bidi="ar-EG"/>
        </w:rPr>
        <w:t xml:space="preserve">. </w:t>
      </w:r>
      <w:r w:rsidRPr="00514196">
        <w:rPr>
          <w:rFonts w:hint="cs"/>
          <w:rtl/>
          <w:lang w:bidi="ar-EG"/>
        </w:rPr>
        <w:t>وقدمت المنظمة الأفريقية للملكية الفكرية هذا الإعلان في 15 ديسمبر 2022</w:t>
      </w:r>
      <w:r w:rsidR="008518FF">
        <w:rPr>
          <w:rFonts w:hint="cs"/>
          <w:rtl/>
          <w:lang w:bidi="ar-EG"/>
        </w:rPr>
        <w:t xml:space="preserve">. </w:t>
      </w:r>
      <w:r w:rsidRPr="00514196">
        <w:rPr>
          <w:rFonts w:hint="cs"/>
          <w:rtl/>
          <w:lang w:bidi="ar-EG"/>
        </w:rPr>
        <w:t>وبناءً على ذلك، وحتى تاريخ 12 أبريل 2024، أصدرت أربع منظمات دولية حكومية للملكية الصناعية الإعلان بموجب المادة 9(1)(أ)، وهي المنظمة الأفريقية للملكية الفكرية، والمنظمة الإقليمية الأفريقية للملكية الفكرية، والمنظمة الأوروبية الآسيوية للبراءات، والمنظمة الأوروبية للبراءات.</w:t>
      </w:r>
    </w:p>
    <w:p w14:paraId="431CECC8" w14:textId="77777777" w:rsidR="00514196" w:rsidRPr="00514196" w:rsidRDefault="00514196" w:rsidP="00544B0B">
      <w:pPr>
        <w:pStyle w:val="ONUMA"/>
        <w:rPr>
          <w:rtl/>
          <w:lang w:bidi="ar-EG"/>
        </w:rPr>
      </w:pPr>
      <w:r w:rsidRPr="00514196">
        <w:rPr>
          <w:rFonts w:hint="cs"/>
          <w:rtl/>
          <w:lang w:bidi="ar-EG"/>
        </w:rPr>
        <w:t>وفيما يتعلق بسلطات الإيداع الدولية، حصلت في 26 يناير 2023، مجموعة البلازميدات والكائنات الدقيقة (</w:t>
      </w:r>
      <w:r w:rsidRPr="00514196">
        <w:rPr>
          <w:lang w:bidi="ar-EG"/>
        </w:rPr>
        <w:t>KPD</w:t>
      </w:r>
      <w:r w:rsidR="00074D6A">
        <w:rPr>
          <w:rFonts w:hint="cs"/>
          <w:rtl/>
          <w:lang w:bidi="ar-EG"/>
        </w:rPr>
        <w:t>)</w:t>
      </w:r>
      <w:r w:rsidRPr="00514196">
        <w:rPr>
          <w:rFonts w:hint="cs"/>
          <w:rtl/>
          <w:lang w:bidi="ar-EG"/>
        </w:rPr>
        <w:t>، الموجودة في بولندا، وفي 25 أبريل 2024، مجموعة زراعة البكتيريا بجامعة كويمبرا (</w:t>
      </w:r>
      <w:r w:rsidRPr="00514196">
        <w:rPr>
          <w:lang w:bidi="ar-EG"/>
        </w:rPr>
        <w:t>UCCCB</w:t>
      </w:r>
      <w:r w:rsidR="00074D6A">
        <w:rPr>
          <w:rFonts w:hint="cs"/>
          <w:rtl/>
          <w:lang w:bidi="ar-EG"/>
        </w:rPr>
        <w:t>)</w:t>
      </w:r>
      <w:r w:rsidRPr="00514196">
        <w:rPr>
          <w:rFonts w:hint="cs"/>
          <w:rtl/>
          <w:lang w:bidi="ar-EG"/>
        </w:rPr>
        <w:t>، الموجودة في البرتغال، على صفة "سلطة إيداع دولية"، وأصبحتا السلطتين التاسعة والأربعين والخمسين، على التوالي. ويبيّن الجدول 2 زيادة عدد سلطات الإيداع الدولية.</w:t>
      </w:r>
    </w:p>
    <w:p w14:paraId="47B49B02" w14:textId="77777777" w:rsidR="00514196" w:rsidRPr="00514196" w:rsidRDefault="00514196" w:rsidP="00544B0B">
      <w:pPr>
        <w:pStyle w:val="BodyText"/>
        <w:jc w:val="center"/>
        <w:rPr>
          <w:rtl/>
          <w:lang w:bidi="ar-EG"/>
        </w:rPr>
      </w:pPr>
      <w:r w:rsidRPr="00514196">
        <w:rPr>
          <w:rFonts w:hint="cs"/>
          <w:rtl/>
          <w:lang w:bidi="ar-EG"/>
        </w:rPr>
        <w:t>الجدول 2: زيادة عدد سلطات الإيداع الدولية</w:t>
      </w:r>
    </w:p>
    <w:tbl>
      <w:tblPr>
        <w:tblStyle w:val="TableGrid"/>
        <w:bidiVisual/>
        <w:tblW w:w="0" w:type="auto"/>
        <w:tblLook w:val="04A0" w:firstRow="1" w:lastRow="0" w:firstColumn="1" w:lastColumn="0" w:noHBand="0" w:noVBand="1"/>
      </w:tblPr>
      <w:tblGrid>
        <w:gridCol w:w="1766"/>
        <w:gridCol w:w="1099"/>
        <w:gridCol w:w="1099"/>
        <w:gridCol w:w="1099"/>
        <w:gridCol w:w="1099"/>
        <w:gridCol w:w="1099"/>
        <w:gridCol w:w="1100"/>
        <w:gridCol w:w="984"/>
      </w:tblGrid>
      <w:tr w:rsidR="00514196" w:rsidRPr="00514196" w14:paraId="0FFAB416" w14:textId="77777777" w:rsidTr="007B6ADC">
        <w:tc>
          <w:tcPr>
            <w:tcW w:w="1766" w:type="dxa"/>
          </w:tcPr>
          <w:p w14:paraId="76AB7A35" w14:textId="77777777" w:rsidR="00514196" w:rsidRPr="00514196" w:rsidRDefault="00514196" w:rsidP="00514196">
            <w:pPr>
              <w:pStyle w:val="BodyText"/>
            </w:pPr>
          </w:p>
        </w:tc>
        <w:tc>
          <w:tcPr>
            <w:tcW w:w="1099" w:type="dxa"/>
          </w:tcPr>
          <w:p w14:paraId="2B7C4555" w14:textId="77777777" w:rsidR="00514196" w:rsidRPr="00514196" w:rsidRDefault="00514196" w:rsidP="00514196">
            <w:pPr>
              <w:pStyle w:val="BodyText"/>
              <w:rPr>
                <w:rtl/>
              </w:rPr>
            </w:pPr>
            <w:r w:rsidRPr="00514196">
              <w:rPr>
                <w:rFonts w:hint="cs"/>
                <w:rtl/>
              </w:rPr>
              <w:t xml:space="preserve">1980 </w:t>
            </w:r>
          </w:p>
        </w:tc>
        <w:tc>
          <w:tcPr>
            <w:tcW w:w="1099" w:type="dxa"/>
          </w:tcPr>
          <w:p w14:paraId="597C8DF1" w14:textId="77777777" w:rsidR="00514196" w:rsidRPr="00514196" w:rsidRDefault="00514196" w:rsidP="00514196">
            <w:pPr>
              <w:pStyle w:val="BodyText"/>
              <w:rPr>
                <w:rtl/>
              </w:rPr>
            </w:pPr>
            <w:r w:rsidRPr="00514196">
              <w:rPr>
                <w:rFonts w:hint="cs"/>
                <w:rtl/>
              </w:rPr>
              <w:t>1983</w:t>
            </w:r>
          </w:p>
        </w:tc>
        <w:tc>
          <w:tcPr>
            <w:tcW w:w="1099" w:type="dxa"/>
          </w:tcPr>
          <w:p w14:paraId="1A5E3C02" w14:textId="77777777" w:rsidR="00514196" w:rsidRPr="00514196" w:rsidRDefault="00514196" w:rsidP="00514196">
            <w:pPr>
              <w:pStyle w:val="BodyText"/>
              <w:rPr>
                <w:rtl/>
              </w:rPr>
            </w:pPr>
            <w:r w:rsidRPr="00514196">
              <w:rPr>
                <w:rFonts w:hint="cs"/>
                <w:rtl/>
              </w:rPr>
              <w:t>1993</w:t>
            </w:r>
          </w:p>
        </w:tc>
        <w:tc>
          <w:tcPr>
            <w:tcW w:w="1099" w:type="dxa"/>
          </w:tcPr>
          <w:p w14:paraId="2C30C9F5" w14:textId="77777777" w:rsidR="00514196" w:rsidRPr="00514196" w:rsidRDefault="00514196" w:rsidP="00514196">
            <w:pPr>
              <w:pStyle w:val="BodyText"/>
              <w:rPr>
                <w:rtl/>
              </w:rPr>
            </w:pPr>
            <w:r w:rsidRPr="00514196">
              <w:rPr>
                <w:rFonts w:hint="cs"/>
                <w:rtl/>
              </w:rPr>
              <w:t>2003</w:t>
            </w:r>
          </w:p>
        </w:tc>
        <w:tc>
          <w:tcPr>
            <w:tcW w:w="1099" w:type="dxa"/>
          </w:tcPr>
          <w:p w14:paraId="66C07C71" w14:textId="77777777" w:rsidR="00514196" w:rsidRPr="00514196" w:rsidRDefault="00514196" w:rsidP="00514196">
            <w:pPr>
              <w:pStyle w:val="BodyText"/>
              <w:rPr>
                <w:rtl/>
              </w:rPr>
            </w:pPr>
            <w:r w:rsidRPr="00514196">
              <w:rPr>
                <w:rFonts w:hint="cs"/>
                <w:rtl/>
              </w:rPr>
              <w:t>2013</w:t>
            </w:r>
          </w:p>
        </w:tc>
        <w:tc>
          <w:tcPr>
            <w:tcW w:w="1100" w:type="dxa"/>
          </w:tcPr>
          <w:p w14:paraId="0172DCFC" w14:textId="77777777" w:rsidR="00514196" w:rsidRPr="00514196" w:rsidRDefault="00514196" w:rsidP="00514196">
            <w:pPr>
              <w:pStyle w:val="BodyText"/>
              <w:rPr>
                <w:rtl/>
              </w:rPr>
            </w:pPr>
            <w:r w:rsidRPr="00514196">
              <w:rPr>
                <w:rFonts w:hint="cs"/>
                <w:rtl/>
              </w:rPr>
              <w:t>2023</w:t>
            </w:r>
          </w:p>
        </w:tc>
        <w:tc>
          <w:tcPr>
            <w:tcW w:w="984" w:type="dxa"/>
          </w:tcPr>
          <w:p w14:paraId="2E947289" w14:textId="77777777" w:rsidR="00514196" w:rsidRPr="00514196" w:rsidRDefault="00514196" w:rsidP="00514196">
            <w:pPr>
              <w:pStyle w:val="BodyText"/>
              <w:rPr>
                <w:rtl/>
              </w:rPr>
            </w:pPr>
            <w:r w:rsidRPr="00514196">
              <w:rPr>
                <w:rFonts w:hint="cs"/>
                <w:rtl/>
              </w:rPr>
              <w:t>2024</w:t>
            </w:r>
          </w:p>
        </w:tc>
      </w:tr>
      <w:tr w:rsidR="00514196" w:rsidRPr="00514196" w14:paraId="1486B362" w14:textId="77777777" w:rsidTr="007B6ADC">
        <w:tc>
          <w:tcPr>
            <w:tcW w:w="1766" w:type="dxa"/>
          </w:tcPr>
          <w:p w14:paraId="1FDB6575" w14:textId="77777777" w:rsidR="00514196" w:rsidRPr="00514196" w:rsidRDefault="00514196" w:rsidP="00514196">
            <w:pPr>
              <w:pStyle w:val="BodyText"/>
              <w:rPr>
                <w:rtl/>
              </w:rPr>
            </w:pPr>
            <w:r w:rsidRPr="00514196">
              <w:rPr>
                <w:rFonts w:hint="cs"/>
                <w:rtl/>
              </w:rPr>
              <w:t>عدد سلطات الإيداع الدولية</w:t>
            </w:r>
          </w:p>
        </w:tc>
        <w:tc>
          <w:tcPr>
            <w:tcW w:w="1099" w:type="dxa"/>
            <w:vAlign w:val="center"/>
          </w:tcPr>
          <w:p w14:paraId="3ECFF0D7" w14:textId="77777777" w:rsidR="00514196" w:rsidRPr="00514196" w:rsidRDefault="00514196" w:rsidP="00514196">
            <w:pPr>
              <w:pStyle w:val="BodyText"/>
              <w:rPr>
                <w:rtl/>
              </w:rPr>
            </w:pPr>
            <w:r w:rsidRPr="00514196">
              <w:rPr>
                <w:rFonts w:hint="cs"/>
                <w:rtl/>
              </w:rPr>
              <w:t>0</w:t>
            </w:r>
          </w:p>
        </w:tc>
        <w:tc>
          <w:tcPr>
            <w:tcW w:w="1099" w:type="dxa"/>
            <w:vAlign w:val="center"/>
          </w:tcPr>
          <w:p w14:paraId="4A573432" w14:textId="77777777" w:rsidR="00514196" w:rsidRPr="00514196" w:rsidRDefault="00514196" w:rsidP="00514196">
            <w:pPr>
              <w:pStyle w:val="BodyText"/>
              <w:rPr>
                <w:rtl/>
              </w:rPr>
            </w:pPr>
            <w:r w:rsidRPr="00514196">
              <w:rPr>
                <w:rFonts w:hint="cs"/>
                <w:rtl/>
              </w:rPr>
              <w:t>11</w:t>
            </w:r>
          </w:p>
        </w:tc>
        <w:tc>
          <w:tcPr>
            <w:tcW w:w="1099" w:type="dxa"/>
            <w:vAlign w:val="center"/>
          </w:tcPr>
          <w:p w14:paraId="0E7A3A48" w14:textId="77777777" w:rsidR="00514196" w:rsidRPr="00514196" w:rsidRDefault="00514196" w:rsidP="00514196">
            <w:pPr>
              <w:pStyle w:val="BodyText"/>
              <w:rPr>
                <w:rtl/>
              </w:rPr>
            </w:pPr>
            <w:r w:rsidRPr="00514196">
              <w:rPr>
                <w:rFonts w:hint="cs"/>
                <w:rtl/>
              </w:rPr>
              <w:t>26</w:t>
            </w:r>
          </w:p>
        </w:tc>
        <w:tc>
          <w:tcPr>
            <w:tcW w:w="1099" w:type="dxa"/>
            <w:vAlign w:val="center"/>
          </w:tcPr>
          <w:p w14:paraId="021AA704" w14:textId="77777777" w:rsidR="00514196" w:rsidRPr="00514196" w:rsidRDefault="00514196" w:rsidP="00514196">
            <w:pPr>
              <w:pStyle w:val="BodyText"/>
              <w:rPr>
                <w:rtl/>
              </w:rPr>
            </w:pPr>
            <w:r w:rsidRPr="00514196">
              <w:rPr>
                <w:rFonts w:hint="cs"/>
                <w:rtl/>
              </w:rPr>
              <w:t>34</w:t>
            </w:r>
          </w:p>
        </w:tc>
        <w:tc>
          <w:tcPr>
            <w:tcW w:w="1099" w:type="dxa"/>
            <w:vAlign w:val="center"/>
          </w:tcPr>
          <w:p w14:paraId="5385E32C" w14:textId="77777777" w:rsidR="00514196" w:rsidRPr="00514196" w:rsidRDefault="00514196" w:rsidP="00514196">
            <w:pPr>
              <w:pStyle w:val="BodyText"/>
              <w:rPr>
                <w:rtl/>
              </w:rPr>
            </w:pPr>
            <w:r w:rsidRPr="00514196">
              <w:rPr>
                <w:rFonts w:hint="cs"/>
                <w:rtl/>
              </w:rPr>
              <w:t>42</w:t>
            </w:r>
          </w:p>
        </w:tc>
        <w:tc>
          <w:tcPr>
            <w:tcW w:w="1100" w:type="dxa"/>
            <w:vAlign w:val="center"/>
          </w:tcPr>
          <w:p w14:paraId="5268FAF5" w14:textId="77777777" w:rsidR="00514196" w:rsidRPr="00514196" w:rsidRDefault="00514196" w:rsidP="00514196">
            <w:pPr>
              <w:pStyle w:val="BodyText"/>
              <w:rPr>
                <w:rtl/>
              </w:rPr>
            </w:pPr>
            <w:r w:rsidRPr="00514196">
              <w:rPr>
                <w:rFonts w:hint="cs"/>
                <w:rtl/>
              </w:rPr>
              <w:t>49</w:t>
            </w:r>
          </w:p>
        </w:tc>
        <w:tc>
          <w:tcPr>
            <w:tcW w:w="984" w:type="dxa"/>
            <w:vAlign w:val="center"/>
          </w:tcPr>
          <w:p w14:paraId="20707008" w14:textId="77777777" w:rsidR="00514196" w:rsidRPr="00514196" w:rsidRDefault="00514196" w:rsidP="00514196">
            <w:pPr>
              <w:pStyle w:val="BodyText"/>
              <w:rPr>
                <w:rtl/>
              </w:rPr>
            </w:pPr>
            <w:r w:rsidRPr="00514196">
              <w:rPr>
                <w:rFonts w:hint="cs"/>
                <w:rtl/>
              </w:rPr>
              <w:t>50</w:t>
            </w:r>
          </w:p>
        </w:tc>
      </w:tr>
    </w:tbl>
    <w:p w14:paraId="0E9C6D3A" w14:textId="77777777" w:rsidR="00514196" w:rsidRPr="00514196" w:rsidRDefault="00514196" w:rsidP="00514196">
      <w:pPr>
        <w:pStyle w:val="BodyText"/>
        <w:rPr>
          <w:lang w:bidi="ar-EG"/>
        </w:rPr>
      </w:pPr>
    </w:p>
    <w:p w14:paraId="22170D82" w14:textId="77777777" w:rsidR="00514196" w:rsidRPr="00514196" w:rsidRDefault="00514196" w:rsidP="00514196">
      <w:pPr>
        <w:pStyle w:val="BodyText"/>
        <w:rPr>
          <w:rtl/>
          <w:lang w:bidi="ar-EG"/>
        </w:rPr>
      </w:pPr>
      <w:r w:rsidRPr="00514196">
        <w:rPr>
          <w:rFonts w:hint="cs"/>
          <w:rtl/>
          <w:lang w:bidi="ar-EG"/>
        </w:rPr>
        <w:t>وحاليًا، توجد سلطات الإيداع الدولية في المجموعات التالية: أفريقيا (سلطة واحدة</w:t>
      </w:r>
      <w:r w:rsidRPr="00514196">
        <w:rPr>
          <w:vertAlign w:val="superscript"/>
          <w:lang w:bidi="ar-EG"/>
        </w:rPr>
        <w:footnoteReference w:id="2"/>
      </w:r>
      <w:r w:rsidRPr="00514196">
        <w:rPr>
          <w:rFonts w:hint="cs"/>
          <w:rtl/>
          <w:lang w:bidi="ar-EG"/>
        </w:rPr>
        <w:t>)، آسيا والمحيط الهادئ (سبع سلطات</w:t>
      </w:r>
      <w:r w:rsidRPr="00514196">
        <w:rPr>
          <w:vertAlign w:val="superscript"/>
          <w:lang w:bidi="ar-EG"/>
        </w:rPr>
        <w:footnoteReference w:id="3"/>
      </w:r>
      <w:r w:rsidRPr="00514196">
        <w:rPr>
          <w:rFonts w:hint="cs"/>
          <w:rtl/>
          <w:lang w:bidi="ar-EG"/>
        </w:rPr>
        <w:t>)، بلدان آسيا الوسطى والقوقاز وأوروبا الشرقية (سلطتان</w:t>
      </w:r>
      <w:r w:rsidRPr="00514196">
        <w:rPr>
          <w:vertAlign w:val="superscript"/>
          <w:lang w:bidi="ar-EG"/>
        </w:rPr>
        <w:footnoteReference w:id="4"/>
      </w:r>
      <w:r w:rsidRPr="00514196">
        <w:rPr>
          <w:rFonts w:hint="cs"/>
          <w:rtl/>
          <w:lang w:bidi="ar-EG"/>
        </w:rPr>
        <w:t>)، دول أوروبا الوسطى والبلطيق (ثماني سلطات</w:t>
      </w:r>
      <w:r w:rsidRPr="00514196">
        <w:rPr>
          <w:vertAlign w:val="superscript"/>
          <w:lang w:bidi="ar-EG"/>
        </w:rPr>
        <w:footnoteReference w:id="5"/>
      </w:r>
      <w:r w:rsidRPr="00514196">
        <w:rPr>
          <w:rFonts w:hint="cs"/>
          <w:rtl/>
          <w:lang w:bidi="ar-EG"/>
        </w:rPr>
        <w:t>)، الصين (ثلاث سلطات)، المجموعة باء (سبع وعشرون سلطة</w:t>
      </w:r>
      <w:r w:rsidRPr="00514196">
        <w:rPr>
          <w:vertAlign w:val="superscript"/>
          <w:lang w:bidi="ar-EG"/>
        </w:rPr>
        <w:footnoteReference w:id="6"/>
      </w:r>
      <w:r w:rsidRPr="00514196">
        <w:rPr>
          <w:rFonts w:hint="cs"/>
          <w:rtl/>
          <w:lang w:bidi="ar-EG"/>
        </w:rPr>
        <w:t>) وأمريكا اللاتينية ومنطقة البحر الكاريبي (سلطتان</w:t>
      </w:r>
      <w:r w:rsidRPr="00514196">
        <w:rPr>
          <w:vertAlign w:val="superscript"/>
          <w:lang w:bidi="ar-EG"/>
        </w:rPr>
        <w:footnoteReference w:id="7"/>
      </w:r>
      <w:r w:rsidRPr="00514196">
        <w:rPr>
          <w:rFonts w:hint="cs"/>
          <w:rtl/>
          <w:lang w:bidi="ar-EG"/>
        </w:rPr>
        <w:t>)</w:t>
      </w:r>
      <w:r w:rsidR="008518FF">
        <w:rPr>
          <w:rFonts w:hint="cs"/>
          <w:rtl/>
          <w:lang w:bidi="ar-EG"/>
        </w:rPr>
        <w:t xml:space="preserve">. </w:t>
      </w:r>
    </w:p>
    <w:p w14:paraId="696DF9FC" w14:textId="111A7F4E" w:rsidR="00514196" w:rsidRPr="00514196" w:rsidRDefault="00514196" w:rsidP="00B72228">
      <w:pPr>
        <w:pStyle w:val="ONUMA"/>
        <w:rPr>
          <w:rtl/>
          <w:lang w:bidi="ar-EG"/>
        </w:rPr>
      </w:pPr>
      <w:r w:rsidRPr="00514196">
        <w:rPr>
          <w:rFonts w:hint="cs"/>
          <w:rtl/>
          <w:lang w:bidi="ar-EG"/>
        </w:rPr>
        <w:t>وتجدر الإشارة إلى أن عضوية المعاهدة ومواقع سلطات الإيداع الدولية تظهِر قدرًا أكبر من التنوع الجغرافي مع مرور الوقت</w:t>
      </w:r>
      <w:r w:rsidR="008518FF">
        <w:rPr>
          <w:rFonts w:hint="cs"/>
          <w:rtl/>
          <w:lang w:bidi="ar-EG"/>
        </w:rPr>
        <w:t xml:space="preserve">. </w:t>
      </w:r>
      <w:r w:rsidRPr="00514196">
        <w:rPr>
          <w:rFonts w:hint="cs"/>
          <w:rtl/>
          <w:lang w:bidi="ar-EG"/>
        </w:rPr>
        <w:t xml:space="preserve">وتُتاح على </w:t>
      </w:r>
      <w:hyperlink r:id="rId12" w:history="1">
        <w:r w:rsidRPr="00514196">
          <w:rPr>
            <w:rStyle w:val="Hyperlink"/>
            <w:rFonts w:hint="cs"/>
            <w:rtl/>
            <w:lang w:bidi="ar-EG"/>
          </w:rPr>
          <w:t>الموقع الإلكتروني لمعاهدة بودابست</w:t>
        </w:r>
      </w:hyperlink>
      <w:r w:rsidRPr="00514196">
        <w:rPr>
          <w:rFonts w:hint="cs"/>
          <w:rtl/>
          <w:lang w:bidi="ar-EG"/>
        </w:rPr>
        <w:t xml:space="preserve"> قائمة الدول المتعاقدة في معاهدة بودابست وسلطات الإيداع الدولية.</w:t>
      </w:r>
    </w:p>
    <w:p w14:paraId="3B1C1682" w14:textId="77777777" w:rsidR="00514196" w:rsidRPr="00514196" w:rsidRDefault="00514196" w:rsidP="00B72228">
      <w:pPr>
        <w:pStyle w:val="Heading3"/>
        <w:rPr>
          <w:rtl/>
        </w:rPr>
      </w:pPr>
      <w:r w:rsidRPr="00514196">
        <w:rPr>
          <w:rFonts w:hint="cs"/>
          <w:rtl/>
        </w:rPr>
        <w:t>التغييرات في اللائحة التنفيذية لمعاهدة بودابست</w:t>
      </w:r>
    </w:p>
    <w:p w14:paraId="3F984A86" w14:textId="77777777" w:rsidR="00514196" w:rsidRPr="00514196" w:rsidRDefault="00514196" w:rsidP="00B72228">
      <w:pPr>
        <w:pStyle w:val="ONUMA"/>
        <w:rPr>
          <w:rtl/>
          <w:lang w:bidi="ar-EG"/>
        </w:rPr>
      </w:pPr>
      <w:r w:rsidRPr="00514196">
        <w:rPr>
          <w:rFonts w:hint="cs"/>
          <w:rtl/>
          <w:lang w:bidi="ar-EG"/>
        </w:rPr>
        <w:t>في عام 2022، قرّرت جمعية اتحاد بودابست تعديل القاعدة 4.11(أ)"1" و(ب) من معاهدة بودابست، وتوسيع نطاق لغات بعض التبليغات الموجهة إلى سلطات الإيداع الدولية لكي تشمل لغات الويبو الرسمية الست</w:t>
      </w:r>
      <w:r w:rsidR="008518FF">
        <w:rPr>
          <w:rFonts w:hint="cs"/>
          <w:rtl/>
          <w:lang w:bidi="ar-EG"/>
        </w:rPr>
        <w:t xml:space="preserve">. </w:t>
      </w:r>
      <w:r w:rsidRPr="00514196">
        <w:rPr>
          <w:rFonts w:hint="cs"/>
          <w:rtl/>
          <w:lang w:bidi="ar-EG"/>
        </w:rPr>
        <w:t xml:space="preserve">ودخلت هذه التعديلات حيز التنفيذ في 1 فبراير 2023. </w:t>
      </w:r>
    </w:p>
    <w:p w14:paraId="506FD397" w14:textId="510E2271" w:rsidR="00514196" w:rsidRPr="00514196" w:rsidRDefault="00514196" w:rsidP="00B72228">
      <w:pPr>
        <w:pStyle w:val="ONUMA"/>
        <w:rPr>
          <w:rtl/>
          <w:lang w:bidi="ar-EG"/>
        </w:rPr>
      </w:pPr>
      <w:r w:rsidRPr="00514196">
        <w:rPr>
          <w:rFonts w:hint="cs"/>
          <w:rtl/>
          <w:lang w:bidi="ar-EG"/>
        </w:rPr>
        <w:t xml:space="preserve">وإضافة إلى ذلك، وتماشياً مع قرار الجمعية، نشر المكتب الدولي </w:t>
      </w:r>
      <w:hyperlink r:id="rId13" w:history="1">
        <w:r w:rsidRPr="00514196">
          <w:rPr>
            <w:rStyle w:val="Hyperlink"/>
            <w:rFonts w:hint="cs"/>
            <w:rtl/>
            <w:lang w:bidi="ar-EG"/>
          </w:rPr>
          <w:t xml:space="preserve">الاستمارات الجديدة بموجب معاهدة بودابست </w:t>
        </w:r>
      </w:hyperlink>
      <w:r w:rsidRPr="00514196">
        <w:rPr>
          <w:rFonts w:hint="cs"/>
          <w:rtl/>
          <w:lang w:bidi="ar-EG"/>
        </w:rPr>
        <w:t>بلغات الويبو الرسمية الست</w:t>
      </w:r>
      <w:r w:rsidR="008518FF">
        <w:rPr>
          <w:rFonts w:hint="cs"/>
          <w:rtl/>
          <w:lang w:bidi="ar-EG"/>
        </w:rPr>
        <w:t xml:space="preserve">. </w:t>
      </w:r>
      <w:r w:rsidRPr="00514196">
        <w:rPr>
          <w:rFonts w:hint="cs"/>
          <w:rtl/>
          <w:lang w:bidi="ar-EG"/>
        </w:rPr>
        <w:t xml:space="preserve">وتتضمن هذه الاستمارات الآن مساحات مخصصة لعناوين البريد الإلكتروني وأرقام هواتف الأطراف المعنيين. </w:t>
      </w:r>
    </w:p>
    <w:p w14:paraId="6D152AAF" w14:textId="77777777" w:rsidR="00514196" w:rsidRPr="00514196" w:rsidRDefault="00514196" w:rsidP="00B72228">
      <w:pPr>
        <w:pStyle w:val="Heading3"/>
        <w:rPr>
          <w:rtl/>
        </w:rPr>
      </w:pPr>
      <w:r w:rsidRPr="00514196">
        <w:rPr>
          <w:rFonts w:hint="cs"/>
          <w:rtl/>
        </w:rPr>
        <w:t>الإخطارات والتبليغات</w:t>
      </w:r>
    </w:p>
    <w:p w14:paraId="60136BD1" w14:textId="5011AB73" w:rsidR="00514196" w:rsidRPr="00514196" w:rsidRDefault="00514196" w:rsidP="00B72228">
      <w:pPr>
        <w:pStyle w:val="ONUMA"/>
        <w:rPr>
          <w:rtl/>
          <w:lang w:bidi="ar-EG"/>
        </w:rPr>
      </w:pPr>
      <w:r w:rsidRPr="00514196">
        <w:rPr>
          <w:rFonts w:hint="cs"/>
          <w:rtl/>
          <w:lang w:bidi="ar-EG"/>
        </w:rPr>
        <w:t>تنظّم معاهدة بودابست مختلف أنواع التبليغات التي ترسلها الدول المتعاقدة والمنظمات الدولية الحكومية للملكية الصناعية إلى المكتب الدولي</w:t>
      </w:r>
      <w:r w:rsidR="008518FF">
        <w:rPr>
          <w:rFonts w:hint="cs"/>
          <w:rtl/>
          <w:lang w:bidi="ar-EG"/>
        </w:rPr>
        <w:t xml:space="preserve">. </w:t>
      </w:r>
      <w:r w:rsidRPr="00514196">
        <w:rPr>
          <w:rFonts w:hint="cs"/>
          <w:rtl/>
          <w:lang w:bidi="ar-EG"/>
        </w:rPr>
        <w:t xml:space="preserve">وقد تتعلق، على سبيل المثال، بالحصول على صفة "سلطة إيداع دولية" أو متطلبات سلطة الإيداع الدولية لقبول </w:t>
      </w:r>
      <w:r w:rsidRPr="00514196">
        <w:rPr>
          <w:rFonts w:hint="cs"/>
          <w:rtl/>
          <w:lang w:bidi="ar-EG"/>
        </w:rPr>
        <w:lastRenderedPageBreak/>
        <w:t>الإيداعات، بما في ذلك التغييرات في جدول الرسوم التي تفرضها سلطة الإيداع الدولية</w:t>
      </w:r>
      <w:r w:rsidR="008518FF">
        <w:rPr>
          <w:rFonts w:hint="cs"/>
          <w:rtl/>
          <w:lang w:bidi="ar-EG"/>
        </w:rPr>
        <w:t xml:space="preserve">. </w:t>
      </w:r>
      <w:r w:rsidRPr="00514196">
        <w:rPr>
          <w:rFonts w:hint="cs"/>
          <w:rtl/>
          <w:lang w:bidi="ar-EG"/>
        </w:rPr>
        <w:t xml:space="preserve">وإضافة إلى إخطارات الانضمام/التصديق الجديدة على معاهدة بودابست والإعلانات الجديدة بموجب المادة 9(1)(أ)، يقوم المكتب الدولي بإخطار هذه </w:t>
      </w:r>
      <w:hyperlink r:id="rId14" w:history="1">
        <w:r w:rsidRPr="00514196">
          <w:rPr>
            <w:rStyle w:val="Hyperlink"/>
            <w:rFonts w:hint="cs"/>
            <w:rtl/>
            <w:lang w:bidi="ar-EG"/>
          </w:rPr>
          <w:t>التبليغات</w:t>
        </w:r>
      </w:hyperlink>
      <w:r w:rsidRPr="00514196">
        <w:rPr>
          <w:rFonts w:hint="cs"/>
          <w:rtl/>
          <w:lang w:bidi="ar-EG"/>
        </w:rPr>
        <w:t xml:space="preserve"> ونشرها على الموقع الإلكتروني لمعاهدة بودابست</w:t>
      </w:r>
      <w:r w:rsidR="008518FF">
        <w:rPr>
          <w:rFonts w:hint="cs"/>
          <w:rtl/>
          <w:lang w:bidi="ar-EG"/>
        </w:rPr>
        <w:t xml:space="preserve">. </w:t>
      </w:r>
    </w:p>
    <w:p w14:paraId="641C0EA9" w14:textId="77777777" w:rsidR="00514196" w:rsidRPr="00514196" w:rsidRDefault="00514196" w:rsidP="00B72228">
      <w:pPr>
        <w:pStyle w:val="ONUMA"/>
        <w:rPr>
          <w:rtl/>
          <w:lang w:bidi="ar-EG"/>
        </w:rPr>
      </w:pPr>
      <w:r w:rsidRPr="00514196">
        <w:rPr>
          <w:rFonts w:hint="cs"/>
          <w:rtl/>
          <w:lang w:bidi="ar-EG"/>
        </w:rPr>
        <w:t>ومنذ يوليو 2022، قام المكتب الدولي بإخطار ونشر التبليغات الواردة من المملكة المتحدة والمكتب الأوروبي للبراءات وبولندا واليابان وإسبانيا والولايات المتحدة الأمريكية وفنلندا والبرتغال (بحسب ترتيب النشر).</w:t>
      </w:r>
    </w:p>
    <w:p w14:paraId="236B4C27" w14:textId="77777777" w:rsidR="00514196" w:rsidRPr="00514196" w:rsidRDefault="00514196" w:rsidP="00B72228">
      <w:pPr>
        <w:pStyle w:val="Heading3"/>
        <w:rPr>
          <w:rtl/>
        </w:rPr>
      </w:pPr>
      <w:r w:rsidRPr="00514196">
        <w:rPr>
          <w:rFonts w:hint="cs"/>
          <w:rtl/>
        </w:rPr>
        <w:t>تحديث دليل إيداع الكائنات الدقيقة بموجب معاهدة بودابست</w:t>
      </w:r>
    </w:p>
    <w:p w14:paraId="66553714" w14:textId="6C8D4934" w:rsidR="00514196" w:rsidRPr="00514196" w:rsidRDefault="00514196" w:rsidP="00B72228">
      <w:pPr>
        <w:pStyle w:val="ONUMA"/>
        <w:rPr>
          <w:rtl/>
          <w:lang w:bidi="ar-EG"/>
        </w:rPr>
      </w:pPr>
      <w:r w:rsidRPr="00514196">
        <w:rPr>
          <w:rFonts w:hint="cs"/>
          <w:rtl/>
          <w:lang w:bidi="ar-EG"/>
        </w:rPr>
        <w:t xml:space="preserve">يحتوي </w:t>
      </w:r>
      <w:hyperlink r:id="rId15" w:history="1">
        <w:r w:rsidRPr="00514196">
          <w:rPr>
            <w:rStyle w:val="Hyperlink"/>
            <w:rFonts w:hint="cs"/>
            <w:rtl/>
            <w:lang w:bidi="ar-EG"/>
          </w:rPr>
          <w:t>دليل إيداع الكائنات الدقيقة بموجب معاهدة بودابست</w:t>
        </w:r>
      </w:hyperlink>
      <w:r w:rsidRPr="00514196">
        <w:rPr>
          <w:rFonts w:hint="cs"/>
          <w:rtl/>
          <w:lang w:bidi="ar-EG"/>
        </w:rPr>
        <w:t xml:space="preserve"> على معلومات عن المتطلبات الواجب استيفاؤها والإجراءات التي يتعين اتباعها من قبل مستخدمي نظام بودابست فيما يخص إيداع الكائنات الدقيقة والحصول على عينات من الكائنات الدقيقة المودعة بموجب معاهدة بودابست.</w:t>
      </w:r>
    </w:p>
    <w:p w14:paraId="6E2EDBF8" w14:textId="77777777" w:rsidR="00514196" w:rsidRPr="00514196" w:rsidRDefault="00514196" w:rsidP="00B72228">
      <w:pPr>
        <w:pStyle w:val="ONUMA"/>
        <w:rPr>
          <w:rtl/>
          <w:lang w:bidi="ar-EG"/>
        </w:rPr>
      </w:pPr>
      <w:r w:rsidRPr="00514196">
        <w:rPr>
          <w:rFonts w:hint="cs"/>
          <w:rtl/>
          <w:lang w:bidi="ar-EG"/>
        </w:rPr>
        <w:t>وإضافة إلى مقدمة عامة عن معاهدة بودابست والمتطلبات العامة لإيداع العينات وتقديمها، يعرض الدليل في القسم دال المتطلبات التقنية والإدارية لكل سلطة إيداع دولية فيما يخص تلقي إيداع الكائنات الدقيقة وتقديم عينات من الكائنات الحية الدقيقة المودعة (على سبيل المثال، أنواع الكائنات الدقيقة المقبولة، والشكل والكمية التي تُستلم بها الكائنات الدقيقة، وجدول الرسوم، وما إلى ذلك).</w:t>
      </w:r>
    </w:p>
    <w:p w14:paraId="16B9B3E7" w14:textId="77777777" w:rsidR="00514196" w:rsidRPr="00514196" w:rsidRDefault="00514196" w:rsidP="00B72228">
      <w:pPr>
        <w:pStyle w:val="ONUMA"/>
        <w:rPr>
          <w:rtl/>
          <w:lang w:bidi="ar-EG"/>
        </w:rPr>
      </w:pPr>
      <w:r w:rsidRPr="00514196">
        <w:rPr>
          <w:rFonts w:hint="cs"/>
          <w:rtl/>
          <w:lang w:bidi="ar-EG"/>
        </w:rPr>
        <w:t>ويُحدّث القسم دال بانتظام، بناءً على المعلومات الواردة من الدول المتعاقدة أو سلطات الإيداع الدولية (حسب الحالة)</w:t>
      </w:r>
      <w:r w:rsidR="008518FF">
        <w:rPr>
          <w:rFonts w:hint="cs"/>
          <w:rtl/>
          <w:lang w:bidi="ar-EG"/>
        </w:rPr>
        <w:t xml:space="preserve">. </w:t>
      </w:r>
      <w:r w:rsidRPr="00514196">
        <w:rPr>
          <w:rFonts w:hint="cs"/>
          <w:rtl/>
          <w:lang w:bidi="ar-EG"/>
        </w:rPr>
        <w:t>وفي عام 2024، تم تحديث المعلومات الواردة من 16 سلطة إيداع دولية</w:t>
      </w:r>
      <w:r w:rsidR="008518FF">
        <w:rPr>
          <w:rFonts w:hint="cs"/>
          <w:rtl/>
          <w:lang w:bidi="ar-EG"/>
        </w:rPr>
        <w:t xml:space="preserve">. </w:t>
      </w:r>
    </w:p>
    <w:p w14:paraId="6D3773AA" w14:textId="77777777" w:rsidR="00514196" w:rsidRPr="00514196" w:rsidRDefault="00514196" w:rsidP="00B72228">
      <w:pPr>
        <w:pStyle w:val="ONUMA"/>
        <w:rPr>
          <w:rtl/>
          <w:lang w:bidi="ar-EG"/>
        </w:rPr>
      </w:pPr>
      <w:r w:rsidRPr="00514196">
        <w:rPr>
          <w:rFonts w:hint="cs"/>
          <w:rtl/>
          <w:lang w:bidi="ar-EG"/>
        </w:rPr>
        <w:t>ويحتوي القسم هاء من الدليل على معلومات عن متطلبات مكاتب الملكية الفكرية ومنظمات البراءات الإقليمية فيما يتعلق بإيداع الكائنات الدقيقة وتقديم عيناتها بموجب معاهدة بودابست (على سبيل المثال، وقت الإيداع، والشروط التي تتوفر بموجبها عينة من الكائنات الدقيقة المودعة المستخدمة في طلب البراءة)</w:t>
      </w:r>
      <w:r w:rsidR="008518FF">
        <w:rPr>
          <w:rFonts w:hint="cs"/>
          <w:rtl/>
          <w:lang w:bidi="ar-EG"/>
        </w:rPr>
        <w:t xml:space="preserve">. </w:t>
      </w:r>
      <w:r w:rsidRPr="00514196">
        <w:rPr>
          <w:rFonts w:hint="cs"/>
          <w:rtl/>
          <w:lang w:bidi="ar-EG"/>
        </w:rPr>
        <w:t>ويطلب المكتب الدولي بانتظام من الدول المتعاقدة تقديم المعلومات المتعلقة بمتطلباتها المعنية، أو تحديثها.</w:t>
      </w:r>
    </w:p>
    <w:p w14:paraId="035D3D4B" w14:textId="77777777" w:rsidR="00514196" w:rsidRPr="00514196" w:rsidRDefault="00514196" w:rsidP="00B72228">
      <w:pPr>
        <w:pStyle w:val="ONUMA"/>
        <w:rPr>
          <w:rtl/>
          <w:lang w:bidi="ar-EG"/>
        </w:rPr>
      </w:pPr>
      <w:r w:rsidRPr="00514196">
        <w:rPr>
          <w:rFonts w:hint="cs"/>
          <w:rtl/>
          <w:lang w:bidi="ar-EG"/>
        </w:rPr>
        <w:t>وفي عام 2024، قام المكتب الدولي بتحديث القسم هاء بالمعلومات الواردة من بيلاروس وبلغاريا وشيلي والجمهورية التشيكية وهنغاريا وإيسلندا ولاتفيا وبيرو وبولندا وجمهورية مولدوفا وصربيا وسنغافورة وسلوفينيا وإسبانيا وتركيا والمملكة المتحدة، والمنظمة الأوروبية للبراءات، والمنظمة الأفريقية للملكية الفكرية.</w:t>
      </w:r>
    </w:p>
    <w:p w14:paraId="2B051587" w14:textId="77777777" w:rsidR="00514196" w:rsidRPr="00514196" w:rsidRDefault="00514196" w:rsidP="00B72228">
      <w:pPr>
        <w:pStyle w:val="Heading3"/>
        <w:rPr>
          <w:rtl/>
        </w:rPr>
      </w:pPr>
      <w:r w:rsidRPr="00514196">
        <w:rPr>
          <w:rFonts w:hint="cs"/>
          <w:rtl/>
        </w:rPr>
        <w:t>الإحصاءات</w:t>
      </w:r>
    </w:p>
    <w:p w14:paraId="7D17A71E" w14:textId="05B95B51" w:rsidR="00514196" w:rsidRPr="00514196" w:rsidRDefault="00514196" w:rsidP="00B72228">
      <w:pPr>
        <w:pStyle w:val="ONUMA"/>
        <w:rPr>
          <w:rtl/>
          <w:lang w:bidi="ar-EG"/>
        </w:rPr>
      </w:pPr>
      <w:r w:rsidRPr="00514196">
        <w:rPr>
          <w:rFonts w:hint="cs"/>
          <w:rtl/>
          <w:lang w:bidi="ar-EG"/>
        </w:rPr>
        <w:t xml:space="preserve">يتولّى المكتب الدولي جمع ونشر الإحصاءات السنوية بشأن </w:t>
      </w:r>
      <w:hyperlink r:id="rId16" w:history="1">
        <w:r w:rsidRPr="00514196">
          <w:rPr>
            <w:rStyle w:val="Hyperlink"/>
            <w:rFonts w:hint="cs"/>
            <w:rtl/>
            <w:lang w:bidi="ar-EG"/>
          </w:rPr>
          <w:t>عدد الكائنات الدقيقة المودعة وعدد العينات المقدمة من الكائنات الدقيقة المودعة</w:t>
        </w:r>
      </w:hyperlink>
      <w:r w:rsidRPr="00514196">
        <w:rPr>
          <w:rFonts w:hint="cs"/>
          <w:rtl/>
          <w:lang w:bidi="ar-EG"/>
        </w:rPr>
        <w:t xml:space="preserve"> بموجب معاهدة بودابست، استناداً إلى البيانات الواردة من سلطات الإيداع الدولية</w:t>
      </w:r>
      <w:r w:rsidR="008518FF">
        <w:rPr>
          <w:rFonts w:hint="cs"/>
          <w:rtl/>
          <w:lang w:bidi="ar-EG"/>
        </w:rPr>
        <w:t xml:space="preserve">. </w:t>
      </w:r>
      <w:r w:rsidRPr="00514196">
        <w:rPr>
          <w:rFonts w:hint="cs"/>
          <w:rtl/>
          <w:lang w:bidi="ar-EG"/>
        </w:rPr>
        <w:t>ويوضح الشكل 1 أدناه أنه في عام 2022، أُودع ما مجموعه 9,808 كائنات دقيقة لدى سلطات الإيداع الدولية</w:t>
      </w:r>
      <w:r w:rsidR="008518FF">
        <w:rPr>
          <w:rFonts w:hint="cs"/>
          <w:rtl/>
          <w:lang w:bidi="ar-EG"/>
        </w:rPr>
        <w:t xml:space="preserve">. </w:t>
      </w:r>
      <w:r w:rsidRPr="00514196">
        <w:rPr>
          <w:rFonts w:hint="cs"/>
          <w:rtl/>
          <w:lang w:bidi="ar-EG"/>
        </w:rPr>
        <w:t>وقد أدى ذلك إلى زيادة بنسبة 12% عن عدد الإيداعات التي تم إجراؤها في عام 2021</w:t>
      </w:r>
      <w:r w:rsidR="008518FF">
        <w:rPr>
          <w:rFonts w:hint="cs"/>
          <w:rtl/>
          <w:lang w:bidi="ar-EG"/>
        </w:rPr>
        <w:t xml:space="preserve">. </w:t>
      </w:r>
      <w:r w:rsidRPr="00514196">
        <w:rPr>
          <w:rFonts w:hint="cs"/>
          <w:rtl/>
          <w:lang w:bidi="ar-EG"/>
        </w:rPr>
        <w:t>ويتزايد عدد الكائنات الدقيقة المودعة بشكل مطرد منذ عام 2002 (مع استثناء ملحوظ في عام 2020)، وقد تضاعف هذا العدد خلال السنوات العشر الماضية</w:t>
      </w:r>
      <w:r w:rsidR="008518FF">
        <w:rPr>
          <w:rFonts w:hint="cs"/>
          <w:rtl/>
          <w:lang w:bidi="ar-EG"/>
        </w:rPr>
        <w:t xml:space="preserve">. </w:t>
      </w:r>
      <w:r w:rsidRPr="00514196">
        <w:rPr>
          <w:rFonts w:hint="cs"/>
          <w:rtl/>
          <w:lang w:bidi="ar-EG"/>
        </w:rPr>
        <w:t>ويعرض الشكل 2 تفاصيل الكائنات الدقيقة المودعة في عام 2022، مرتبة بحسب البلد الذي تقع فيه سلطة الإيداع الدولية.</w:t>
      </w:r>
    </w:p>
    <w:p w14:paraId="0F732A41" w14:textId="77777777" w:rsidR="00F03957" w:rsidRDefault="00F03957">
      <w:pPr>
        <w:bidi w:val="0"/>
        <w:rPr>
          <w:b/>
          <w:bCs/>
          <w:rtl/>
          <w:lang w:bidi="ar-EG"/>
        </w:rPr>
      </w:pPr>
      <w:r>
        <w:rPr>
          <w:b/>
          <w:bCs/>
          <w:rtl/>
          <w:lang w:bidi="ar-EG"/>
        </w:rPr>
        <w:br w:type="page"/>
      </w:r>
    </w:p>
    <w:p w14:paraId="5028B8EF" w14:textId="77777777" w:rsidR="00514196" w:rsidRPr="00514196" w:rsidRDefault="00514196" w:rsidP="003C008A">
      <w:pPr>
        <w:pStyle w:val="BodyText"/>
        <w:rPr>
          <w:b/>
          <w:bCs/>
          <w:rtl/>
          <w:lang w:bidi="ar-EG"/>
        </w:rPr>
      </w:pPr>
      <w:r w:rsidRPr="00514196">
        <w:rPr>
          <w:rFonts w:hint="cs"/>
          <w:b/>
          <w:bCs/>
          <w:rtl/>
          <w:lang w:bidi="ar-EG"/>
        </w:rPr>
        <w:lastRenderedPageBreak/>
        <w:t>الشكل 1</w:t>
      </w:r>
    </w:p>
    <w:p w14:paraId="454B80F1" w14:textId="77777777" w:rsidR="00514196" w:rsidRPr="00514196" w:rsidRDefault="00F03957" w:rsidP="00F03957">
      <w:pPr>
        <w:pStyle w:val="BodyText"/>
        <w:jc w:val="center"/>
        <w:rPr>
          <w:b/>
          <w:bCs/>
          <w:lang w:bidi="ar-EG"/>
        </w:rPr>
      </w:pPr>
      <w:r w:rsidRPr="00F03957">
        <w:rPr>
          <w:rFonts w:asciiTheme="minorHAnsi" w:hAnsiTheme="minorHAnsi" w:cstheme="minorHAnsi"/>
          <w:noProof/>
        </w:rPr>
        <w:drawing>
          <wp:inline distT="0" distB="0" distL="0" distR="0" wp14:anchorId="6B1CB515" wp14:editId="1B10D1C4">
            <wp:extent cx="4572000" cy="2731770"/>
            <wp:effectExtent l="0" t="0" r="0" b="11430"/>
            <wp:docPr id="1" name="Chart 1" descr="عدد الكائنات الدقيقية المودعة لدى سلطات الإيداع الدولية&#10;">
              <a:extLst xmlns:a="http://schemas.openxmlformats.org/drawingml/2006/main">
                <a:ext uri="{FF2B5EF4-FFF2-40B4-BE49-F238E27FC236}">
                  <a16:creationId xmlns:a16="http://schemas.microsoft.com/office/drawing/2014/main" id="{BD0D6F3D-F4D4-4B77-B55D-B06BF2EBF6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9E6867" w14:textId="77777777" w:rsidR="00514196" w:rsidRPr="00514196" w:rsidRDefault="00514196" w:rsidP="00514196">
      <w:pPr>
        <w:pStyle w:val="BodyText"/>
        <w:rPr>
          <w:b/>
          <w:bCs/>
          <w:lang w:bidi="ar-EG"/>
        </w:rPr>
      </w:pPr>
    </w:p>
    <w:p w14:paraId="641822DD" w14:textId="77777777" w:rsidR="00514196" w:rsidRPr="00514196" w:rsidRDefault="00514196" w:rsidP="003C008A">
      <w:pPr>
        <w:pStyle w:val="BodyText"/>
        <w:rPr>
          <w:b/>
          <w:bCs/>
          <w:rtl/>
          <w:lang w:bidi="ar-EG"/>
        </w:rPr>
      </w:pPr>
      <w:r w:rsidRPr="00514196">
        <w:rPr>
          <w:rFonts w:hint="cs"/>
          <w:b/>
          <w:bCs/>
          <w:rtl/>
          <w:lang w:bidi="ar-EG"/>
        </w:rPr>
        <w:t>الشكل 2</w:t>
      </w:r>
    </w:p>
    <w:p w14:paraId="0CFE6469" w14:textId="77777777" w:rsidR="00514196" w:rsidRPr="00514196" w:rsidRDefault="002C3DB1" w:rsidP="002C3DB1">
      <w:pPr>
        <w:pStyle w:val="BodyText"/>
        <w:jc w:val="center"/>
        <w:rPr>
          <w:b/>
          <w:bCs/>
          <w:lang w:bidi="ar-EG"/>
        </w:rPr>
      </w:pPr>
      <w:r>
        <w:rPr>
          <w:noProof/>
        </w:rPr>
        <w:drawing>
          <wp:inline distT="0" distB="0" distL="0" distR="0" wp14:anchorId="274C7DD3" wp14:editId="39C512AE">
            <wp:extent cx="5090159" cy="3827781"/>
            <wp:effectExtent l="0" t="0" r="15875" b="1270"/>
            <wp:docPr id="5" name="Chart 5" descr="توزيع عدد الكائنات الدقيقة المودعة لدى سلطات الإيداع الدولية بحسب البلد وموقع سلطة الإيداع الدولية (2022) &#10;">
              <a:extLst xmlns:a="http://schemas.openxmlformats.org/drawingml/2006/main">
                <a:ext uri="{FF2B5EF4-FFF2-40B4-BE49-F238E27FC236}">
                  <a16:creationId xmlns:a16="http://schemas.microsoft.com/office/drawing/2014/main" id="{F48E8FF0-5C2D-151C-415A-BD02299D74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5EC7BF" w14:textId="77777777" w:rsidR="00514196" w:rsidRPr="00514196" w:rsidRDefault="00514196" w:rsidP="00514196">
      <w:pPr>
        <w:pStyle w:val="BodyText"/>
        <w:rPr>
          <w:lang w:bidi="ar-EG"/>
        </w:rPr>
      </w:pPr>
    </w:p>
    <w:p w14:paraId="4D219552" w14:textId="77777777" w:rsidR="00514196" w:rsidRPr="00514196" w:rsidRDefault="003C008A" w:rsidP="002C3DB1">
      <w:pPr>
        <w:pStyle w:val="ONUMA"/>
        <w:rPr>
          <w:rtl/>
          <w:lang w:bidi="ar-EG"/>
        </w:rPr>
      </w:pPr>
      <w:r>
        <w:rPr>
          <w:rFonts w:hint="cs"/>
          <w:rtl/>
          <w:lang w:bidi="ar-EG"/>
        </w:rPr>
        <w:t>و</w:t>
      </w:r>
      <w:r w:rsidR="00514196" w:rsidRPr="00514196">
        <w:rPr>
          <w:rFonts w:hint="cs"/>
          <w:rtl/>
          <w:lang w:bidi="ar-EG"/>
        </w:rPr>
        <w:t>فيما يتعلق بعينات الكائنات الدقيقة المودعة التي تقدمها سلطات الإيداع الدولية، تم تقديم ما مجموعه 1,751 عينة في عام 2022 (الشكل 3).</w:t>
      </w:r>
    </w:p>
    <w:p w14:paraId="1C6A47B4" w14:textId="77777777" w:rsidR="005D6EA5" w:rsidRDefault="005D6EA5">
      <w:pPr>
        <w:bidi w:val="0"/>
        <w:rPr>
          <w:b/>
          <w:bCs/>
          <w:rtl/>
          <w:lang w:bidi="ar-EG"/>
        </w:rPr>
      </w:pPr>
      <w:r>
        <w:rPr>
          <w:b/>
          <w:bCs/>
          <w:rtl/>
          <w:lang w:bidi="ar-EG"/>
        </w:rPr>
        <w:br w:type="page"/>
      </w:r>
    </w:p>
    <w:p w14:paraId="344D80DC" w14:textId="77777777" w:rsidR="00514196" w:rsidRPr="00514196" w:rsidRDefault="00514196" w:rsidP="003C008A">
      <w:pPr>
        <w:pStyle w:val="BodyText"/>
        <w:rPr>
          <w:b/>
          <w:bCs/>
          <w:rtl/>
          <w:lang w:bidi="ar-EG"/>
        </w:rPr>
      </w:pPr>
      <w:r w:rsidRPr="00514196">
        <w:rPr>
          <w:rFonts w:hint="cs"/>
          <w:b/>
          <w:bCs/>
          <w:rtl/>
          <w:lang w:bidi="ar-EG"/>
        </w:rPr>
        <w:lastRenderedPageBreak/>
        <w:t>الشكل 3</w:t>
      </w:r>
    </w:p>
    <w:p w14:paraId="1C5541CE" w14:textId="77777777" w:rsidR="00514196" w:rsidRPr="00514196" w:rsidRDefault="002C3DB1" w:rsidP="002C3DB1">
      <w:pPr>
        <w:pStyle w:val="BodyText"/>
        <w:jc w:val="center"/>
        <w:rPr>
          <w:b/>
          <w:bCs/>
          <w:lang w:bidi="ar-EG"/>
        </w:rPr>
      </w:pPr>
      <w:r>
        <w:rPr>
          <w:noProof/>
        </w:rPr>
        <w:drawing>
          <wp:inline distT="0" distB="0" distL="0" distR="0" wp14:anchorId="2649C02B" wp14:editId="046F218A">
            <wp:extent cx="4572000" cy="2731770"/>
            <wp:effectExtent l="0" t="0" r="0" b="11430"/>
            <wp:docPr id="4" name="Chart 4" descr="عدد عينات الكائنات الدقيقة المودعة التي تقدمها سلطات الإيداع الدولية&#10;">
              <a:extLst xmlns:a="http://schemas.openxmlformats.org/drawingml/2006/main">
                <a:ext uri="{FF2B5EF4-FFF2-40B4-BE49-F238E27FC236}">
                  <a16:creationId xmlns:a16="http://schemas.microsoft.com/office/drawing/2014/main" id="{39647D43-A58F-46EE-9AD8-7E05B530B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CA3310" w14:textId="77777777" w:rsidR="00514196" w:rsidRPr="00514196" w:rsidRDefault="00514196" w:rsidP="00514196">
      <w:pPr>
        <w:pStyle w:val="BodyText"/>
        <w:rPr>
          <w:b/>
          <w:bCs/>
          <w:lang w:bidi="ar-EG"/>
        </w:rPr>
      </w:pPr>
    </w:p>
    <w:p w14:paraId="21159B45" w14:textId="77777777" w:rsidR="00514196" w:rsidRPr="00514196" w:rsidRDefault="003C008A" w:rsidP="00C51985">
      <w:pPr>
        <w:pStyle w:val="ONUMA"/>
        <w:rPr>
          <w:rtl/>
          <w:lang w:bidi="ar-EG"/>
        </w:rPr>
      </w:pPr>
      <w:r>
        <w:rPr>
          <w:rFonts w:hint="cs"/>
          <w:rtl/>
          <w:lang w:bidi="ar-EG"/>
        </w:rPr>
        <w:t>و</w:t>
      </w:r>
      <w:r w:rsidR="00514196" w:rsidRPr="00514196">
        <w:rPr>
          <w:rFonts w:hint="cs"/>
          <w:rtl/>
          <w:lang w:bidi="ar-EG"/>
        </w:rPr>
        <w:t>يشير الجدول 3 إلى توزيع عدد العينات المقدمة حسب أنواع الأطراف التي طلبت عينات من المواد المودعة بموجب معاهدة بودابست</w:t>
      </w:r>
      <w:r w:rsidR="008518FF">
        <w:rPr>
          <w:rFonts w:hint="cs"/>
          <w:rtl/>
          <w:lang w:bidi="ar-EG"/>
        </w:rPr>
        <w:t xml:space="preserve">. </w:t>
      </w:r>
      <w:r w:rsidR="00514196" w:rsidRPr="00514196">
        <w:rPr>
          <w:rFonts w:hint="cs"/>
          <w:rtl/>
          <w:lang w:bidi="ar-EG"/>
        </w:rPr>
        <w:t>وتقدم سلطات الإيداع الدولية الغالبية العظمى من عينات الكائنات الدقيقة المودعة إلى المودع أو الطرف المرخص له من قبل المودع بموجب القاعدة 11-2 من اللائحة التنفيذية</w:t>
      </w:r>
      <w:r w:rsidR="008518FF">
        <w:rPr>
          <w:rFonts w:hint="cs"/>
          <w:rtl/>
          <w:lang w:bidi="ar-EG"/>
        </w:rPr>
        <w:t xml:space="preserve">. </w:t>
      </w:r>
      <w:r w:rsidR="00514196" w:rsidRPr="00514196">
        <w:rPr>
          <w:rFonts w:hint="cs"/>
          <w:rtl/>
          <w:lang w:bidi="ar-EG"/>
        </w:rPr>
        <w:t>وقد كان العدد الإجمالي للعينات المقدمة إلى مكاتب الملكية الفكرية بموجب القاعدة 1.11 منخفض للغاية: فهو أحادي الرقم أو صفر في بعض السنوات</w:t>
      </w:r>
      <w:r w:rsidR="008518FF">
        <w:rPr>
          <w:rFonts w:hint="cs"/>
          <w:rtl/>
          <w:lang w:bidi="ar-EG"/>
        </w:rPr>
        <w:t xml:space="preserve">. </w:t>
      </w:r>
      <w:r w:rsidR="00514196" w:rsidRPr="00514196">
        <w:rPr>
          <w:rFonts w:hint="cs"/>
          <w:rtl/>
          <w:lang w:bidi="ar-EG"/>
        </w:rPr>
        <w:t xml:space="preserve"> ومع ذلك، ارتفع العدد بشكل حاد في عام 2021 – إذ قُدم ما مجموعه 100 عينة إلى مكاتب الملكية الفكرية</w:t>
      </w:r>
      <w:r w:rsidR="008518FF">
        <w:rPr>
          <w:rFonts w:hint="cs"/>
          <w:rtl/>
          <w:lang w:bidi="ar-EG"/>
        </w:rPr>
        <w:t xml:space="preserve">. </w:t>
      </w:r>
      <w:r w:rsidR="00514196" w:rsidRPr="00514196">
        <w:rPr>
          <w:rFonts w:hint="cs"/>
          <w:rtl/>
          <w:lang w:bidi="ar-EG"/>
        </w:rPr>
        <w:t xml:space="preserve"> واستمر هذا الاتجاه في عام 2022، وقُدمت 87 عينة إلى مكاتب الملكية الفكرية خلال هذا العام. </w:t>
      </w:r>
    </w:p>
    <w:p w14:paraId="54F27138" w14:textId="77777777" w:rsidR="00514196" w:rsidRPr="00514196" w:rsidRDefault="00514196" w:rsidP="00074D6A">
      <w:pPr>
        <w:pStyle w:val="ONUMA"/>
        <w:rPr>
          <w:rtl/>
          <w:lang w:bidi="ar-EG"/>
        </w:rPr>
      </w:pPr>
      <w:r w:rsidRPr="00514196">
        <w:rPr>
          <w:rFonts w:hint="cs"/>
          <w:rtl/>
          <w:lang w:bidi="ar-EG"/>
        </w:rPr>
        <w:t>وفيما يتعلق بالعدد الإجمالي للعينات المقدمة للأطراف المخوّلة قانوناً بموجب القاعدة 3.11، فقد انخفض بشكل مطرد من 467 عينة في عام 2017 إلى 246 عينة في عام 2021</w:t>
      </w:r>
      <w:r w:rsidR="008518FF">
        <w:rPr>
          <w:rFonts w:hint="cs"/>
          <w:rtl/>
          <w:lang w:bidi="ar-EG"/>
        </w:rPr>
        <w:t xml:space="preserve">. </w:t>
      </w:r>
      <w:r w:rsidRPr="00514196">
        <w:rPr>
          <w:rFonts w:hint="cs"/>
          <w:rtl/>
          <w:lang w:bidi="ar-EG"/>
        </w:rPr>
        <w:t>وهذا يمثّل انخفاضاً بنسبة 50 في المائة تقريباً خلال فترة السنوات الخمس الماضية</w:t>
      </w:r>
      <w:r w:rsidR="008518FF">
        <w:rPr>
          <w:rFonts w:hint="cs"/>
          <w:rtl/>
          <w:lang w:bidi="ar-EG"/>
        </w:rPr>
        <w:t xml:space="preserve">. </w:t>
      </w:r>
      <w:r w:rsidRPr="00514196">
        <w:rPr>
          <w:rFonts w:hint="cs"/>
          <w:rtl/>
          <w:lang w:bidi="ar-EG"/>
        </w:rPr>
        <w:t xml:space="preserve">وفي عام 2022، ارتفع العدد قليلاً إلى 287 عينة مقدمة. </w:t>
      </w:r>
    </w:p>
    <w:p w14:paraId="73EE524C" w14:textId="77777777" w:rsidR="00514196" w:rsidRPr="00514196" w:rsidRDefault="00514196" w:rsidP="00074D6A">
      <w:pPr>
        <w:pStyle w:val="BodyText"/>
        <w:jc w:val="center"/>
        <w:rPr>
          <w:rtl/>
          <w:lang w:bidi="ar-EG"/>
        </w:rPr>
      </w:pPr>
      <w:r w:rsidRPr="00514196">
        <w:rPr>
          <w:rFonts w:hint="cs"/>
          <w:rtl/>
          <w:lang w:bidi="ar-EG"/>
        </w:rPr>
        <w:t>الجدول 3: إجمالي عدد العينات المقدمة من سلطات الإيداع الدولية</w:t>
      </w:r>
    </w:p>
    <w:tbl>
      <w:tblPr>
        <w:tblStyle w:val="TableGrid"/>
        <w:bidiVisual/>
        <w:tblW w:w="5000" w:type="pct"/>
        <w:tblLook w:val="04A0" w:firstRow="1" w:lastRow="0" w:firstColumn="1" w:lastColumn="0" w:noHBand="0" w:noVBand="1"/>
      </w:tblPr>
      <w:tblGrid>
        <w:gridCol w:w="3324"/>
        <w:gridCol w:w="1003"/>
        <w:gridCol w:w="1004"/>
        <w:gridCol w:w="1004"/>
        <w:gridCol w:w="1004"/>
        <w:gridCol w:w="1004"/>
        <w:gridCol w:w="1002"/>
      </w:tblGrid>
      <w:tr w:rsidR="00514196" w:rsidRPr="00514196" w14:paraId="1CC98FB7" w14:textId="77777777" w:rsidTr="007B6ADC">
        <w:tc>
          <w:tcPr>
            <w:tcW w:w="1779" w:type="pct"/>
          </w:tcPr>
          <w:p w14:paraId="18D82F76" w14:textId="77777777" w:rsidR="00514196" w:rsidRPr="00514196" w:rsidRDefault="00514196" w:rsidP="00514196">
            <w:pPr>
              <w:pStyle w:val="BodyText"/>
            </w:pPr>
          </w:p>
        </w:tc>
        <w:tc>
          <w:tcPr>
            <w:tcW w:w="537" w:type="pct"/>
          </w:tcPr>
          <w:p w14:paraId="38A19377" w14:textId="77777777" w:rsidR="00514196" w:rsidRPr="00514196" w:rsidRDefault="00514196" w:rsidP="003C008A">
            <w:pPr>
              <w:pStyle w:val="BodyText"/>
              <w:jc w:val="center"/>
              <w:rPr>
                <w:rtl/>
              </w:rPr>
            </w:pPr>
            <w:r w:rsidRPr="00514196">
              <w:rPr>
                <w:rFonts w:hint="cs"/>
                <w:rtl/>
              </w:rPr>
              <w:t>2017</w:t>
            </w:r>
            <w:r w:rsidRPr="00514196">
              <w:rPr>
                <w:vertAlign w:val="superscript"/>
              </w:rPr>
              <w:footnoteReference w:id="8"/>
            </w:r>
          </w:p>
        </w:tc>
        <w:tc>
          <w:tcPr>
            <w:tcW w:w="537" w:type="pct"/>
          </w:tcPr>
          <w:p w14:paraId="29A30EA7" w14:textId="77777777" w:rsidR="00514196" w:rsidRPr="00514196" w:rsidRDefault="00514196" w:rsidP="003C008A">
            <w:pPr>
              <w:pStyle w:val="BodyText"/>
              <w:jc w:val="center"/>
              <w:rPr>
                <w:rtl/>
              </w:rPr>
            </w:pPr>
            <w:r w:rsidRPr="00514196">
              <w:rPr>
                <w:rFonts w:hint="cs"/>
                <w:rtl/>
              </w:rPr>
              <w:t>2018</w:t>
            </w:r>
          </w:p>
        </w:tc>
        <w:tc>
          <w:tcPr>
            <w:tcW w:w="537" w:type="pct"/>
          </w:tcPr>
          <w:p w14:paraId="6F75EF03" w14:textId="77777777" w:rsidR="00514196" w:rsidRPr="00514196" w:rsidRDefault="00514196" w:rsidP="003C008A">
            <w:pPr>
              <w:pStyle w:val="BodyText"/>
              <w:jc w:val="center"/>
              <w:rPr>
                <w:rtl/>
              </w:rPr>
            </w:pPr>
            <w:r w:rsidRPr="00514196">
              <w:rPr>
                <w:rFonts w:hint="cs"/>
                <w:rtl/>
              </w:rPr>
              <w:t>2019</w:t>
            </w:r>
          </w:p>
        </w:tc>
        <w:tc>
          <w:tcPr>
            <w:tcW w:w="537" w:type="pct"/>
          </w:tcPr>
          <w:p w14:paraId="1A5F37D5" w14:textId="77777777" w:rsidR="00514196" w:rsidRPr="00514196" w:rsidRDefault="00514196" w:rsidP="003C008A">
            <w:pPr>
              <w:pStyle w:val="BodyText"/>
              <w:jc w:val="center"/>
              <w:rPr>
                <w:rtl/>
              </w:rPr>
            </w:pPr>
            <w:r w:rsidRPr="00514196">
              <w:rPr>
                <w:rFonts w:hint="cs"/>
                <w:rtl/>
              </w:rPr>
              <w:t>2020</w:t>
            </w:r>
          </w:p>
        </w:tc>
        <w:tc>
          <w:tcPr>
            <w:tcW w:w="537" w:type="pct"/>
          </w:tcPr>
          <w:p w14:paraId="51EDB607" w14:textId="77777777" w:rsidR="00514196" w:rsidRPr="00514196" w:rsidRDefault="00514196" w:rsidP="003C008A">
            <w:pPr>
              <w:pStyle w:val="BodyText"/>
              <w:jc w:val="center"/>
              <w:rPr>
                <w:rtl/>
              </w:rPr>
            </w:pPr>
            <w:r w:rsidRPr="00514196">
              <w:rPr>
                <w:rFonts w:hint="cs"/>
                <w:rtl/>
              </w:rPr>
              <w:t>2021</w:t>
            </w:r>
          </w:p>
        </w:tc>
        <w:tc>
          <w:tcPr>
            <w:tcW w:w="537" w:type="pct"/>
          </w:tcPr>
          <w:p w14:paraId="276D079B" w14:textId="77777777" w:rsidR="00514196" w:rsidRPr="00514196" w:rsidRDefault="00514196" w:rsidP="003C008A">
            <w:pPr>
              <w:pStyle w:val="BodyText"/>
              <w:jc w:val="center"/>
              <w:rPr>
                <w:rtl/>
              </w:rPr>
            </w:pPr>
            <w:r w:rsidRPr="00514196">
              <w:rPr>
                <w:rFonts w:hint="cs"/>
                <w:rtl/>
              </w:rPr>
              <w:t>2022</w:t>
            </w:r>
          </w:p>
        </w:tc>
      </w:tr>
      <w:tr w:rsidR="00514196" w:rsidRPr="00514196" w14:paraId="3141ADC5" w14:textId="77777777" w:rsidTr="007B6ADC">
        <w:tc>
          <w:tcPr>
            <w:tcW w:w="1779" w:type="pct"/>
          </w:tcPr>
          <w:p w14:paraId="7B9B211D" w14:textId="77777777" w:rsidR="00514196" w:rsidRPr="00514196" w:rsidRDefault="00514196" w:rsidP="00514196">
            <w:pPr>
              <w:pStyle w:val="BodyText"/>
              <w:rPr>
                <w:rtl/>
              </w:rPr>
            </w:pPr>
            <w:r w:rsidRPr="00514196">
              <w:rPr>
                <w:rFonts w:hint="cs"/>
                <w:rtl/>
              </w:rPr>
              <w:t>العينات المقدمة لمكاتب الملكية الصناعية (القاعدة 1.11)</w:t>
            </w:r>
          </w:p>
        </w:tc>
        <w:tc>
          <w:tcPr>
            <w:tcW w:w="537" w:type="pct"/>
          </w:tcPr>
          <w:p w14:paraId="09525A3D" w14:textId="77777777" w:rsidR="00514196" w:rsidRPr="00514196" w:rsidRDefault="00514196" w:rsidP="003C008A">
            <w:pPr>
              <w:pStyle w:val="BodyText"/>
              <w:jc w:val="center"/>
              <w:rPr>
                <w:rtl/>
              </w:rPr>
            </w:pPr>
            <w:r w:rsidRPr="00514196">
              <w:rPr>
                <w:rFonts w:hint="cs"/>
                <w:rtl/>
              </w:rPr>
              <w:t>5</w:t>
            </w:r>
          </w:p>
        </w:tc>
        <w:tc>
          <w:tcPr>
            <w:tcW w:w="537" w:type="pct"/>
          </w:tcPr>
          <w:p w14:paraId="375C7DA6" w14:textId="77777777" w:rsidR="00514196" w:rsidRPr="00514196" w:rsidRDefault="00514196" w:rsidP="003C008A">
            <w:pPr>
              <w:pStyle w:val="BodyText"/>
              <w:jc w:val="center"/>
              <w:rPr>
                <w:rtl/>
              </w:rPr>
            </w:pPr>
            <w:r w:rsidRPr="00514196">
              <w:rPr>
                <w:rFonts w:hint="cs"/>
                <w:rtl/>
              </w:rPr>
              <w:t>1</w:t>
            </w:r>
          </w:p>
        </w:tc>
        <w:tc>
          <w:tcPr>
            <w:tcW w:w="537" w:type="pct"/>
          </w:tcPr>
          <w:p w14:paraId="724D1893" w14:textId="77777777" w:rsidR="00514196" w:rsidRPr="00514196" w:rsidRDefault="00514196" w:rsidP="003C008A">
            <w:pPr>
              <w:pStyle w:val="BodyText"/>
              <w:jc w:val="center"/>
              <w:rPr>
                <w:rtl/>
              </w:rPr>
            </w:pPr>
            <w:r w:rsidRPr="00514196">
              <w:rPr>
                <w:rFonts w:hint="cs"/>
                <w:rtl/>
              </w:rPr>
              <w:t>3</w:t>
            </w:r>
          </w:p>
        </w:tc>
        <w:tc>
          <w:tcPr>
            <w:tcW w:w="537" w:type="pct"/>
          </w:tcPr>
          <w:p w14:paraId="12B4C65A" w14:textId="77777777" w:rsidR="00514196" w:rsidRPr="00514196" w:rsidRDefault="00514196" w:rsidP="003C008A">
            <w:pPr>
              <w:pStyle w:val="BodyText"/>
              <w:jc w:val="center"/>
              <w:rPr>
                <w:rtl/>
              </w:rPr>
            </w:pPr>
            <w:r w:rsidRPr="00514196">
              <w:rPr>
                <w:rFonts w:hint="cs"/>
                <w:rtl/>
              </w:rPr>
              <w:t>8</w:t>
            </w:r>
          </w:p>
        </w:tc>
        <w:tc>
          <w:tcPr>
            <w:tcW w:w="537" w:type="pct"/>
          </w:tcPr>
          <w:p w14:paraId="3C2A236B" w14:textId="77777777" w:rsidR="00514196" w:rsidRPr="00514196" w:rsidRDefault="00514196" w:rsidP="003C008A">
            <w:pPr>
              <w:pStyle w:val="BodyText"/>
              <w:jc w:val="center"/>
              <w:rPr>
                <w:rtl/>
              </w:rPr>
            </w:pPr>
            <w:r w:rsidRPr="00514196">
              <w:rPr>
                <w:rFonts w:hint="cs"/>
                <w:rtl/>
              </w:rPr>
              <w:t>100</w:t>
            </w:r>
          </w:p>
        </w:tc>
        <w:tc>
          <w:tcPr>
            <w:tcW w:w="537" w:type="pct"/>
          </w:tcPr>
          <w:p w14:paraId="379D869B" w14:textId="77777777" w:rsidR="00514196" w:rsidRPr="00514196" w:rsidRDefault="00514196" w:rsidP="003C008A">
            <w:pPr>
              <w:pStyle w:val="BodyText"/>
              <w:jc w:val="center"/>
              <w:rPr>
                <w:rtl/>
              </w:rPr>
            </w:pPr>
            <w:r w:rsidRPr="00514196">
              <w:rPr>
                <w:rFonts w:hint="cs"/>
                <w:rtl/>
              </w:rPr>
              <w:t>87</w:t>
            </w:r>
          </w:p>
        </w:tc>
      </w:tr>
      <w:tr w:rsidR="00514196" w:rsidRPr="00514196" w14:paraId="1E09D543" w14:textId="77777777" w:rsidTr="007B6ADC">
        <w:tc>
          <w:tcPr>
            <w:tcW w:w="1779" w:type="pct"/>
          </w:tcPr>
          <w:p w14:paraId="3FB420A7" w14:textId="77777777" w:rsidR="00514196" w:rsidRPr="00514196" w:rsidRDefault="00514196" w:rsidP="00514196">
            <w:pPr>
              <w:pStyle w:val="BodyText"/>
              <w:rPr>
                <w:rtl/>
              </w:rPr>
            </w:pPr>
            <w:r w:rsidRPr="00514196">
              <w:rPr>
                <w:rFonts w:hint="cs"/>
                <w:rtl/>
              </w:rPr>
              <w:t>العينات المقدمة إلى المودع أو الأطراف المرخص لها (القاعدة 2.11)</w:t>
            </w:r>
          </w:p>
        </w:tc>
        <w:tc>
          <w:tcPr>
            <w:tcW w:w="537" w:type="pct"/>
          </w:tcPr>
          <w:p w14:paraId="7C558872" w14:textId="77777777" w:rsidR="00514196" w:rsidRPr="00514196" w:rsidRDefault="00514196" w:rsidP="003C008A">
            <w:pPr>
              <w:pStyle w:val="BodyText"/>
              <w:jc w:val="center"/>
              <w:rPr>
                <w:rtl/>
              </w:rPr>
            </w:pPr>
            <w:r w:rsidRPr="00514196">
              <w:rPr>
                <w:rFonts w:hint="cs"/>
                <w:rtl/>
              </w:rPr>
              <w:t>1,243</w:t>
            </w:r>
          </w:p>
        </w:tc>
        <w:tc>
          <w:tcPr>
            <w:tcW w:w="537" w:type="pct"/>
          </w:tcPr>
          <w:p w14:paraId="78607F30" w14:textId="77777777" w:rsidR="00514196" w:rsidRPr="00514196" w:rsidRDefault="00514196" w:rsidP="003C008A">
            <w:pPr>
              <w:pStyle w:val="BodyText"/>
              <w:jc w:val="center"/>
              <w:rPr>
                <w:rtl/>
              </w:rPr>
            </w:pPr>
            <w:r w:rsidRPr="00514196">
              <w:rPr>
                <w:rFonts w:hint="cs"/>
                <w:rtl/>
              </w:rPr>
              <w:t>1,275</w:t>
            </w:r>
          </w:p>
        </w:tc>
        <w:tc>
          <w:tcPr>
            <w:tcW w:w="537" w:type="pct"/>
          </w:tcPr>
          <w:p w14:paraId="28FC455B" w14:textId="77777777" w:rsidR="00514196" w:rsidRPr="00514196" w:rsidRDefault="00514196" w:rsidP="003C008A">
            <w:pPr>
              <w:pStyle w:val="BodyText"/>
              <w:jc w:val="center"/>
              <w:rPr>
                <w:rtl/>
              </w:rPr>
            </w:pPr>
            <w:r w:rsidRPr="00514196">
              <w:rPr>
                <w:rFonts w:hint="cs"/>
                <w:rtl/>
              </w:rPr>
              <w:t>1,174</w:t>
            </w:r>
          </w:p>
        </w:tc>
        <w:tc>
          <w:tcPr>
            <w:tcW w:w="537" w:type="pct"/>
          </w:tcPr>
          <w:p w14:paraId="70FD83B4" w14:textId="77777777" w:rsidR="00514196" w:rsidRPr="00514196" w:rsidRDefault="00514196" w:rsidP="003C008A">
            <w:pPr>
              <w:pStyle w:val="BodyText"/>
              <w:jc w:val="center"/>
              <w:rPr>
                <w:rtl/>
              </w:rPr>
            </w:pPr>
            <w:r w:rsidRPr="00514196">
              <w:rPr>
                <w:rFonts w:hint="cs"/>
                <w:rtl/>
              </w:rPr>
              <w:t>1,619</w:t>
            </w:r>
          </w:p>
        </w:tc>
        <w:tc>
          <w:tcPr>
            <w:tcW w:w="537" w:type="pct"/>
          </w:tcPr>
          <w:p w14:paraId="48B293D1" w14:textId="77777777" w:rsidR="00514196" w:rsidRPr="00514196" w:rsidRDefault="00514196" w:rsidP="003C008A">
            <w:pPr>
              <w:pStyle w:val="BodyText"/>
              <w:jc w:val="center"/>
              <w:rPr>
                <w:rtl/>
              </w:rPr>
            </w:pPr>
            <w:r w:rsidRPr="00514196">
              <w:rPr>
                <w:rFonts w:hint="cs"/>
                <w:rtl/>
              </w:rPr>
              <w:t>1,354</w:t>
            </w:r>
          </w:p>
        </w:tc>
        <w:tc>
          <w:tcPr>
            <w:tcW w:w="537" w:type="pct"/>
          </w:tcPr>
          <w:p w14:paraId="05DD837C" w14:textId="77777777" w:rsidR="00514196" w:rsidRPr="00514196" w:rsidRDefault="00514196" w:rsidP="003C008A">
            <w:pPr>
              <w:pStyle w:val="BodyText"/>
              <w:jc w:val="center"/>
              <w:rPr>
                <w:rtl/>
              </w:rPr>
            </w:pPr>
            <w:r w:rsidRPr="00514196">
              <w:rPr>
                <w:rFonts w:hint="cs"/>
                <w:rtl/>
              </w:rPr>
              <w:t>1,377</w:t>
            </w:r>
          </w:p>
        </w:tc>
      </w:tr>
      <w:tr w:rsidR="00514196" w:rsidRPr="00514196" w14:paraId="0CB86D66" w14:textId="77777777" w:rsidTr="007B6ADC">
        <w:tc>
          <w:tcPr>
            <w:tcW w:w="1779" w:type="pct"/>
          </w:tcPr>
          <w:p w14:paraId="7A471B11" w14:textId="77777777" w:rsidR="00514196" w:rsidRPr="00514196" w:rsidRDefault="00514196" w:rsidP="00514196">
            <w:pPr>
              <w:pStyle w:val="BodyText"/>
              <w:rPr>
                <w:rtl/>
              </w:rPr>
            </w:pPr>
            <w:r w:rsidRPr="00514196">
              <w:rPr>
                <w:rFonts w:hint="cs"/>
                <w:rtl/>
              </w:rPr>
              <w:t>العينات المقدمة للأطراف المخوّلة قانوناً (القاعدة 3.11)</w:t>
            </w:r>
          </w:p>
        </w:tc>
        <w:tc>
          <w:tcPr>
            <w:tcW w:w="537" w:type="pct"/>
          </w:tcPr>
          <w:p w14:paraId="14E65011" w14:textId="77777777" w:rsidR="00514196" w:rsidRPr="00514196" w:rsidRDefault="00514196" w:rsidP="003C008A">
            <w:pPr>
              <w:pStyle w:val="BodyText"/>
              <w:jc w:val="center"/>
              <w:rPr>
                <w:rtl/>
              </w:rPr>
            </w:pPr>
            <w:r w:rsidRPr="00514196">
              <w:rPr>
                <w:rFonts w:hint="cs"/>
                <w:rtl/>
              </w:rPr>
              <w:t>467</w:t>
            </w:r>
          </w:p>
        </w:tc>
        <w:tc>
          <w:tcPr>
            <w:tcW w:w="537" w:type="pct"/>
          </w:tcPr>
          <w:p w14:paraId="629A5D70" w14:textId="77777777" w:rsidR="00514196" w:rsidRPr="00514196" w:rsidRDefault="00514196" w:rsidP="003C008A">
            <w:pPr>
              <w:pStyle w:val="BodyText"/>
              <w:jc w:val="center"/>
              <w:rPr>
                <w:rtl/>
              </w:rPr>
            </w:pPr>
            <w:r w:rsidRPr="00514196">
              <w:rPr>
                <w:rFonts w:hint="cs"/>
                <w:rtl/>
              </w:rPr>
              <w:t>413</w:t>
            </w:r>
          </w:p>
        </w:tc>
        <w:tc>
          <w:tcPr>
            <w:tcW w:w="537" w:type="pct"/>
          </w:tcPr>
          <w:p w14:paraId="56FF738B" w14:textId="77777777" w:rsidR="00514196" w:rsidRPr="00514196" w:rsidRDefault="00514196" w:rsidP="003C008A">
            <w:pPr>
              <w:pStyle w:val="BodyText"/>
              <w:jc w:val="center"/>
              <w:rPr>
                <w:rtl/>
              </w:rPr>
            </w:pPr>
            <w:r w:rsidRPr="00514196">
              <w:rPr>
                <w:rFonts w:hint="cs"/>
                <w:rtl/>
              </w:rPr>
              <w:t>307</w:t>
            </w:r>
          </w:p>
        </w:tc>
        <w:tc>
          <w:tcPr>
            <w:tcW w:w="537" w:type="pct"/>
          </w:tcPr>
          <w:p w14:paraId="21007DE1" w14:textId="77777777" w:rsidR="00514196" w:rsidRPr="00514196" w:rsidRDefault="00514196" w:rsidP="003C008A">
            <w:pPr>
              <w:pStyle w:val="BodyText"/>
              <w:jc w:val="center"/>
              <w:rPr>
                <w:rtl/>
              </w:rPr>
            </w:pPr>
            <w:r w:rsidRPr="00514196">
              <w:rPr>
                <w:rFonts w:hint="cs"/>
                <w:rtl/>
              </w:rPr>
              <w:t>259</w:t>
            </w:r>
          </w:p>
        </w:tc>
        <w:tc>
          <w:tcPr>
            <w:tcW w:w="537" w:type="pct"/>
          </w:tcPr>
          <w:p w14:paraId="2AE9E72C" w14:textId="77777777" w:rsidR="00514196" w:rsidRPr="00514196" w:rsidRDefault="00514196" w:rsidP="003C008A">
            <w:pPr>
              <w:pStyle w:val="BodyText"/>
              <w:jc w:val="center"/>
              <w:rPr>
                <w:rtl/>
              </w:rPr>
            </w:pPr>
            <w:r w:rsidRPr="00514196">
              <w:rPr>
                <w:rFonts w:hint="cs"/>
                <w:rtl/>
              </w:rPr>
              <w:t>246</w:t>
            </w:r>
          </w:p>
        </w:tc>
        <w:tc>
          <w:tcPr>
            <w:tcW w:w="537" w:type="pct"/>
          </w:tcPr>
          <w:p w14:paraId="6A5652EE" w14:textId="77777777" w:rsidR="00514196" w:rsidRPr="00514196" w:rsidRDefault="00514196" w:rsidP="003C008A">
            <w:pPr>
              <w:pStyle w:val="BodyText"/>
              <w:jc w:val="center"/>
              <w:rPr>
                <w:rtl/>
              </w:rPr>
            </w:pPr>
            <w:r w:rsidRPr="00514196">
              <w:rPr>
                <w:rFonts w:hint="cs"/>
                <w:rtl/>
              </w:rPr>
              <w:t>287</w:t>
            </w:r>
          </w:p>
        </w:tc>
      </w:tr>
    </w:tbl>
    <w:p w14:paraId="1A499BFA" w14:textId="77777777" w:rsidR="00074D6A" w:rsidRDefault="00074D6A" w:rsidP="00514196">
      <w:pPr>
        <w:pStyle w:val="BodyText"/>
        <w:rPr>
          <w:rtl/>
          <w:lang w:bidi="ar-EG"/>
        </w:rPr>
      </w:pPr>
    </w:p>
    <w:p w14:paraId="14F188F6" w14:textId="77777777" w:rsidR="00074D6A" w:rsidRDefault="00074D6A" w:rsidP="003C008A">
      <w:pPr>
        <w:rPr>
          <w:rtl/>
          <w:lang w:bidi="ar-EG"/>
        </w:rPr>
      </w:pPr>
      <w:r>
        <w:rPr>
          <w:rtl/>
          <w:lang w:bidi="ar-EG"/>
        </w:rPr>
        <w:br w:type="page"/>
      </w:r>
    </w:p>
    <w:p w14:paraId="111FEF41" w14:textId="77777777" w:rsidR="00514196" w:rsidRPr="00514196" w:rsidRDefault="00514196" w:rsidP="00074D6A">
      <w:pPr>
        <w:pStyle w:val="Heading3"/>
        <w:rPr>
          <w:rtl/>
        </w:rPr>
      </w:pPr>
      <w:r w:rsidRPr="00514196">
        <w:rPr>
          <w:rFonts w:hint="cs"/>
          <w:rtl/>
        </w:rPr>
        <w:lastRenderedPageBreak/>
        <w:t>اجتماع الدول الأعضاء وسلطات الإيداع الدولية بموجب معاهدة بودابست</w:t>
      </w:r>
    </w:p>
    <w:p w14:paraId="112A58B3" w14:textId="77777777" w:rsidR="00514196" w:rsidRPr="00514196" w:rsidRDefault="00514196" w:rsidP="00074D6A">
      <w:pPr>
        <w:pStyle w:val="ONUMA"/>
        <w:rPr>
          <w:rtl/>
          <w:lang w:bidi="ar-EG"/>
        </w:rPr>
      </w:pPr>
      <w:r w:rsidRPr="00514196">
        <w:rPr>
          <w:rFonts w:hint="cs"/>
          <w:rtl/>
          <w:lang w:bidi="ar-EG"/>
        </w:rPr>
        <w:t>تتجلى إحدى السمات الرئيسية لنظام بودابست في أن الدول المتعاقدة يجب أن تعترف بأثر إيداع الكائنات الدقيقة لدى أي سلطة إيداع دولية لأغراض إجراءات البراءات الخاصة بها</w:t>
      </w:r>
      <w:r w:rsidR="008518FF">
        <w:rPr>
          <w:rFonts w:hint="cs"/>
          <w:rtl/>
          <w:lang w:bidi="ar-EG"/>
        </w:rPr>
        <w:t xml:space="preserve">. </w:t>
      </w:r>
      <w:r w:rsidRPr="00514196">
        <w:rPr>
          <w:rFonts w:hint="cs"/>
          <w:rtl/>
          <w:lang w:bidi="ar-EG"/>
        </w:rPr>
        <w:t>ولذلك، على الرغم من أن سلطات الإيداع الدولية موجودة في بعض الدول المتعاقدة فقط، فإن الخدمات التي تقدمها أي سلطة إيداع دولية قد تتعلق بمكاتب الملكية الفكرية في أي دولة من الدول الأعضاء</w:t>
      </w:r>
      <w:r w:rsidR="008518FF">
        <w:rPr>
          <w:rFonts w:hint="cs"/>
          <w:rtl/>
          <w:lang w:bidi="ar-EG"/>
        </w:rPr>
        <w:t xml:space="preserve">. </w:t>
      </w:r>
      <w:r w:rsidRPr="00514196">
        <w:rPr>
          <w:rFonts w:hint="cs"/>
          <w:rtl/>
          <w:lang w:bidi="ar-EG"/>
        </w:rPr>
        <w:t>وهذا يعني أن التعاون بين مكاتب الملكية الفكرية وسلطات الإيداع الدولية يتم على المستويين الوطني والدولي.</w:t>
      </w:r>
    </w:p>
    <w:p w14:paraId="20997477" w14:textId="77777777" w:rsidR="00514196" w:rsidRPr="00514196" w:rsidRDefault="00514196" w:rsidP="00074D6A">
      <w:pPr>
        <w:pStyle w:val="ONUMA"/>
        <w:rPr>
          <w:rtl/>
          <w:lang w:bidi="ar-EG"/>
        </w:rPr>
      </w:pPr>
      <w:r w:rsidRPr="00514196">
        <w:rPr>
          <w:rFonts w:hint="cs"/>
          <w:rtl/>
          <w:lang w:bidi="ar-EG"/>
        </w:rPr>
        <w:t>وكما هو مبين في الجدولين 1 و2، منذ دخول معاهدة بودابست حيز التنفيذ في عام 1980، زاد عدد الدول المتعاقدة وسلطات الإيداع الدولية بشكل مطرد</w:t>
      </w:r>
      <w:r w:rsidR="008518FF">
        <w:rPr>
          <w:rFonts w:hint="cs"/>
          <w:rtl/>
          <w:lang w:bidi="ar-EG"/>
        </w:rPr>
        <w:t xml:space="preserve">. </w:t>
      </w:r>
      <w:r w:rsidRPr="00514196">
        <w:rPr>
          <w:rFonts w:hint="cs"/>
          <w:rtl/>
          <w:lang w:bidi="ar-EG"/>
        </w:rPr>
        <w:t>ولإتاحة الفرصة للدول الأعضاء وسلطات الإيداع الدولية لتبادل المعلومات والتجارب على المستوى الدولي بشأن تنفيذ المعاهدة، قام المكتب الدولي بتنظيم واستضافة اجتماع للدول الأعضاء وسلطات الإيداع الدولية في إطار معاهدة بودابست يومي 13 و14 نوفمبر 2023، في جنيف.</w:t>
      </w:r>
    </w:p>
    <w:p w14:paraId="3A15BDDE" w14:textId="77777777" w:rsidR="00514196" w:rsidRPr="00514196" w:rsidRDefault="00514196" w:rsidP="00074D6A">
      <w:pPr>
        <w:pStyle w:val="ONUMA"/>
        <w:rPr>
          <w:rtl/>
          <w:lang w:bidi="ar-EG"/>
        </w:rPr>
      </w:pPr>
      <w:r w:rsidRPr="00514196">
        <w:rPr>
          <w:rFonts w:hint="cs"/>
          <w:rtl/>
          <w:lang w:bidi="ar-EG"/>
        </w:rPr>
        <w:t xml:space="preserve"> وحضر الاجتماع 92 مشاركًا من 36 دولة عضوًا ومنظمتين دوليتين حكوميتين للملكية الصناعية و29 سلطة إيداع دولية. </w:t>
      </w:r>
    </w:p>
    <w:p w14:paraId="6F21AFCF" w14:textId="77777777" w:rsidR="00514196" w:rsidRPr="00514196" w:rsidRDefault="00514196" w:rsidP="00074D6A">
      <w:pPr>
        <w:pStyle w:val="ONUMA"/>
        <w:rPr>
          <w:rtl/>
          <w:lang w:bidi="ar-EG"/>
        </w:rPr>
      </w:pPr>
      <w:r w:rsidRPr="00514196">
        <w:rPr>
          <w:rFonts w:hint="cs"/>
          <w:rtl/>
          <w:lang w:bidi="ar-EG"/>
        </w:rPr>
        <w:t>وقد كان الهدف من الاجتماع هو إجراء مناقشات بين الدول الأعضاء وسلطات الإيداع الدولية، بشكل حضوري، حول مواضيع مختلفة تتعلق بإيداع الكائنات الدقيقة لأغراض إجراءات البراءات</w:t>
      </w:r>
      <w:r w:rsidR="008518FF">
        <w:rPr>
          <w:rFonts w:hint="cs"/>
          <w:rtl/>
          <w:lang w:bidi="ar-EG"/>
        </w:rPr>
        <w:t xml:space="preserve">. </w:t>
      </w:r>
      <w:r w:rsidRPr="00514196">
        <w:rPr>
          <w:rFonts w:hint="cs"/>
          <w:rtl/>
          <w:lang w:bidi="ar-EG"/>
        </w:rPr>
        <w:t>وقد كان اجتماعاً مخصصاً، ولم يكن الهدف منه اتخاذ أي قرارات أو توصيات</w:t>
      </w:r>
      <w:r w:rsidR="008518FF">
        <w:rPr>
          <w:rFonts w:hint="cs"/>
          <w:rtl/>
          <w:lang w:bidi="ar-EG"/>
        </w:rPr>
        <w:t xml:space="preserve">. </w:t>
      </w:r>
      <w:r w:rsidRPr="00514196">
        <w:rPr>
          <w:rFonts w:hint="cs"/>
          <w:rtl/>
          <w:lang w:bidi="ar-EG"/>
        </w:rPr>
        <w:t>وأتاح الاجتماع للمشاركين إجراء تبادل مثمر للآراء في جو غير رسمي.</w:t>
      </w:r>
    </w:p>
    <w:p w14:paraId="7A6280F2" w14:textId="77777777" w:rsidR="00514196" w:rsidRPr="00514196" w:rsidRDefault="00514196" w:rsidP="00074D6A">
      <w:pPr>
        <w:pStyle w:val="ONUMA"/>
        <w:rPr>
          <w:rtl/>
        </w:rPr>
      </w:pPr>
      <w:r w:rsidRPr="00514196">
        <w:rPr>
          <w:rFonts w:hint="cs"/>
          <w:rtl/>
          <w:lang w:bidi="ar-EG"/>
        </w:rPr>
        <w:t>وتناول برنامج الاجتماع المواضيع التالية:</w:t>
      </w:r>
    </w:p>
    <w:p w14:paraId="2FF9C1B8" w14:textId="77777777" w:rsidR="00514196" w:rsidRPr="00514196" w:rsidRDefault="00514196" w:rsidP="003C008A">
      <w:pPr>
        <w:pStyle w:val="BodyText"/>
        <w:ind w:left="566"/>
        <w:rPr>
          <w:rtl/>
          <w:lang w:bidi="ar-EG"/>
        </w:rPr>
      </w:pPr>
      <w:r w:rsidRPr="00514196">
        <w:rPr>
          <w:rFonts w:hint="cs"/>
          <w:rtl/>
          <w:lang w:bidi="ar-EG"/>
        </w:rPr>
        <w:t>الموضوع 1: عرض التطورات الأخيرة في نظام بودابست؛</w:t>
      </w:r>
    </w:p>
    <w:p w14:paraId="1B8988C9" w14:textId="77777777" w:rsidR="00514196" w:rsidRPr="00514196" w:rsidRDefault="00514196" w:rsidP="003C008A">
      <w:pPr>
        <w:pStyle w:val="BodyText"/>
        <w:ind w:left="566"/>
        <w:rPr>
          <w:rtl/>
          <w:lang w:bidi="ar-EG"/>
        </w:rPr>
      </w:pPr>
      <w:r w:rsidRPr="00514196">
        <w:rPr>
          <w:rFonts w:hint="cs"/>
          <w:rtl/>
          <w:lang w:bidi="ar-EG"/>
        </w:rPr>
        <w:t xml:space="preserve">الموضوع 2: تحليل المواد البيولوجية؛ </w:t>
      </w:r>
    </w:p>
    <w:p w14:paraId="065151CD" w14:textId="77777777" w:rsidR="00514196" w:rsidRPr="00514196" w:rsidRDefault="00514196" w:rsidP="003C008A">
      <w:pPr>
        <w:pStyle w:val="BodyText"/>
        <w:ind w:left="566"/>
        <w:rPr>
          <w:rtl/>
          <w:lang w:bidi="ar-EG"/>
        </w:rPr>
      </w:pPr>
      <w:r w:rsidRPr="00514196">
        <w:rPr>
          <w:rFonts w:hint="cs"/>
          <w:rtl/>
          <w:lang w:bidi="ar-EG"/>
        </w:rPr>
        <w:t xml:space="preserve">الموضوع 3: تقديم عينات من المواد البيولوجية المودعة؛ </w:t>
      </w:r>
    </w:p>
    <w:p w14:paraId="78BBE396" w14:textId="77777777" w:rsidR="00514196" w:rsidRPr="00514196" w:rsidRDefault="00514196" w:rsidP="003C008A">
      <w:pPr>
        <w:pStyle w:val="BodyText"/>
        <w:ind w:left="566"/>
        <w:rPr>
          <w:rtl/>
          <w:lang w:bidi="ar-EG"/>
        </w:rPr>
      </w:pPr>
      <w:r w:rsidRPr="00514196">
        <w:rPr>
          <w:rFonts w:hint="cs"/>
          <w:rtl/>
          <w:lang w:bidi="ar-EG"/>
        </w:rPr>
        <w:t>الموضوع 4: التعاون بين سلطات الإيداع الدولية ومكاتب الملكية الفكرية؛</w:t>
      </w:r>
    </w:p>
    <w:p w14:paraId="5B16E195" w14:textId="77777777" w:rsidR="00514196" w:rsidRPr="00514196" w:rsidRDefault="00514196" w:rsidP="003C008A">
      <w:pPr>
        <w:pStyle w:val="BodyText"/>
        <w:ind w:left="566"/>
        <w:rPr>
          <w:rtl/>
          <w:lang w:bidi="ar-EG"/>
        </w:rPr>
      </w:pPr>
      <w:r w:rsidRPr="00514196">
        <w:rPr>
          <w:rFonts w:hint="cs"/>
          <w:rtl/>
          <w:lang w:bidi="ar-EG"/>
        </w:rPr>
        <w:t>الموضوع 5: ممارسات سلطات الإيداع الدولية بموجب معاهدة بودابست</w:t>
      </w:r>
      <w:r w:rsidR="008518FF">
        <w:rPr>
          <w:rFonts w:hint="cs"/>
          <w:rtl/>
          <w:lang w:bidi="ar-EG"/>
        </w:rPr>
        <w:t xml:space="preserve">. </w:t>
      </w:r>
      <w:r w:rsidRPr="00514196">
        <w:rPr>
          <w:rFonts w:hint="cs"/>
          <w:rtl/>
          <w:lang w:bidi="ar-EG"/>
        </w:rPr>
        <w:t>وفي إطار هذا الموضوع، عرضت سلطات الإيداع الدولية ممارساتها بشأن: (أ) التعامل مع المواد البيولوجية المودعة بعد فترة التخزين الإلزامية المنصوص عليها في معاهدة بودابست؛ (ب) وبروتوكول ناغويا؛ (ج) ومسائل أخرى؛</w:t>
      </w:r>
    </w:p>
    <w:p w14:paraId="17D90725" w14:textId="77777777" w:rsidR="00514196" w:rsidRPr="00514196" w:rsidRDefault="00514196" w:rsidP="003C008A">
      <w:pPr>
        <w:pStyle w:val="BodyText"/>
        <w:ind w:left="566"/>
        <w:rPr>
          <w:rtl/>
          <w:lang w:bidi="ar-EG"/>
        </w:rPr>
      </w:pPr>
      <w:r w:rsidRPr="00514196">
        <w:rPr>
          <w:rFonts w:hint="cs"/>
          <w:rtl/>
          <w:lang w:bidi="ar-EG"/>
        </w:rPr>
        <w:t>الموضوع 6: إيداع المواد البيولوجية: اتجاهات التكنولوجيا والممارسات الناشئة في سلطات الإيداع الدولية؛</w:t>
      </w:r>
    </w:p>
    <w:p w14:paraId="7BF3CD23" w14:textId="77777777" w:rsidR="00514196" w:rsidRPr="00514196" w:rsidRDefault="00514196" w:rsidP="003C008A">
      <w:pPr>
        <w:pStyle w:val="BodyText"/>
        <w:ind w:left="566"/>
        <w:rPr>
          <w:rtl/>
          <w:lang w:bidi="ar-EG"/>
        </w:rPr>
      </w:pPr>
      <w:r w:rsidRPr="00514196">
        <w:rPr>
          <w:rFonts w:hint="cs"/>
          <w:rtl/>
          <w:lang w:bidi="ar-EG"/>
        </w:rPr>
        <w:t>الموضوع 7: التقدم التكنولوجي في مجال البيوتكنولوجيا: الآثار على شروط الكشف التمكينية وإيداع المواد البيولوجية؛</w:t>
      </w:r>
    </w:p>
    <w:p w14:paraId="5311A87B" w14:textId="77777777" w:rsidR="00514196" w:rsidRPr="00514196" w:rsidRDefault="00514196" w:rsidP="003C008A">
      <w:pPr>
        <w:pStyle w:val="BodyText"/>
        <w:ind w:left="566"/>
        <w:rPr>
          <w:rtl/>
          <w:lang w:bidi="ar-EG"/>
        </w:rPr>
      </w:pPr>
      <w:r w:rsidRPr="00514196">
        <w:rPr>
          <w:rFonts w:hint="cs"/>
          <w:rtl/>
          <w:lang w:bidi="ar-EG"/>
        </w:rPr>
        <w:t>الموضوع 8: التطورات المستقبلية في نظام بودابست</w:t>
      </w:r>
      <w:r w:rsidR="008518FF">
        <w:rPr>
          <w:rFonts w:hint="cs"/>
          <w:rtl/>
          <w:lang w:bidi="ar-EG"/>
        </w:rPr>
        <w:t xml:space="preserve">. </w:t>
      </w:r>
    </w:p>
    <w:p w14:paraId="67795EC2" w14:textId="42AF8EF5" w:rsidR="00514196" w:rsidRPr="00514196" w:rsidRDefault="00514196" w:rsidP="00074D6A">
      <w:pPr>
        <w:pStyle w:val="ONUMA"/>
        <w:rPr>
          <w:rFonts w:eastAsiaTheme="minorHAnsi"/>
          <w:rtl/>
          <w:lang w:bidi="ar-EG"/>
        </w:rPr>
      </w:pPr>
      <w:r w:rsidRPr="00514196">
        <w:rPr>
          <w:rFonts w:hint="cs"/>
          <w:rtl/>
          <w:lang w:bidi="ar-EG"/>
        </w:rPr>
        <w:t>ولتسهيل المناقشات الشاملة حول كل موضوع، قدم العروض متحدثون يمثلون مكاتب الملكية الفكرية وسلطات الإيداع الدولية، على النحو المبين في البرنامج</w:t>
      </w:r>
      <w:r w:rsidR="008518FF">
        <w:rPr>
          <w:rFonts w:hint="cs"/>
          <w:rtl/>
          <w:lang w:bidi="ar-EG"/>
        </w:rPr>
        <w:t xml:space="preserve">. </w:t>
      </w:r>
      <w:r w:rsidRPr="00514196">
        <w:rPr>
          <w:rFonts w:hint="cs"/>
          <w:rtl/>
          <w:lang w:bidi="ar-EG"/>
        </w:rPr>
        <w:t>ولدعم مناقشة الموضوعين 3 و5، أعد المكتب الدولي ثلاث وثائق معلومات أساسية بشأن التعامل مع الكائنات الدقيقة المودعة بموجب معاهدة بودابست بعد فترة التخزين، وتقديم عينات من المواد البيولوجية المودعة، وبروتوكول ناغويا ومعاهدة بودابست</w:t>
      </w:r>
      <w:r w:rsidR="008518FF">
        <w:rPr>
          <w:rFonts w:hint="cs"/>
          <w:rtl/>
          <w:lang w:bidi="ar-EG"/>
        </w:rPr>
        <w:t xml:space="preserve">. </w:t>
      </w:r>
      <w:r w:rsidRPr="00514196">
        <w:rPr>
          <w:rFonts w:hint="cs"/>
          <w:rtl/>
          <w:lang w:bidi="ar-EG"/>
        </w:rPr>
        <w:t xml:space="preserve">وتُتاح على الموقع الإلكتروني للاجتماع </w:t>
      </w:r>
      <w:hyperlink r:id="rId20" w:history="1">
        <w:r w:rsidRPr="00514196">
          <w:rPr>
            <w:rStyle w:val="Hyperlink"/>
            <w:rFonts w:hint="cs"/>
            <w:rtl/>
            <w:lang w:bidi="ar-EG"/>
          </w:rPr>
          <w:t>جميع الوثائق</w:t>
        </w:r>
      </w:hyperlink>
      <w:r w:rsidRPr="00514196">
        <w:rPr>
          <w:rFonts w:hint="cs"/>
          <w:rtl/>
          <w:lang w:bidi="ar-EG"/>
        </w:rPr>
        <w:t xml:space="preserve"> التي أعدّها المكتب الدولي، بما في ذلك التقرير الموجز للاجتماع والعروض التقديمية. </w:t>
      </w:r>
    </w:p>
    <w:p w14:paraId="36351DC8" w14:textId="77777777" w:rsidR="00514196" w:rsidRPr="00514196" w:rsidRDefault="00514196" w:rsidP="00074D6A">
      <w:pPr>
        <w:pStyle w:val="ONUMA"/>
        <w:rPr>
          <w:rtl/>
          <w:lang w:bidi="ar-EG"/>
        </w:rPr>
      </w:pPr>
      <w:bookmarkStart w:id="5" w:name="_Hlk163230602"/>
      <w:r w:rsidRPr="00514196">
        <w:rPr>
          <w:rFonts w:hint="cs"/>
          <w:rtl/>
          <w:lang w:bidi="ar-EG"/>
        </w:rPr>
        <w:t>وفي إطار الموضوع 8، ناقش المشاركون أيضاً ما إذا كانت هناك أية مجالات في نظام بودابست يمكن تحسينها، وكيفية معالجتها</w:t>
      </w:r>
      <w:r w:rsidR="008518FF">
        <w:rPr>
          <w:rFonts w:hint="cs"/>
          <w:rtl/>
          <w:lang w:bidi="ar-EG"/>
        </w:rPr>
        <w:t xml:space="preserve">. </w:t>
      </w:r>
      <w:bookmarkEnd w:id="5"/>
      <w:r w:rsidRPr="00514196">
        <w:rPr>
          <w:rFonts w:hint="cs"/>
          <w:rtl/>
          <w:lang w:bidi="ar-EG"/>
        </w:rPr>
        <w:t xml:space="preserve">وتحدّد الفقرة 38 من التقرير الموجز الرسائل الرئيسية التي برزت في إطار هذا الموضوع، وهي على النحو التالي: </w:t>
      </w:r>
    </w:p>
    <w:p w14:paraId="2EC44B50" w14:textId="77777777" w:rsidR="00514196" w:rsidRPr="00514196" w:rsidRDefault="00514196" w:rsidP="003C008A">
      <w:pPr>
        <w:pStyle w:val="BodyText"/>
        <w:numPr>
          <w:ilvl w:val="0"/>
          <w:numId w:val="9"/>
        </w:numPr>
        <w:ind w:left="991"/>
        <w:rPr>
          <w:rtl/>
          <w:lang w:bidi="ar-EG"/>
        </w:rPr>
      </w:pPr>
      <w:r w:rsidRPr="00514196">
        <w:rPr>
          <w:rFonts w:hint="cs"/>
          <w:rtl/>
          <w:lang w:bidi="ar-EG"/>
        </w:rPr>
        <w:t>ينبغي تحسين التواصل بين مكاتب الملكية الفكرية وسلطات الإيداع الدولية والمكتب الدولي على المستويين الوطني والدولي، ومع المودعين ومودعي طلبات البراءات؛</w:t>
      </w:r>
    </w:p>
    <w:p w14:paraId="3B8A04BE" w14:textId="77777777" w:rsidR="00514196" w:rsidRPr="00514196" w:rsidRDefault="00514196" w:rsidP="003C008A">
      <w:pPr>
        <w:pStyle w:val="BodyText"/>
        <w:numPr>
          <w:ilvl w:val="0"/>
          <w:numId w:val="9"/>
        </w:numPr>
        <w:ind w:left="991"/>
        <w:rPr>
          <w:rtl/>
          <w:lang w:bidi="ar-EG"/>
        </w:rPr>
      </w:pPr>
      <w:r w:rsidRPr="00514196">
        <w:rPr>
          <w:rFonts w:hint="cs"/>
          <w:rtl/>
          <w:lang w:bidi="ar-EG"/>
        </w:rPr>
        <w:t>ويمكن لمكاتب الملكية الفكرية وسلطات الإيداع الدولية والمكتب الدولي النظر في تهيئة المزيد من الفرص لتبادل أفضل الممارسات والتجارب؛</w:t>
      </w:r>
    </w:p>
    <w:p w14:paraId="38E4CE35" w14:textId="77777777" w:rsidR="00514196" w:rsidRPr="00514196" w:rsidRDefault="00514196" w:rsidP="003C008A">
      <w:pPr>
        <w:pStyle w:val="BodyText"/>
        <w:numPr>
          <w:ilvl w:val="0"/>
          <w:numId w:val="9"/>
        </w:numPr>
        <w:ind w:left="991"/>
        <w:rPr>
          <w:rtl/>
          <w:lang w:bidi="ar-EG"/>
        </w:rPr>
      </w:pPr>
      <w:r w:rsidRPr="00514196">
        <w:rPr>
          <w:rFonts w:hint="cs"/>
          <w:rtl/>
          <w:lang w:bidi="ar-EG"/>
        </w:rPr>
        <w:t>ويمكن لسلطات الإيداع الدولية ومكاتب الملكية الفكرية أن تستكشف وسائل جديدة لتبادل المعلومات والبيانات من أجل دعم عمليات المنظمات؛</w:t>
      </w:r>
    </w:p>
    <w:p w14:paraId="3CC79149" w14:textId="77777777" w:rsidR="00514196" w:rsidRPr="00514196" w:rsidRDefault="00514196" w:rsidP="003C008A">
      <w:pPr>
        <w:pStyle w:val="BodyText"/>
        <w:numPr>
          <w:ilvl w:val="0"/>
          <w:numId w:val="9"/>
        </w:numPr>
        <w:ind w:left="991"/>
        <w:rPr>
          <w:rtl/>
          <w:lang w:bidi="ar-EG"/>
        </w:rPr>
      </w:pPr>
      <w:r w:rsidRPr="00514196">
        <w:rPr>
          <w:rFonts w:hint="cs"/>
          <w:rtl/>
          <w:lang w:bidi="ar-EG"/>
        </w:rPr>
        <w:lastRenderedPageBreak/>
        <w:t xml:space="preserve">ويجوز للدول المتعاقدة في معاهدة بودابست أن تقدّم توجيهات بشأن كيفية تعامل سلطات الإيداع الدولية مع عينات المواد البيولوجية المودعة بعد فترة التخزين المنصوص عليها في معاهدة بودابست؛ </w:t>
      </w:r>
    </w:p>
    <w:p w14:paraId="4F1D62AE" w14:textId="77777777" w:rsidR="00514196" w:rsidRPr="00514196" w:rsidRDefault="00514196" w:rsidP="003C008A">
      <w:pPr>
        <w:pStyle w:val="BodyText"/>
        <w:numPr>
          <w:ilvl w:val="0"/>
          <w:numId w:val="9"/>
        </w:numPr>
        <w:ind w:left="991"/>
        <w:rPr>
          <w:rtl/>
          <w:lang w:bidi="ar-EG"/>
        </w:rPr>
      </w:pPr>
      <w:r w:rsidRPr="00514196">
        <w:rPr>
          <w:rFonts w:hint="cs"/>
          <w:rtl/>
          <w:lang w:bidi="ar-EG"/>
        </w:rPr>
        <w:t>وينبغي اتباع التطورات التكنولوجية التي قد تساعد سلطات الإيداع الدولية على حفظ المواد البيولوجية المودعة ونقلها بشكل أفضل، بما في ذلك الأنواع الجديدة من المواد؛</w:t>
      </w:r>
    </w:p>
    <w:p w14:paraId="355F79CA" w14:textId="77777777" w:rsidR="00514196" w:rsidRPr="00514196" w:rsidRDefault="00514196" w:rsidP="003C008A">
      <w:pPr>
        <w:pStyle w:val="BodyText"/>
        <w:numPr>
          <w:ilvl w:val="0"/>
          <w:numId w:val="9"/>
        </w:numPr>
        <w:ind w:left="991"/>
        <w:rPr>
          <w:rtl/>
          <w:lang w:bidi="ar-EG"/>
        </w:rPr>
      </w:pPr>
      <w:r w:rsidRPr="00514196">
        <w:rPr>
          <w:rFonts w:hint="cs"/>
          <w:rtl/>
          <w:lang w:bidi="ar-EG"/>
        </w:rPr>
        <w:t>ويمكن استكشاف إمكانات معلومات التسلسل الجينومي لاستكمال إيداع المواد البيولوجية الفيزيائية.</w:t>
      </w:r>
    </w:p>
    <w:p w14:paraId="2AD00649" w14:textId="77777777" w:rsidR="00514196" w:rsidRPr="00514196" w:rsidRDefault="00514196" w:rsidP="00074D6A">
      <w:pPr>
        <w:pStyle w:val="ONUMA"/>
        <w:rPr>
          <w:rtl/>
          <w:lang w:bidi="ar-EG"/>
        </w:rPr>
      </w:pPr>
      <w:r w:rsidRPr="00514196">
        <w:rPr>
          <w:rFonts w:hint="cs"/>
          <w:rtl/>
          <w:lang w:bidi="ar-EG"/>
        </w:rPr>
        <w:t>وبغية تسهيل التواصل والتعاون بين مكاتب الملكية الفكرية وسلطات الإيداع الدولية، واغتنام فرصة طلب التحديثات في القسم هاء من الدليل (انظر الفقرة 13)، دعا المكتب الدولي مكاتب الملكية الفكرية إلى تقديم عنوان بريد إلكتروني يمكن استخدامه من قبل سلطات الإيداع الدولية للاتصال بالمكاتب</w:t>
      </w:r>
      <w:r w:rsidR="008518FF">
        <w:rPr>
          <w:rFonts w:hint="cs"/>
          <w:rtl/>
          <w:lang w:bidi="ar-EG"/>
        </w:rPr>
        <w:t xml:space="preserve">. </w:t>
      </w:r>
      <w:r w:rsidRPr="00514196">
        <w:rPr>
          <w:rFonts w:hint="cs"/>
          <w:rtl/>
          <w:lang w:bidi="ar-EG"/>
        </w:rPr>
        <w:t>واستناداً إلى المعلومات الواردة، تم تحديث القسم هاء من الدليل تبعاً لذلك</w:t>
      </w:r>
      <w:r w:rsidR="008518FF">
        <w:rPr>
          <w:rFonts w:hint="cs"/>
          <w:rtl/>
          <w:lang w:bidi="ar-EG"/>
        </w:rPr>
        <w:t xml:space="preserve">. </w:t>
      </w:r>
      <w:r w:rsidRPr="00514196">
        <w:rPr>
          <w:rFonts w:hint="cs"/>
          <w:rtl/>
          <w:lang w:bidi="ar-EG"/>
        </w:rPr>
        <w:t xml:space="preserve">ويستكشف المكتب الدولي أيضاً جدوى تحسين إمكانية البحث في وثائق البراءات المنشورة الموجودة في ركن البراءات، التي تتعلق بالمواد البيولوجية المودعة. </w:t>
      </w:r>
    </w:p>
    <w:p w14:paraId="098DF870" w14:textId="77777777" w:rsidR="00514196" w:rsidRPr="00284EE5" w:rsidRDefault="00514196" w:rsidP="00284EE5">
      <w:pPr>
        <w:pStyle w:val="ONUMA"/>
        <w:ind w:left="5527"/>
        <w:rPr>
          <w:i/>
          <w:iCs/>
          <w:rtl/>
          <w:lang w:bidi="ar-EG"/>
        </w:rPr>
      </w:pPr>
      <w:r w:rsidRPr="00284EE5">
        <w:rPr>
          <w:rFonts w:hint="cs"/>
          <w:i/>
          <w:iCs/>
          <w:rtl/>
          <w:lang w:bidi="ar-EG"/>
        </w:rPr>
        <w:t xml:space="preserve">إن جمعية اتحاد بودابست مدعوة إلى الإحاطة علماً بالتقرير المعنون "تقرير الأنشطة عن تشغيل نظام بودابست" (الوثيقة </w:t>
      </w:r>
      <w:r w:rsidRPr="00284EE5">
        <w:rPr>
          <w:i/>
          <w:iCs/>
          <w:lang w:bidi="ar-EG"/>
        </w:rPr>
        <w:t>BP/A/41/1</w:t>
      </w:r>
      <w:r w:rsidRPr="00284EE5">
        <w:rPr>
          <w:rFonts w:hint="cs"/>
          <w:i/>
          <w:iCs/>
          <w:rtl/>
          <w:lang w:bidi="ar-EG"/>
        </w:rPr>
        <w:t>).</w:t>
      </w:r>
    </w:p>
    <w:p w14:paraId="268092F7" w14:textId="77777777" w:rsidR="00514196" w:rsidRPr="00514196" w:rsidRDefault="00514196" w:rsidP="00074D6A">
      <w:pPr>
        <w:pStyle w:val="Endofdocument-Annex"/>
        <w:rPr>
          <w:rtl/>
          <w:lang w:bidi="ar-EG"/>
        </w:rPr>
      </w:pPr>
      <w:r w:rsidRPr="00514196">
        <w:rPr>
          <w:rFonts w:hint="cs"/>
          <w:rtl/>
          <w:lang w:bidi="ar-EG"/>
        </w:rPr>
        <w:t>[نهاية الوثيقة]</w:t>
      </w:r>
    </w:p>
    <w:p w14:paraId="2D92E300" w14:textId="77777777" w:rsidR="009B0855" w:rsidRDefault="009B0855" w:rsidP="00D60B2C">
      <w:pPr>
        <w:pStyle w:val="BodyText"/>
      </w:pPr>
      <w:bookmarkStart w:id="6" w:name="TITUS1HeaderEvenPages"/>
      <w:bookmarkEnd w:id="6"/>
    </w:p>
    <w:sectPr w:rsidR="009B0855" w:rsidSect="00CC3E2D">
      <w:headerReference w:type="default" r:id="rId21"/>
      <w:footerReference w:type="default" r:id="rId2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D667" w14:textId="77777777" w:rsidR="001F61D4" w:rsidRDefault="001F61D4">
      <w:r>
        <w:separator/>
      </w:r>
    </w:p>
  </w:endnote>
  <w:endnote w:type="continuationSeparator" w:id="0">
    <w:p w14:paraId="2F375DBB" w14:textId="77777777" w:rsidR="001F61D4" w:rsidRDefault="001F61D4" w:rsidP="003B38C1">
      <w:r>
        <w:separator/>
      </w:r>
    </w:p>
    <w:p w14:paraId="7A13A82C" w14:textId="77777777" w:rsidR="001F61D4" w:rsidRPr="003B38C1" w:rsidRDefault="001F61D4" w:rsidP="003B38C1">
      <w:pPr>
        <w:spacing w:after="60"/>
        <w:rPr>
          <w:sz w:val="17"/>
        </w:rPr>
      </w:pPr>
      <w:r>
        <w:rPr>
          <w:sz w:val="17"/>
        </w:rPr>
        <w:t>[Endnote continued from previous page]</w:t>
      </w:r>
    </w:p>
  </w:endnote>
  <w:endnote w:type="continuationNotice" w:id="1">
    <w:p w14:paraId="0A64EF5D" w14:textId="77777777" w:rsidR="001F61D4" w:rsidRPr="003B38C1" w:rsidRDefault="001F61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4457" w14:textId="14318D1B" w:rsidR="00514196" w:rsidRDefault="0051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783E" w14:textId="77777777" w:rsidR="001F61D4" w:rsidRDefault="001F61D4">
      <w:r>
        <w:separator/>
      </w:r>
    </w:p>
  </w:footnote>
  <w:footnote w:type="continuationSeparator" w:id="0">
    <w:p w14:paraId="234CAE0D" w14:textId="77777777" w:rsidR="001F61D4" w:rsidRDefault="001F61D4" w:rsidP="008B60B2">
      <w:r>
        <w:separator/>
      </w:r>
    </w:p>
    <w:p w14:paraId="4FBDDE72" w14:textId="77777777" w:rsidR="001F61D4" w:rsidRPr="00ED77FB" w:rsidRDefault="001F61D4" w:rsidP="008B60B2">
      <w:pPr>
        <w:spacing w:after="60"/>
        <w:rPr>
          <w:sz w:val="17"/>
          <w:szCs w:val="17"/>
        </w:rPr>
      </w:pPr>
      <w:r w:rsidRPr="00ED77FB">
        <w:rPr>
          <w:sz w:val="17"/>
          <w:szCs w:val="17"/>
        </w:rPr>
        <w:t>[Footnote continued from previous page]</w:t>
      </w:r>
    </w:p>
  </w:footnote>
  <w:footnote w:type="continuationNotice" w:id="1">
    <w:p w14:paraId="52C580A3" w14:textId="77777777" w:rsidR="001F61D4" w:rsidRPr="00ED77FB" w:rsidRDefault="001F61D4" w:rsidP="008B60B2">
      <w:pPr>
        <w:spacing w:before="60"/>
        <w:jc w:val="right"/>
        <w:rPr>
          <w:sz w:val="17"/>
          <w:szCs w:val="17"/>
        </w:rPr>
      </w:pPr>
      <w:r w:rsidRPr="00ED77FB">
        <w:rPr>
          <w:sz w:val="17"/>
          <w:szCs w:val="17"/>
        </w:rPr>
        <w:t>[Footnote continued on next page]</w:t>
      </w:r>
    </w:p>
  </w:footnote>
  <w:footnote w:id="2">
    <w:p w14:paraId="39550A5D" w14:textId="77777777" w:rsidR="00514196" w:rsidRDefault="00514196" w:rsidP="00514196">
      <w:pPr>
        <w:pStyle w:val="FootnoteText"/>
        <w:rPr>
          <w:rtl/>
        </w:rPr>
      </w:pPr>
      <w:r>
        <w:rPr>
          <w:rStyle w:val="FootnoteReference"/>
        </w:rPr>
        <w:footnoteRef/>
      </w:r>
      <w:r>
        <w:rPr>
          <w:rFonts w:hint="cs"/>
          <w:rtl/>
        </w:rPr>
        <w:t xml:space="preserve"> في المغرب.</w:t>
      </w:r>
    </w:p>
  </w:footnote>
  <w:footnote w:id="3">
    <w:p w14:paraId="0E7B6C27" w14:textId="77777777" w:rsidR="00514196" w:rsidRDefault="00514196" w:rsidP="00514196">
      <w:pPr>
        <w:pStyle w:val="FootnoteText"/>
        <w:rPr>
          <w:rtl/>
        </w:rPr>
      </w:pPr>
      <w:r>
        <w:rPr>
          <w:rStyle w:val="FootnoteReference"/>
        </w:rPr>
        <w:footnoteRef/>
      </w:r>
      <w:r>
        <w:rPr>
          <w:rFonts w:hint="cs"/>
          <w:rtl/>
        </w:rPr>
        <w:t xml:space="preserve"> في الهند (3) وجمهورية كوريا (4). </w:t>
      </w:r>
    </w:p>
  </w:footnote>
  <w:footnote w:id="4">
    <w:p w14:paraId="2FF0C9E5" w14:textId="77777777" w:rsidR="00514196" w:rsidRDefault="00514196" w:rsidP="00514196">
      <w:pPr>
        <w:pStyle w:val="FootnoteText"/>
        <w:rPr>
          <w:rtl/>
        </w:rPr>
      </w:pPr>
      <w:r>
        <w:rPr>
          <w:rStyle w:val="FootnoteReference"/>
        </w:rPr>
        <w:footnoteRef/>
      </w:r>
      <w:r>
        <w:rPr>
          <w:rFonts w:hint="cs"/>
          <w:rtl/>
        </w:rPr>
        <w:t xml:space="preserve"> في الاتحاد الروسي (2).</w:t>
      </w:r>
    </w:p>
  </w:footnote>
  <w:footnote w:id="5">
    <w:p w14:paraId="437E12BC" w14:textId="77777777" w:rsidR="00514196" w:rsidRDefault="00514196" w:rsidP="00514196">
      <w:pPr>
        <w:pStyle w:val="FootnoteText"/>
        <w:rPr>
          <w:rtl/>
        </w:rPr>
      </w:pPr>
      <w:r>
        <w:rPr>
          <w:rStyle w:val="FootnoteReference"/>
        </w:rPr>
        <w:footnoteRef/>
      </w:r>
      <w:r>
        <w:rPr>
          <w:rFonts w:hint="cs"/>
          <w:rtl/>
        </w:rPr>
        <w:t xml:space="preserve"> في بلغاريا (1) وجمهورية التشيك (1) وهنغاريا (1) ولاتفيا (1) وبولندا (3) وسلوفاكيا (1).</w:t>
      </w:r>
    </w:p>
  </w:footnote>
  <w:footnote w:id="6">
    <w:p w14:paraId="56A18725" w14:textId="77777777" w:rsidR="00514196" w:rsidRDefault="00514196" w:rsidP="00514196">
      <w:pPr>
        <w:pStyle w:val="FootnoteText"/>
        <w:rPr>
          <w:rtl/>
        </w:rPr>
      </w:pPr>
      <w:r>
        <w:rPr>
          <w:rStyle w:val="FootnoteReference"/>
        </w:rPr>
        <w:footnoteRef/>
      </w:r>
      <w:r>
        <w:rPr>
          <w:rFonts w:hint="cs"/>
          <w:rtl/>
        </w:rPr>
        <w:t xml:space="preserve"> في أستراليا (2) وبلجيكا (1) وكندا (1) وفنلندا (1) وفرنسا (1) وألمانيا (1) وإيطاليا (3) واليابان (2) وهولندا (مملكة) (1) والبرتغال (1) وإسبانيا (2) وسويسرا (1) والمملكة المتحدة (7) والولايات المتحدة الأمريكية (3).</w:t>
      </w:r>
    </w:p>
  </w:footnote>
  <w:footnote w:id="7">
    <w:p w14:paraId="0DCA6FE9" w14:textId="77777777" w:rsidR="00514196" w:rsidRDefault="00514196" w:rsidP="00514196">
      <w:pPr>
        <w:pStyle w:val="FootnoteText"/>
        <w:rPr>
          <w:rtl/>
        </w:rPr>
      </w:pPr>
      <w:r>
        <w:rPr>
          <w:rStyle w:val="FootnoteReference"/>
        </w:rPr>
        <w:footnoteRef/>
      </w:r>
      <w:r>
        <w:rPr>
          <w:rFonts w:hint="cs"/>
          <w:rtl/>
        </w:rPr>
        <w:t xml:space="preserve"> في شيلي (1) والمكسيك (1).</w:t>
      </w:r>
    </w:p>
  </w:footnote>
  <w:footnote w:id="8">
    <w:p w14:paraId="2A33EC7A" w14:textId="77777777" w:rsidR="00514196" w:rsidRDefault="00514196" w:rsidP="00514196">
      <w:pPr>
        <w:pStyle w:val="FootnoteText"/>
        <w:rPr>
          <w:rtl/>
        </w:rPr>
      </w:pPr>
      <w:r>
        <w:rPr>
          <w:rStyle w:val="FootnoteReference"/>
        </w:rPr>
        <w:footnoteRef/>
      </w:r>
      <w:r>
        <w:rPr>
          <w:rFonts w:hint="cs"/>
          <w:rtl/>
        </w:rPr>
        <w:t xml:space="preserve"> في عام 2017، أخطرت إحدى سلطات الإيداع الدولية بالعدد الإجمالي للعينات المقدمة (7 عينات)، دون تحديد التوزيع بحسب أنواع الأطراف التي قدمت لها العينات</w:t>
      </w:r>
      <w:r w:rsidR="008518FF">
        <w:rPr>
          <w:rFonts w:hint="cs"/>
          <w:rtl/>
        </w:rPr>
        <w:t xml:space="preserve">. </w:t>
      </w:r>
      <w:r>
        <w:rPr>
          <w:rFonts w:hint="cs"/>
          <w:rtl/>
        </w:rPr>
        <w:t>ولذلك، فإن العدد الإجمالي للعينات المقدمة في عام 2017 (الشكل 3) يبلغ 1,722 عينة، في حين أن العدد الإجمالي المحتسب من البيانات الواردة في الجدول 3 يصل إلى 1,715 عينة</w:t>
      </w:r>
      <w:r w:rsidR="008518F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1116" w14:textId="77777777" w:rsidR="00D07C78" w:rsidRPr="00514196" w:rsidRDefault="0040273E" w:rsidP="00210D5F">
    <w:pPr>
      <w:bidi w:val="0"/>
      <w:rPr>
        <w:caps/>
        <w:lang w:val="fr-CH"/>
      </w:rPr>
    </w:pPr>
    <w:r>
      <w:rPr>
        <w:caps/>
      </w:rPr>
      <w:t>BP/A/</w:t>
    </w:r>
    <w:r w:rsidR="00514196">
      <w:rPr>
        <w:caps/>
        <w:lang w:val="fr-CH"/>
      </w:rPr>
      <w:t>41/1</w:t>
    </w:r>
  </w:p>
  <w:p w14:paraId="3FF13E14" w14:textId="77777777" w:rsidR="00D07C78" w:rsidRDefault="00D07C78" w:rsidP="00210D5F">
    <w:pPr>
      <w:bidi w:val="0"/>
    </w:pPr>
    <w:r>
      <w:fldChar w:fldCharType="begin"/>
    </w:r>
    <w:r>
      <w:instrText xml:space="preserve"> PAGE  \* MERGEFORMAT </w:instrText>
    </w:r>
    <w:r>
      <w:fldChar w:fldCharType="separate"/>
    </w:r>
    <w:r w:rsidR="0040273E">
      <w:rPr>
        <w:noProof/>
      </w:rPr>
      <w:t>2</w:t>
    </w:r>
    <w:r>
      <w:fldChar w:fldCharType="end"/>
    </w:r>
  </w:p>
  <w:p w14:paraId="24E74AE0" w14:textId="77777777" w:rsidR="00D07C78" w:rsidRDefault="00D07C78" w:rsidP="00210D5F">
    <w:pPr>
      <w:bidi w:val="0"/>
    </w:pPr>
  </w:p>
  <w:p w14:paraId="58304366"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B0C79"/>
    <w:multiLevelType w:val="hybridMultilevel"/>
    <w:tmpl w:val="53EAC83C"/>
    <w:lvl w:ilvl="0" w:tplc="8EA24C6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733703478">
    <w:abstractNumId w:val="3"/>
  </w:num>
  <w:num w:numId="2" w16cid:durableId="1573351677">
    <w:abstractNumId w:val="6"/>
  </w:num>
  <w:num w:numId="3" w16cid:durableId="1033653238">
    <w:abstractNumId w:val="0"/>
  </w:num>
  <w:num w:numId="4" w16cid:durableId="1433207220">
    <w:abstractNumId w:val="7"/>
  </w:num>
  <w:num w:numId="5" w16cid:durableId="1926642075">
    <w:abstractNumId w:val="1"/>
  </w:num>
  <w:num w:numId="6" w16cid:durableId="666329000">
    <w:abstractNumId w:val="4"/>
  </w:num>
  <w:num w:numId="7" w16cid:durableId="130825065">
    <w:abstractNumId w:val="8"/>
  </w:num>
  <w:num w:numId="8" w16cid:durableId="1813477144">
    <w:abstractNumId w:val="5"/>
  </w:num>
  <w:num w:numId="9" w16cid:durableId="1082221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36"/>
    <w:rsid w:val="00043CAA"/>
    <w:rsid w:val="00056816"/>
    <w:rsid w:val="00074D6A"/>
    <w:rsid w:val="00075432"/>
    <w:rsid w:val="000968ED"/>
    <w:rsid w:val="000A3D97"/>
    <w:rsid w:val="000F5E56"/>
    <w:rsid w:val="001362EE"/>
    <w:rsid w:val="001406E1"/>
    <w:rsid w:val="00155D8A"/>
    <w:rsid w:val="001647D5"/>
    <w:rsid w:val="001832A6"/>
    <w:rsid w:val="0019592A"/>
    <w:rsid w:val="001D4107"/>
    <w:rsid w:val="001F61D4"/>
    <w:rsid w:val="00203D24"/>
    <w:rsid w:val="00210D5F"/>
    <w:rsid w:val="0021217E"/>
    <w:rsid w:val="002326AB"/>
    <w:rsid w:val="00243430"/>
    <w:rsid w:val="002634C4"/>
    <w:rsid w:val="00284EE5"/>
    <w:rsid w:val="002928D3"/>
    <w:rsid w:val="002C3DB1"/>
    <w:rsid w:val="002F1FE6"/>
    <w:rsid w:val="002F4E68"/>
    <w:rsid w:val="00312F7F"/>
    <w:rsid w:val="00335D50"/>
    <w:rsid w:val="00361450"/>
    <w:rsid w:val="003673CF"/>
    <w:rsid w:val="003845C1"/>
    <w:rsid w:val="003A6F89"/>
    <w:rsid w:val="003B355C"/>
    <w:rsid w:val="003B38C1"/>
    <w:rsid w:val="003C008A"/>
    <w:rsid w:val="003C34E9"/>
    <w:rsid w:val="00402146"/>
    <w:rsid w:val="0040273E"/>
    <w:rsid w:val="00423E3E"/>
    <w:rsid w:val="00427AF4"/>
    <w:rsid w:val="00431BE4"/>
    <w:rsid w:val="00441418"/>
    <w:rsid w:val="004647DA"/>
    <w:rsid w:val="00474062"/>
    <w:rsid w:val="00477D6B"/>
    <w:rsid w:val="005019FF"/>
    <w:rsid w:val="00514196"/>
    <w:rsid w:val="0053057A"/>
    <w:rsid w:val="00544B0B"/>
    <w:rsid w:val="00556076"/>
    <w:rsid w:val="00560A29"/>
    <w:rsid w:val="005C6649"/>
    <w:rsid w:val="005D6EA5"/>
    <w:rsid w:val="005E7B89"/>
    <w:rsid w:val="00605827"/>
    <w:rsid w:val="00631AF2"/>
    <w:rsid w:val="00646050"/>
    <w:rsid w:val="006713CA"/>
    <w:rsid w:val="00671856"/>
    <w:rsid w:val="00676C5C"/>
    <w:rsid w:val="006A5AA5"/>
    <w:rsid w:val="006B5C12"/>
    <w:rsid w:val="00720EFD"/>
    <w:rsid w:val="0072475B"/>
    <w:rsid w:val="007854AF"/>
    <w:rsid w:val="00793A7C"/>
    <w:rsid w:val="007A398A"/>
    <w:rsid w:val="007C4902"/>
    <w:rsid w:val="007D1613"/>
    <w:rsid w:val="007E4C0E"/>
    <w:rsid w:val="007F2029"/>
    <w:rsid w:val="00802E6B"/>
    <w:rsid w:val="008518FF"/>
    <w:rsid w:val="008A134B"/>
    <w:rsid w:val="008B2CC1"/>
    <w:rsid w:val="008B60B2"/>
    <w:rsid w:val="0090731E"/>
    <w:rsid w:val="00916EE2"/>
    <w:rsid w:val="00966A22"/>
    <w:rsid w:val="0096722F"/>
    <w:rsid w:val="00980843"/>
    <w:rsid w:val="009A2123"/>
    <w:rsid w:val="009B0855"/>
    <w:rsid w:val="009D22D6"/>
    <w:rsid w:val="009D2DE2"/>
    <w:rsid w:val="009E2791"/>
    <w:rsid w:val="009E3F6F"/>
    <w:rsid w:val="009F499F"/>
    <w:rsid w:val="00A37342"/>
    <w:rsid w:val="00A4036A"/>
    <w:rsid w:val="00A42DAF"/>
    <w:rsid w:val="00A45BD8"/>
    <w:rsid w:val="00A869B7"/>
    <w:rsid w:val="00A90F0A"/>
    <w:rsid w:val="00AC205C"/>
    <w:rsid w:val="00AF0A6B"/>
    <w:rsid w:val="00B05A69"/>
    <w:rsid w:val="00B42CA9"/>
    <w:rsid w:val="00B51FF7"/>
    <w:rsid w:val="00B710E8"/>
    <w:rsid w:val="00B72228"/>
    <w:rsid w:val="00B75281"/>
    <w:rsid w:val="00B92F1F"/>
    <w:rsid w:val="00B9734B"/>
    <w:rsid w:val="00BA30E2"/>
    <w:rsid w:val="00C11BFE"/>
    <w:rsid w:val="00C5068F"/>
    <w:rsid w:val="00C51985"/>
    <w:rsid w:val="00C86D74"/>
    <w:rsid w:val="00CA24BB"/>
    <w:rsid w:val="00CB3DBA"/>
    <w:rsid w:val="00CC3E2D"/>
    <w:rsid w:val="00CD04F1"/>
    <w:rsid w:val="00CE19F8"/>
    <w:rsid w:val="00CF681A"/>
    <w:rsid w:val="00D07C78"/>
    <w:rsid w:val="00D37C7A"/>
    <w:rsid w:val="00D45252"/>
    <w:rsid w:val="00D60B2C"/>
    <w:rsid w:val="00D67EAE"/>
    <w:rsid w:val="00D71B4D"/>
    <w:rsid w:val="00D90B96"/>
    <w:rsid w:val="00D93D55"/>
    <w:rsid w:val="00D94836"/>
    <w:rsid w:val="00DD7B7F"/>
    <w:rsid w:val="00E15015"/>
    <w:rsid w:val="00E319DF"/>
    <w:rsid w:val="00E335FE"/>
    <w:rsid w:val="00E66CC5"/>
    <w:rsid w:val="00E7374D"/>
    <w:rsid w:val="00EA7D6E"/>
    <w:rsid w:val="00EB2F76"/>
    <w:rsid w:val="00EC4E49"/>
    <w:rsid w:val="00ED77FB"/>
    <w:rsid w:val="00EE066C"/>
    <w:rsid w:val="00EE45FA"/>
    <w:rsid w:val="00F0061B"/>
    <w:rsid w:val="00F03957"/>
    <w:rsid w:val="00F043DE"/>
    <w:rsid w:val="00F258B2"/>
    <w:rsid w:val="00F66152"/>
    <w:rsid w:val="00F7092C"/>
    <w:rsid w:val="00F7715B"/>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6D31A2"/>
  <w15:docId w15:val="{29027D9B-1F5F-4977-8A23-0703B54F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514196"/>
    <w:pPr>
      <w:keepNext/>
      <w:spacing w:before="240" w:after="120"/>
      <w:outlineLvl w:val="2"/>
    </w:pPr>
    <w:rPr>
      <w:b/>
      <w:sz w:val="26"/>
      <w:szCs w:val="26"/>
      <w:u w:val="single"/>
      <w:lang w:bidi="ar-EG"/>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514196"/>
    <w:rPr>
      <w:vertAlign w:val="superscript"/>
    </w:rPr>
  </w:style>
  <w:style w:type="table" w:styleId="TableGrid">
    <w:name w:val="Table Grid"/>
    <w:basedOn w:val="TableNormal"/>
    <w:rsid w:val="00514196"/>
    <w:rPr>
      <w:rFonts w:eastAsia="SimSun"/>
      <w:lang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14196"/>
    <w:rPr>
      <w:color w:val="0000FF" w:themeColor="hyperlink"/>
      <w:u w:val="single"/>
    </w:rPr>
  </w:style>
  <w:style w:type="character" w:styleId="UnresolvedMention">
    <w:name w:val="Unresolved Mention"/>
    <w:basedOn w:val="DefaultParagraphFont"/>
    <w:uiPriority w:val="99"/>
    <w:semiHidden/>
    <w:unhideWhenUsed/>
    <w:rsid w:val="0051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budapest/ar/guide/appendix_3/index.html"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treaties/ar/registration/budapest/index.html"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wipo.int/budapest/ar/index.html" TargetMode="External"/><Relationship Id="rId20" Type="http://schemas.openxmlformats.org/officeDocument/2006/relationships/hyperlink" Target="https://www.wipo.int/meetings/ar/details.jsp?meeting_id=769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budapest/en/guid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wipolex/ar/treaties/ShowResults?search_what=N&amp;treaty_id=7"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BP_A_39_A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hmad\Downloads\TR-232393\Figures_A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hmad\Downloads\TR-232393\Figures_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hmad\Downloads\TR-232393\Figures_AR.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Calibri" panose="020F0502020204030204" pitchFamily="34" charset="0"/>
              </a:defRPr>
            </a:pPr>
            <a:r>
              <a:rPr lang="ar-SA" sz="1200" baseline="0">
                <a:latin typeface="+mn-lt"/>
                <a:cs typeface="Calibri" panose="020F0502020204030204" pitchFamily="34" charset="0"/>
              </a:rPr>
              <a:t>عدد الكائنات الدقيقة المودعة لدى سلطات الإيداع الدولية</a:t>
            </a:r>
            <a:endParaRPr lang="en-US" sz="1200" baseline="0">
              <a:latin typeface="+mn-lt"/>
              <a:cs typeface="Calibri" panose="020F0502020204030204" pitchFamily="34" charset="0"/>
            </a:endParaRP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Calibri" panose="020F0502020204030204" pitchFamily="34" charset="0"/>
            </a:defRPr>
          </a:pPr>
          <a:endParaRPr lang="en-US"/>
        </a:p>
      </c:txPr>
    </c:title>
    <c:autoTitleDeleted val="0"/>
    <c:plotArea>
      <c:layout/>
      <c:barChart>
        <c:barDir val="col"/>
        <c:grouping val="clustered"/>
        <c:varyColors val="0"/>
        <c:ser>
          <c:idx val="0"/>
          <c:order val="0"/>
          <c:tx>
            <c:strRef>
              <c:f>'L:\MARKS\ORGIPL\SHARED\3. PTLS_Patents and Treaties Law Section\TREATIES\Budapest\Statistics\2023\[New Microsoft Excel Worksheet.xlsx]Sheet1'!$A$23</c:f>
              <c:strCache>
                <c:ptCount val="1"/>
                <c:pt idx="0">
                  <c:v>Overall Total Deposits</c:v>
                </c:pt>
              </c:strCache>
            </c:strRef>
          </c:tx>
          <c:spPr>
            <a:solidFill>
              <a:schemeClr val="accent1"/>
            </a:solidFill>
            <a:ln>
              <a:noFill/>
            </a:ln>
            <a:effectLst/>
          </c:spPr>
          <c:invertIfNegative val="0"/>
          <c:cat>
            <c:numRef>
              <c:f>[1]Sheet1!$B$22:$L$22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[1]Sheet1!$B$23:$L$23</c:f>
              <c:numCache>
                <c:formatCode>General</c:formatCode>
                <c:ptCount val="11"/>
                <c:pt idx="0">
                  <c:v>4790</c:v>
                </c:pt>
                <c:pt idx="1">
                  <c:v>5003</c:v>
                </c:pt>
                <c:pt idx="2">
                  <c:v>4957</c:v>
                </c:pt>
                <c:pt idx="3">
                  <c:v>4893</c:v>
                </c:pt>
                <c:pt idx="4">
                  <c:v>5127</c:v>
                </c:pt>
                <c:pt idx="5">
                  <c:v>5806</c:v>
                </c:pt>
                <c:pt idx="6">
                  <c:v>6303</c:v>
                </c:pt>
                <c:pt idx="7">
                  <c:v>7368</c:v>
                </c:pt>
                <c:pt idx="8">
                  <c:v>6756</c:v>
                </c:pt>
                <c:pt idx="9">
                  <c:v>8714</c:v>
                </c:pt>
                <c:pt idx="10">
                  <c:v>9808</c:v>
                </c:pt>
              </c:numCache>
            </c:numRef>
          </c:val>
          <c:extLst>
            <c:ext xmlns:c16="http://schemas.microsoft.com/office/drawing/2014/chart" uri="{C3380CC4-5D6E-409C-BE32-E72D297353CC}">
              <c16:uniqueId val="{00000000-1E7F-47DF-94CA-89CCE9DF0EB5}"/>
            </c:ext>
          </c:extLst>
        </c:ser>
        <c:dLbls>
          <c:showLegendKey val="0"/>
          <c:showVal val="0"/>
          <c:showCatName val="0"/>
          <c:showSerName val="0"/>
          <c:showPercent val="0"/>
          <c:showBubbleSize val="0"/>
        </c:dLbls>
        <c:gapWidth val="219"/>
        <c:overlap val="-27"/>
        <c:axId val="1577008608"/>
        <c:axId val="1508200704"/>
      </c:barChart>
      <c:catAx>
        <c:axId val="157700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200704"/>
        <c:crosses val="autoZero"/>
        <c:auto val="1"/>
        <c:lblAlgn val="ctr"/>
        <c:lblOffset val="100"/>
        <c:noMultiLvlLbl val="0"/>
      </c:catAx>
      <c:valAx>
        <c:axId val="150820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00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1">
              <a:defRPr sz="1600" b="1" i="0" u="none" strike="noStrike" kern="1200" baseline="0">
                <a:solidFill>
                  <a:schemeClr val="tx2"/>
                </a:solidFill>
                <a:latin typeface="+mn-lt"/>
                <a:ea typeface="+mn-ea"/>
                <a:cs typeface="Calibri" panose="020F0502020204030204" pitchFamily="34" charset="0"/>
              </a:defRPr>
            </a:pPr>
            <a:r>
              <a:rPr lang="ar-SA" sz="1200" b="0" baseline="0">
                <a:solidFill>
                  <a:schemeClr val="bg1">
                    <a:lumMod val="50000"/>
                  </a:schemeClr>
                </a:solidFill>
                <a:cs typeface="Calibri" panose="020F0502020204030204" pitchFamily="34" charset="0"/>
              </a:rPr>
              <a:t>توزيع عدد الكائنات الدقيقة المودعة لدى سلطات الإيداع الدولية بحسب البلد وموقع سلطة الإيداع الدولية (2022) </a:t>
            </a:r>
            <a:endParaRPr lang="en-US" sz="1200" b="0" baseline="0">
              <a:solidFill>
                <a:schemeClr val="bg1">
                  <a:lumMod val="50000"/>
                </a:schemeClr>
              </a:solidFill>
              <a:cs typeface="Calibri" panose="020F0502020204030204" pitchFamily="34" charset="0"/>
            </a:endParaRPr>
          </a:p>
        </c:rich>
      </c:tx>
      <c:layout>
        <c:manualLayout>
          <c:xMode val="edge"/>
          <c:yMode val="edge"/>
          <c:x val="0.10326700428821943"/>
          <c:y val="3.1913276102597331E-2"/>
        </c:manualLayout>
      </c:layout>
      <c:overlay val="0"/>
      <c:spPr>
        <a:noFill/>
        <a:ln>
          <a:noFill/>
        </a:ln>
        <a:effectLst/>
      </c:spPr>
      <c:txPr>
        <a:bodyPr rot="0" spcFirstLastPara="1" vertOverflow="ellipsis" vert="horz" wrap="square" anchor="ctr" anchorCtr="1"/>
        <a:lstStyle/>
        <a:p>
          <a:pPr algn="ctr" rtl="1">
            <a:defRPr sz="1600" b="1" i="0" u="none" strike="noStrike" kern="1200" baseline="0">
              <a:solidFill>
                <a:schemeClr val="tx2"/>
              </a:solidFill>
              <a:latin typeface="+mn-lt"/>
              <a:ea typeface="+mn-ea"/>
              <a:cs typeface="Calibri" panose="020F0502020204030204" pitchFamily="34" charset="0"/>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C25E-4EC5-A98F-38B62A72D2B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C25E-4EC5-A98F-38B62A72D2B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C25E-4EC5-A98F-38B62A72D2B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C25E-4EC5-A98F-38B62A72D2B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C25E-4EC5-A98F-38B62A72D2B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C25E-4EC5-A98F-38B62A72D2B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C25E-4EC5-A98F-38B62A72D2B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C25E-4EC5-A98F-38B62A72D2B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C25E-4EC5-A98F-38B62A72D2B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C25E-4EC5-A98F-38B62A72D2BC}"/>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C25E-4EC5-A98F-38B62A72D2BC}"/>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C25E-4EC5-A98F-38B62A72D2BC}"/>
              </c:ext>
            </c:extLst>
          </c:dPt>
          <c:cat>
            <c:strRef>
              <c:f>'geographical distribution'!$K$47:$K$58</c:f>
              <c:strCache>
                <c:ptCount val="12"/>
                <c:pt idx="0">
                  <c:v>الصين</c:v>
                </c:pt>
                <c:pt idx="1">
                  <c:v>الولايات المتحدة الأمريكية</c:v>
                </c:pt>
                <c:pt idx="2">
                  <c:v>جمهورية كوريا</c:v>
                </c:pt>
                <c:pt idx="3">
                  <c:v>ألمانيا</c:v>
                </c:pt>
                <c:pt idx="4">
                  <c:v>المملكة المتحدة</c:v>
                </c:pt>
                <c:pt idx="5">
                  <c:v>اليابان</c:v>
                </c:pt>
                <c:pt idx="6">
                  <c:v>فرنسا</c:v>
                </c:pt>
                <c:pt idx="7">
                  <c:v>الهند</c:v>
                </c:pt>
                <c:pt idx="8">
                  <c:v>بولندا</c:v>
                </c:pt>
                <c:pt idx="9">
                  <c:v>كندا</c:v>
                </c:pt>
                <c:pt idx="10">
                  <c:v>إسبانيا</c:v>
                </c:pt>
                <c:pt idx="11">
                  <c:v>أخرى</c:v>
                </c:pt>
              </c:strCache>
            </c:strRef>
          </c:cat>
          <c:val>
            <c:numRef>
              <c:f>'geographical distribution'!$L$47:$L$58</c:f>
              <c:numCache>
                <c:formatCode>General</c:formatCode>
                <c:ptCount val="12"/>
                <c:pt idx="0">
                  <c:v>6396</c:v>
                </c:pt>
                <c:pt idx="1">
                  <c:v>1517</c:v>
                </c:pt>
                <c:pt idx="2">
                  <c:v>638</c:v>
                </c:pt>
                <c:pt idx="3">
                  <c:v>215</c:v>
                </c:pt>
                <c:pt idx="4">
                  <c:v>200</c:v>
                </c:pt>
                <c:pt idx="5">
                  <c:v>128</c:v>
                </c:pt>
                <c:pt idx="6">
                  <c:v>126</c:v>
                </c:pt>
                <c:pt idx="7">
                  <c:v>126</c:v>
                </c:pt>
                <c:pt idx="8">
                  <c:v>122</c:v>
                </c:pt>
                <c:pt idx="9">
                  <c:v>59</c:v>
                </c:pt>
                <c:pt idx="10">
                  <c:v>53</c:v>
                </c:pt>
                <c:pt idx="11">
                  <c:v>228</c:v>
                </c:pt>
              </c:numCache>
            </c:numRef>
          </c:val>
          <c:extLst>
            <c:ext xmlns:c16="http://schemas.microsoft.com/office/drawing/2014/chart" uri="{C3380CC4-5D6E-409C-BE32-E72D297353CC}">
              <c16:uniqueId val="{00000018-C25E-4EC5-A98F-38B62A72D2B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1">
              <a:defRPr sz="1400" b="0" i="0" u="none" strike="noStrike" kern="1200" spc="0" baseline="0">
                <a:solidFill>
                  <a:schemeClr val="tx1">
                    <a:lumMod val="65000"/>
                    <a:lumOff val="35000"/>
                  </a:schemeClr>
                </a:solidFill>
                <a:latin typeface="+mn-lt"/>
                <a:ea typeface="+mn-ea"/>
                <a:cs typeface="Calibri" panose="020F0502020204030204" pitchFamily="34" charset="0"/>
              </a:defRPr>
            </a:pPr>
            <a:r>
              <a:rPr lang="ar-SA" sz="1200" baseline="0">
                <a:cs typeface="Calibri" panose="020F0502020204030204" pitchFamily="34" charset="0"/>
              </a:rPr>
              <a:t>عدد </a:t>
            </a:r>
            <a:r>
              <a:rPr lang="ar-SY" sz="1200" baseline="0">
                <a:cs typeface="Calibri" panose="020F0502020204030204" pitchFamily="34" charset="0"/>
              </a:rPr>
              <a:t>عينات الكائنات الدقيقة المودعة التي تقدمها سلطات الإيداع الدولية</a:t>
            </a:r>
            <a:endParaRPr lang="en-US" sz="1200" baseline="0">
              <a:cs typeface="Calibri" panose="020F0502020204030204" pitchFamily="34" charset="0"/>
            </a:endParaRPr>
          </a:p>
        </c:rich>
      </c:tx>
      <c:overlay val="0"/>
      <c:spPr>
        <a:noFill/>
        <a:ln>
          <a:noFill/>
        </a:ln>
        <a:effectLst/>
      </c:spPr>
      <c:txPr>
        <a:bodyPr rot="0" spcFirstLastPara="1" vertOverflow="ellipsis" vert="horz" wrap="square" anchor="ctr" anchorCtr="1"/>
        <a:lstStyle/>
        <a:p>
          <a:pPr algn="ctr" rtl="1">
            <a:defRPr sz="1400" b="0" i="0" u="none" strike="noStrike" kern="1200" spc="0" baseline="0">
              <a:solidFill>
                <a:schemeClr val="tx1">
                  <a:lumMod val="65000"/>
                  <a:lumOff val="35000"/>
                </a:schemeClr>
              </a:solidFill>
              <a:latin typeface="+mn-lt"/>
              <a:ea typeface="+mn-ea"/>
              <a:cs typeface="Calibri" panose="020F0502020204030204" pitchFamily="34" charset="0"/>
            </a:defRPr>
          </a:pPr>
          <a:endParaRPr lang="en-US"/>
        </a:p>
      </c:txPr>
    </c:title>
    <c:autoTitleDeleted val="0"/>
    <c:plotArea>
      <c:layout/>
      <c:barChart>
        <c:barDir val="col"/>
        <c:grouping val="clustered"/>
        <c:varyColors val="0"/>
        <c:ser>
          <c:idx val="0"/>
          <c:order val="0"/>
          <c:tx>
            <c:strRef>
              <c:f>'L:\MARKS\ORGIPL\SHARED\3. PTLS_Patents and Treaties Law Section\TREATIES\Budapest\Statistics\2023\[New Microsoft Excel Worksheet.xlsx]Sheet1'!$A$49</c:f>
              <c:strCache>
                <c:ptCount val="1"/>
                <c:pt idx="0">
                  <c:v>Overall Total Samples</c:v>
                </c:pt>
              </c:strCache>
            </c:strRef>
          </c:tx>
          <c:spPr>
            <a:solidFill>
              <a:schemeClr val="accent1"/>
            </a:solidFill>
            <a:ln>
              <a:noFill/>
            </a:ln>
            <a:effectLst/>
          </c:spPr>
          <c:invertIfNegative val="0"/>
          <c:cat>
            <c:numRef>
              <c:f>[1]Sheet1!$B$48:$L$48</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[1]Sheet1!$B$49:$L$49</c:f>
              <c:numCache>
                <c:formatCode>General</c:formatCode>
                <c:ptCount val="11"/>
                <c:pt idx="0">
                  <c:v>950</c:v>
                </c:pt>
                <c:pt idx="1">
                  <c:v>852</c:v>
                </c:pt>
                <c:pt idx="2">
                  <c:v>838</c:v>
                </c:pt>
                <c:pt idx="3">
                  <c:v>997</c:v>
                </c:pt>
                <c:pt idx="4">
                  <c:v>1079</c:v>
                </c:pt>
                <c:pt idx="5">
                  <c:v>1722</c:v>
                </c:pt>
                <c:pt idx="6">
                  <c:v>1689</c:v>
                </c:pt>
                <c:pt idx="7">
                  <c:v>1484</c:v>
                </c:pt>
                <c:pt idx="8">
                  <c:v>1886</c:v>
                </c:pt>
                <c:pt idx="9">
                  <c:v>1700</c:v>
                </c:pt>
                <c:pt idx="10">
                  <c:v>1751</c:v>
                </c:pt>
              </c:numCache>
            </c:numRef>
          </c:val>
          <c:extLst>
            <c:ext xmlns:c16="http://schemas.microsoft.com/office/drawing/2014/chart" uri="{C3380CC4-5D6E-409C-BE32-E72D297353CC}">
              <c16:uniqueId val="{00000000-882E-4D3D-B43C-BCEAE06A8E94}"/>
            </c:ext>
          </c:extLst>
        </c:ser>
        <c:dLbls>
          <c:showLegendKey val="0"/>
          <c:showVal val="0"/>
          <c:showCatName val="0"/>
          <c:showSerName val="0"/>
          <c:showPercent val="0"/>
          <c:showBubbleSize val="0"/>
        </c:dLbls>
        <c:gapWidth val="219"/>
        <c:overlap val="-27"/>
        <c:axId val="1501090416"/>
        <c:axId val="1357838960"/>
      </c:barChart>
      <c:catAx>
        <c:axId val="150109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7838960"/>
        <c:crosses val="autoZero"/>
        <c:auto val="1"/>
        <c:lblAlgn val="ctr"/>
        <c:lblOffset val="100"/>
        <c:noMultiLvlLbl val="0"/>
      </c:catAx>
      <c:valAx>
        <c:axId val="135783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109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0.08611</cdr:x>
      <cdr:y>0.5162</cdr:y>
    </cdr:from>
    <cdr:to>
      <cdr:x>0.20625</cdr:x>
      <cdr:y>0.60416</cdr:y>
    </cdr:to>
    <cdr:sp macro="" textlink="">
      <cdr:nvSpPr>
        <cdr:cNvPr id="2" name="TextBox 1">
          <a:extLst xmlns:a="http://schemas.openxmlformats.org/drawingml/2006/main">
            <a:ext uri="{FF2B5EF4-FFF2-40B4-BE49-F238E27FC236}">
              <a16:creationId xmlns:a16="http://schemas.microsoft.com/office/drawing/2014/main" id="{2DCE50A6-9187-FAEA-AB08-65C607A02992}"/>
            </a:ext>
          </a:extLst>
        </cdr:cNvPr>
        <cdr:cNvSpPr txBox="1"/>
      </cdr:nvSpPr>
      <cdr:spPr>
        <a:xfrm xmlns:a="http://schemas.openxmlformats.org/drawingml/2006/main">
          <a:off x="393700" y="1416050"/>
          <a:ext cx="549280" cy="2412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4790</a:t>
          </a:r>
        </a:p>
      </cdr:txBody>
    </cdr:sp>
  </cdr:relSizeAnchor>
  <cdr:relSizeAnchor xmlns:cdr="http://schemas.openxmlformats.org/drawingml/2006/chartDrawing">
    <cdr:from>
      <cdr:x>0.16944</cdr:x>
      <cdr:y>0.52315</cdr:y>
    </cdr:from>
    <cdr:to>
      <cdr:x>0.27014</cdr:x>
      <cdr:y>0.60648</cdr:y>
    </cdr:to>
    <cdr:sp macro="" textlink="">
      <cdr:nvSpPr>
        <cdr:cNvPr id="3" name="TextBox 1">
          <a:extLst xmlns:a="http://schemas.openxmlformats.org/drawingml/2006/main">
            <a:ext uri="{FF2B5EF4-FFF2-40B4-BE49-F238E27FC236}">
              <a16:creationId xmlns:a16="http://schemas.microsoft.com/office/drawing/2014/main" id="{0B791A1E-6DC4-6ED2-33D0-2D306342585B}"/>
            </a:ext>
          </a:extLst>
        </cdr:cNvPr>
        <cdr:cNvSpPr txBox="1"/>
      </cdr:nvSpPr>
      <cdr:spPr>
        <a:xfrm xmlns:a="http://schemas.openxmlformats.org/drawingml/2006/main">
          <a:off x="774700" y="1435100"/>
          <a:ext cx="460400" cy="2285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5003</a:t>
          </a:r>
        </a:p>
      </cdr:txBody>
    </cdr:sp>
  </cdr:relSizeAnchor>
  <cdr:relSizeAnchor xmlns:cdr="http://schemas.openxmlformats.org/drawingml/2006/chartDrawing">
    <cdr:from>
      <cdr:x>0.25139</cdr:x>
      <cdr:y>0.51389</cdr:y>
    </cdr:from>
    <cdr:to>
      <cdr:x>0.35208</cdr:x>
      <cdr:y>0.59491</cdr:y>
    </cdr:to>
    <cdr:sp macro="" textlink="">
      <cdr:nvSpPr>
        <cdr:cNvPr id="4" name="TextBox 1">
          <a:extLst xmlns:a="http://schemas.openxmlformats.org/drawingml/2006/main">
            <a:ext uri="{FF2B5EF4-FFF2-40B4-BE49-F238E27FC236}">
              <a16:creationId xmlns:a16="http://schemas.microsoft.com/office/drawing/2014/main" id="{8C6D9CF7-6B67-96F0-2129-BBAA13B7A55B}"/>
            </a:ext>
          </a:extLst>
        </cdr:cNvPr>
        <cdr:cNvSpPr txBox="1"/>
      </cdr:nvSpPr>
      <cdr:spPr>
        <a:xfrm xmlns:a="http://schemas.openxmlformats.org/drawingml/2006/main">
          <a:off x="1149350" y="1409700"/>
          <a:ext cx="460355" cy="2222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4957</a:t>
          </a:r>
        </a:p>
      </cdr:txBody>
    </cdr:sp>
  </cdr:relSizeAnchor>
  <cdr:relSizeAnchor xmlns:cdr="http://schemas.openxmlformats.org/drawingml/2006/chartDrawing">
    <cdr:from>
      <cdr:x>0.32778</cdr:x>
      <cdr:y>0.48611</cdr:y>
    </cdr:from>
    <cdr:to>
      <cdr:x>0.42916</cdr:x>
      <cdr:y>0.56482</cdr:y>
    </cdr:to>
    <cdr:sp macro="" textlink="">
      <cdr:nvSpPr>
        <cdr:cNvPr id="5" name="TextBox 1">
          <a:extLst xmlns:a="http://schemas.openxmlformats.org/drawingml/2006/main">
            <a:ext uri="{FF2B5EF4-FFF2-40B4-BE49-F238E27FC236}">
              <a16:creationId xmlns:a16="http://schemas.microsoft.com/office/drawing/2014/main" id="{B3F687AB-CE05-B976-30B4-91900593E616}"/>
            </a:ext>
          </a:extLst>
        </cdr:cNvPr>
        <cdr:cNvSpPr txBox="1"/>
      </cdr:nvSpPr>
      <cdr:spPr>
        <a:xfrm xmlns:a="http://schemas.openxmlformats.org/drawingml/2006/main">
          <a:off x="1498600" y="1333500"/>
          <a:ext cx="463510" cy="21591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4893</a:t>
          </a:r>
        </a:p>
      </cdr:txBody>
    </cdr:sp>
  </cdr:relSizeAnchor>
  <cdr:relSizeAnchor xmlns:cdr="http://schemas.openxmlformats.org/drawingml/2006/chartDrawing">
    <cdr:from>
      <cdr:x>0.40278</cdr:x>
      <cdr:y>0.47454</cdr:y>
    </cdr:from>
    <cdr:to>
      <cdr:x>0.49305</cdr:x>
      <cdr:y>0.56945</cdr:y>
    </cdr:to>
    <cdr:sp macro="" textlink="">
      <cdr:nvSpPr>
        <cdr:cNvPr id="7" name="TextBox 1">
          <a:extLst xmlns:a="http://schemas.openxmlformats.org/drawingml/2006/main">
            <a:ext uri="{FF2B5EF4-FFF2-40B4-BE49-F238E27FC236}">
              <a16:creationId xmlns:a16="http://schemas.microsoft.com/office/drawing/2014/main" id="{28D9C691-8A13-76BA-558C-5617D40B987D}"/>
            </a:ext>
          </a:extLst>
        </cdr:cNvPr>
        <cdr:cNvSpPr txBox="1"/>
      </cdr:nvSpPr>
      <cdr:spPr>
        <a:xfrm xmlns:a="http://schemas.openxmlformats.org/drawingml/2006/main">
          <a:off x="1841500" y="1301750"/>
          <a:ext cx="412715" cy="2603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5127</a:t>
          </a:r>
        </a:p>
      </cdr:txBody>
    </cdr:sp>
  </cdr:relSizeAnchor>
  <cdr:relSizeAnchor xmlns:cdr="http://schemas.openxmlformats.org/drawingml/2006/chartDrawing">
    <cdr:from>
      <cdr:x>0.48333</cdr:x>
      <cdr:y>0.47222</cdr:y>
    </cdr:from>
    <cdr:to>
      <cdr:x>0.5861</cdr:x>
      <cdr:y>0.56713</cdr:y>
    </cdr:to>
    <cdr:sp macro="" textlink="">
      <cdr:nvSpPr>
        <cdr:cNvPr id="8" name="TextBox 1">
          <a:extLst xmlns:a="http://schemas.openxmlformats.org/drawingml/2006/main">
            <a:ext uri="{FF2B5EF4-FFF2-40B4-BE49-F238E27FC236}">
              <a16:creationId xmlns:a16="http://schemas.microsoft.com/office/drawing/2014/main" id="{2DFE4E92-0556-6E58-BF7D-1134B897B01D}"/>
            </a:ext>
          </a:extLst>
        </cdr:cNvPr>
        <cdr:cNvSpPr txBox="1"/>
      </cdr:nvSpPr>
      <cdr:spPr>
        <a:xfrm xmlns:a="http://schemas.openxmlformats.org/drawingml/2006/main">
          <a:off x="2209800" y="1295400"/>
          <a:ext cx="469865" cy="2603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5806</a:t>
          </a:r>
        </a:p>
      </cdr:txBody>
    </cdr:sp>
  </cdr:relSizeAnchor>
  <cdr:relSizeAnchor xmlns:cdr="http://schemas.openxmlformats.org/drawingml/2006/chartDrawing">
    <cdr:from>
      <cdr:x>0.56111</cdr:x>
      <cdr:y>0.43287</cdr:y>
    </cdr:from>
    <cdr:to>
      <cdr:x>0.65972</cdr:x>
      <cdr:y>0.52315</cdr:y>
    </cdr:to>
    <cdr:sp macro="" textlink="">
      <cdr:nvSpPr>
        <cdr:cNvPr id="9" name="TextBox 1">
          <a:extLst xmlns:a="http://schemas.openxmlformats.org/drawingml/2006/main">
            <a:ext uri="{FF2B5EF4-FFF2-40B4-BE49-F238E27FC236}">
              <a16:creationId xmlns:a16="http://schemas.microsoft.com/office/drawing/2014/main" id="{02545E80-CADB-2ED8-B7BE-3F270023F2C0}"/>
            </a:ext>
          </a:extLst>
        </cdr:cNvPr>
        <cdr:cNvSpPr txBox="1"/>
      </cdr:nvSpPr>
      <cdr:spPr>
        <a:xfrm xmlns:a="http://schemas.openxmlformats.org/drawingml/2006/main">
          <a:off x="2565400" y="1187450"/>
          <a:ext cx="450845" cy="2476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6303</a:t>
          </a:r>
        </a:p>
      </cdr:txBody>
    </cdr:sp>
  </cdr:relSizeAnchor>
  <cdr:relSizeAnchor xmlns:cdr="http://schemas.openxmlformats.org/drawingml/2006/chartDrawing">
    <cdr:from>
      <cdr:x>0.62917</cdr:x>
      <cdr:y>0.37269</cdr:y>
    </cdr:from>
    <cdr:to>
      <cdr:x>0.74028</cdr:x>
      <cdr:y>0.45602</cdr:y>
    </cdr:to>
    <cdr:sp macro="" textlink="">
      <cdr:nvSpPr>
        <cdr:cNvPr id="10" name="TextBox 1">
          <a:extLst xmlns:a="http://schemas.openxmlformats.org/drawingml/2006/main">
            <a:ext uri="{FF2B5EF4-FFF2-40B4-BE49-F238E27FC236}">
              <a16:creationId xmlns:a16="http://schemas.microsoft.com/office/drawing/2014/main" id="{13105A3C-F4F3-5DCD-C33E-1EC7980D9F07}"/>
            </a:ext>
          </a:extLst>
        </cdr:cNvPr>
        <cdr:cNvSpPr txBox="1"/>
      </cdr:nvSpPr>
      <cdr:spPr>
        <a:xfrm xmlns:a="http://schemas.openxmlformats.org/drawingml/2006/main">
          <a:off x="2876550" y="1022350"/>
          <a:ext cx="507995" cy="2285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7368</a:t>
          </a:r>
        </a:p>
      </cdr:txBody>
    </cdr:sp>
  </cdr:relSizeAnchor>
  <cdr:relSizeAnchor xmlns:cdr="http://schemas.openxmlformats.org/drawingml/2006/chartDrawing">
    <cdr:from>
      <cdr:x>0.71667</cdr:x>
      <cdr:y>0.4375</cdr:y>
    </cdr:from>
    <cdr:to>
      <cdr:x>0.81528</cdr:x>
      <cdr:y>0.52083</cdr:y>
    </cdr:to>
    <cdr:sp macro="" textlink="">
      <cdr:nvSpPr>
        <cdr:cNvPr id="12" name="TextBox 1">
          <a:extLst xmlns:a="http://schemas.openxmlformats.org/drawingml/2006/main">
            <a:ext uri="{FF2B5EF4-FFF2-40B4-BE49-F238E27FC236}">
              <a16:creationId xmlns:a16="http://schemas.microsoft.com/office/drawing/2014/main" id="{3E0D3A6C-FECA-7E08-BD6D-C0E038D86A75}"/>
            </a:ext>
          </a:extLst>
        </cdr:cNvPr>
        <cdr:cNvSpPr txBox="1"/>
      </cdr:nvSpPr>
      <cdr:spPr>
        <a:xfrm xmlns:a="http://schemas.openxmlformats.org/drawingml/2006/main">
          <a:off x="3276600" y="1200150"/>
          <a:ext cx="450845" cy="2285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6756</a:t>
          </a:r>
        </a:p>
      </cdr:txBody>
    </cdr:sp>
  </cdr:relSizeAnchor>
  <cdr:relSizeAnchor xmlns:cdr="http://schemas.openxmlformats.org/drawingml/2006/chartDrawing">
    <cdr:from>
      <cdr:x>0.78889</cdr:x>
      <cdr:y>0.30093</cdr:y>
    </cdr:from>
    <cdr:to>
      <cdr:x>0.88473</cdr:x>
      <cdr:y>0.40509</cdr:y>
    </cdr:to>
    <cdr:sp macro="" textlink="">
      <cdr:nvSpPr>
        <cdr:cNvPr id="13" name="TextBox 1">
          <a:extLst xmlns:a="http://schemas.openxmlformats.org/drawingml/2006/main">
            <a:ext uri="{FF2B5EF4-FFF2-40B4-BE49-F238E27FC236}">
              <a16:creationId xmlns:a16="http://schemas.microsoft.com/office/drawing/2014/main" id="{650888D8-6CAA-D01D-AEEF-1C773463E252}"/>
            </a:ext>
          </a:extLst>
        </cdr:cNvPr>
        <cdr:cNvSpPr txBox="1"/>
      </cdr:nvSpPr>
      <cdr:spPr>
        <a:xfrm xmlns:a="http://schemas.openxmlformats.org/drawingml/2006/main">
          <a:off x="3606800" y="825500"/>
          <a:ext cx="438180" cy="2857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8714</a:t>
          </a:r>
        </a:p>
      </cdr:txBody>
    </cdr:sp>
  </cdr:relSizeAnchor>
  <cdr:relSizeAnchor xmlns:cdr="http://schemas.openxmlformats.org/drawingml/2006/chartDrawing">
    <cdr:from>
      <cdr:x>0.87639</cdr:x>
      <cdr:y>0.24769</cdr:y>
    </cdr:from>
    <cdr:to>
      <cdr:x>0.97222</cdr:x>
      <cdr:y>0.32639</cdr:y>
    </cdr:to>
    <cdr:sp macro="" textlink="">
      <cdr:nvSpPr>
        <cdr:cNvPr id="14" name="TextBox 1">
          <a:extLst xmlns:a="http://schemas.openxmlformats.org/drawingml/2006/main">
            <a:ext uri="{FF2B5EF4-FFF2-40B4-BE49-F238E27FC236}">
              <a16:creationId xmlns:a16="http://schemas.microsoft.com/office/drawing/2014/main" id="{AAA011B9-71B3-CDE4-398E-D9D567DC1741}"/>
            </a:ext>
          </a:extLst>
        </cdr:cNvPr>
        <cdr:cNvSpPr txBox="1"/>
      </cdr:nvSpPr>
      <cdr:spPr>
        <a:xfrm xmlns:a="http://schemas.openxmlformats.org/drawingml/2006/main">
          <a:off x="4006850" y="679450"/>
          <a:ext cx="438135" cy="2158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9808</a:t>
          </a:r>
        </a:p>
      </cdr:txBody>
    </cdr:sp>
  </cdr:relSizeAnchor>
</c:userShapes>
</file>

<file path=word/drawings/drawing2.xml><?xml version="1.0" encoding="utf-8"?>
<c:userShapes xmlns:c="http://schemas.openxmlformats.org/drawingml/2006/chart">
  <cdr:relSizeAnchor xmlns:cdr="http://schemas.openxmlformats.org/drawingml/2006/chartDrawing">
    <cdr:from>
      <cdr:x>0.08194</cdr:x>
      <cdr:y>0.43287</cdr:y>
    </cdr:from>
    <cdr:to>
      <cdr:x>0.16925</cdr:x>
      <cdr:y>0.52931</cdr:y>
    </cdr:to>
    <cdr:sp macro="" textlink="">
      <cdr:nvSpPr>
        <cdr:cNvPr id="2" name="TextBox 13">
          <a:extLst xmlns:a="http://schemas.openxmlformats.org/drawingml/2006/main">
            <a:ext uri="{FF2B5EF4-FFF2-40B4-BE49-F238E27FC236}">
              <a16:creationId xmlns:a16="http://schemas.microsoft.com/office/drawing/2014/main" id="{4B5901D4-1F22-FED2-103B-4476B056F2C8}"/>
            </a:ext>
          </a:extLst>
        </cdr:cNvPr>
        <cdr:cNvSpPr txBox="1"/>
      </cdr:nvSpPr>
      <cdr:spPr>
        <a:xfrm xmlns:a="http://schemas.openxmlformats.org/drawingml/2006/main">
          <a:off x="374650" y="1187450"/>
          <a:ext cx="399148"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950</a:t>
          </a:r>
        </a:p>
      </cdr:txBody>
    </cdr:sp>
  </cdr:relSizeAnchor>
  <cdr:relSizeAnchor xmlns:cdr="http://schemas.openxmlformats.org/drawingml/2006/chartDrawing">
    <cdr:from>
      <cdr:x>0.16944</cdr:x>
      <cdr:y>0.47685</cdr:y>
    </cdr:from>
    <cdr:to>
      <cdr:x>0.25675</cdr:x>
      <cdr:y>0.57329</cdr:y>
    </cdr:to>
    <cdr:sp macro="" textlink="">
      <cdr:nvSpPr>
        <cdr:cNvPr id="3" name="TextBox 12">
          <a:extLst xmlns:a="http://schemas.openxmlformats.org/drawingml/2006/main">
            <a:ext uri="{FF2B5EF4-FFF2-40B4-BE49-F238E27FC236}">
              <a16:creationId xmlns:a16="http://schemas.microsoft.com/office/drawing/2014/main" id="{09A34B8D-929D-9078-0FA8-E96266C04693}"/>
            </a:ext>
          </a:extLst>
        </cdr:cNvPr>
        <cdr:cNvSpPr txBox="1"/>
      </cdr:nvSpPr>
      <cdr:spPr>
        <a:xfrm xmlns:a="http://schemas.openxmlformats.org/drawingml/2006/main">
          <a:off x="774700" y="1308100"/>
          <a:ext cx="399148"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852</a:t>
          </a:r>
        </a:p>
      </cdr:txBody>
    </cdr:sp>
  </cdr:relSizeAnchor>
  <cdr:relSizeAnchor xmlns:cdr="http://schemas.openxmlformats.org/drawingml/2006/chartDrawing">
    <cdr:from>
      <cdr:x>0.32222</cdr:x>
      <cdr:y>0.42824</cdr:y>
    </cdr:from>
    <cdr:to>
      <cdr:x>0.40952</cdr:x>
      <cdr:y>0.52468</cdr:y>
    </cdr:to>
    <cdr:sp macro="" textlink="">
      <cdr:nvSpPr>
        <cdr:cNvPr id="5" name="TextBox 10">
          <a:extLst xmlns:a="http://schemas.openxmlformats.org/drawingml/2006/main">
            <a:ext uri="{FF2B5EF4-FFF2-40B4-BE49-F238E27FC236}">
              <a16:creationId xmlns:a16="http://schemas.microsoft.com/office/drawing/2014/main" id="{6376570F-9047-2BFB-8BAC-32705B9C5EC6}"/>
            </a:ext>
          </a:extLst>
        </cdr:cNvPr>
        <cdr:cNvSpPr txBox="1"/>
      </cdr:nvSpPr>
      <cdr:spPr>
        <a:xfrm xmlns:a="http://schemas.openxmlformats.org/drawingml/2006/main">
          <a:off x="1473200" y="1174750"/>
          <a:ext cx="399148"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997</a:t>
          </a:r>
        </a:p>
      </cdr:txBody>
    </cdr:sp>
  </cdr:relSizeAnchor>
  <cdr:relSizeAnchor xmlns:cdr="http://schemas.openxmlformats.org/drawingml/2006/chartDrawing">
    <cdr:from>
      <cdr:x>0.39444</cdr:x>
      <cdr:y>0.36806</cdr:y>
    </cdr:from>
    <cdr:to>
      <cdr:x>0.49738</cdr:x>
      <cdr:y>0.4645</cdr:y>
    </cdr:to>
    <cdr:sp macro="" textlink="">
      <cdr:nvSpPr>
        <cdr:cNvPr id="6" name="TextBox 9">
          <a:extLst xmlns:a="http://schemas.openxmlformats.org/drawingml/2006/main">
            <a:ext uri="{FF2B5EF4-FFF2-40B4-BE49-F238E27FC236}">
              <a16:creationId xmlns:a16="http://schemas.microsoft.com/office/drawing/2014/main" id="{37CA0581-60BC-258E-A21A-72715CC001FB}"/>
            </a:ext>
          </a:extLst>
        </cdr:cNvPr>
        <cdr:cNvSpPr txBox="1"/>
      </cdr:nvSpPr>
      <cdr:spPr>
        <a:xfrm xmlns:a="http://schemas.openxmlformats.org/drawingml/2006/main">
          <a:off x="1803400" y="1009650"/>
          <a:ext cx="470642"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1079</a:t>
          </a:r>
        </a:p>
      </cdr:txBody>
    </cdr:sp>
  </cdr:relSizeAnchor>
  <cdr:relSizeAnchor xmlns:cdr="http://schemas.openxmlformats.org/drawingml/2006/chartDrawing">
    <cdr:from>
      <cdr:x>0.47083</cdr:x>
      <cdr:y>0.24537</cdr:y>
    </cdr:from>
    <cdr:to>
      <cdr:x>0.57377</cdr:x>
      <cdr:y>0.34181</cdr:y>
    </cdr:to>
    <cdr:sp macro="" textlink="">
      <cdr:nvSpPr>
        <cdr:cNvPr id="7" name="TextBox 8">
          <a:extLst xmlns:a="http://schemas.openxmlformats.org/drawingml/2006/main">
            <a:ext uri="{FF2B5EF4-FFF2-40B4-BE49-F238E27FC236}">
              <a16:creationId xmlns:a16="http://schemas.microsoft.com/office/drawing/2014/main" id="{BB10D69E-4C76-E88D-9A3C-E47C99A4B94F}"/>
            </a:ext>
          </a:extLst>
        </cdr:cNvPr>
        <cdr:cNvSpPr txBox="1"/>
      </cdr:nvSpPr>
      <cdr:spPr>
        <a:xfrm xmlns:a="http://schemas.openxmlformats.org/drawingml/2006/main">
          <a:off x="2152650" y="673100"/>
          <a:ext cx="470642"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1722</a:t>
          </a:r>
        </a:p>
      </cdr:txBody>
    </cdr:sp>
  </cdr:relSizeAnchor>
  <cdr:relSizeAnchor xmlns:cdr="http://schemas.openxmlformats.org/drawingml/2006/chartDrawing">
    <cdr:from>
      <cdr:x>0.55</cdr:x>
      <cdr:y>0.23611</cdr:y>
    </cdr:from>
    <cdr:to>
      <cdr:x>0.65294</cdr:x>
      <cdr:y>0.33255</cdr:y>
    </cdr:to>
    <cdr:sp macro="" textlink="">
      <cdr:nvSpPr>
        <cdr:cNvPr id="8" name="TextBox 7">
          <a:extLst xmlns:a="http://schemas.openxmlformats.org/drawingml/2006/main">
            <a:ext uri="{FF2B5EF4-FFF2-40B4-BE49-F238E27FC236}">
              <a16:creationId xmlns:a16="http://schemas.microsoft.com/office/drawing/2014/main" id="{FC399FB3-0FE4-D496-8294-E8B96E57EC9F}"/>
            </a:ext>
          </a:extLst>
        </cdr:cNvPr>
        <cdr:cNvSpPr txBox="1"/>
      </cdr:nvSpPr>
      <cdr:spPr>
        <a:xfrm xmlns:a="http://schemas.openxmlformats.org/drawingml/2006/main">
          <a:off x="2514600" y="647700"/>
          <a:ext cx="470642"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1689</a:t>
          </a:r>
        </a:p>
      </cdr:txBody>
    </cdr:sp>
  </cdr:relSizeAnchor>
  <cdr:relSizeAnchor xmlns:cdr="http://schemas.openxmlformats.org/drawingml/2006/chartDrawing">
    <cdr:from>
      <cdr:x>0.24444</cdr:x>
      <cdr:y>0.4838</cdr:y>
    </cdr:from>
    <cdr:to>
      <cdr:x>0.33175</cdr:x>
      <cdr:y>0.58024</cdr:y>
    </cdr:to>
    <cdr:sp macro="" textlink="">
      <cdr:nvSpPr>
        <cdr:cNvPr id="10" name="TextBox 11">
          <a:extLst xmlns:a="http://schemas.openxmlformats.org/drawingml/2006/main">
            <a:ext uri="{FF2B5EF4-FFF2-40B4-BE49-F238E27FC236}">
              <a16:creationId xmlns:a16="http://schemas.microsoft.com/office/drawing/2014/main" id="{CEC8439E-F576-8CC7-C13A-99E935DBDEA1}"/>
            </a:ext>
          </a:extLst>
        </cdr:cNvPr>
        <cdr:cNvSpPr txBox="1"/>
      </cdr:nvSpPr>
      <cdr:spPr>
        <a:xfrm xmlns:a="http://schemas.openxmlformats.org/drawingml/2006/main">
          <a:off x="1117600" y="1327150"/>
          <a:ext cx="399148"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US" sz="1100"/>
            <a:t>838</a:t>
          </a:r>
        </a:p>
      </cdr:txBody>
    </cdr:sp>
  </cdr:relSizeAnchor>
  <cdr:relSizeAnchor xmlns:cdr="http://schemas.openxmlformats.org/drawingml/2006/chartDrawing">
    <cdr:from>
      <cdr:x>0.63611</cdr:x>
      <cdr:y>0.29861</cdr:y>
    </cdr:from>
    <cdr:to>
      <cdr:x>0.73905</cdr:x>
      <cdr:y>0.39505</cdr:y>
    </cdr:to>
    <cdr:sp macro="" textlink="">
      <cdr:nvSpPr>
        <cdr:cNvPr id="11" name="TextBox 6">
          <a:extLst xmlns:a="http://schemas.openxmlformats.org/drawingml/2006/main">
            <a:ext uri="{FF2B5EF4-FFF2-40B4-BE49-F238E27FC236}">
              <a16:creationId xmlns:a16="http://schemas.microsoft.com/office/drawing/2014/main" id="{0B22CABF-0680-661A-6E02-434E937F7BBB}"/>
            </a:ext>
          </a:extLst>
        </cdr:cNvPr>
        <cdr:cNvSpPr txBox="1"/>
      </cdr:nvSpPr>
      <cdr:spPr>
        <a:xfrm xmlns:a="http://schemas.openxmlformats.org/drawingml/2006/main">
          <a:off x="2908300" y="819150"/>
          <a:ext cx="470642"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1484</a:t>
          </a:r>
        </a:p>
      </cdr:txBody>
    </cdr:sp>
  </cdr:relSizeAnchor>
  <cdr:relSizeAnchor xmlns:cdr="http://schemas.openxmlformats.org/drawingml/2006/chartDrawing">
    <cdr:from>
      <cdr:x>0.70417</cdr:x>
      <cdr:y>0.18519</cdr:y>
    </cdr:from>
    <cdr:to>
      <cdr:x>0.80711</cdr:x>
      <cdr:y>0.28163</cdr:y>
    </cdr:to>
    <cdr:sp macro="" textlink="">
      <cdr:nvSpPr>
        <cdr:cNvPr id="12" name="TextBox 5">
          <a:extLst xmlns:a="http://schemas.openxmlformats.org/drawingml/2006/main">
            <a:ext uri="{FF2B5EF4-FFF2-40B4-BE49-F238E27FC236}">
              <a16:creationId xmlns:a16="http://schemas.microsoft.com/office/drawing/2014/main" id="{2038EF49-D9E7-215B-EA11-791D753511EE}"/>
            </a:ext>
          </a:extLst>
        </cdr:cNvPr>
        <cdr:cNvSpPr txBox="1"/>
      </cdr:nvSpPr>
      <cdr:spPr>
        <a:xfrm xmlns:a="http://schemas.openxmlformats.org/drawingml/2006/main">
          <a:off x="3219450" y="508000"/>
          <a:ext cx="470642"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1886</a:t>
          </a:r>
        </a:p>
      </cdr:txBody>
    </cdr:sp>
  </cdr:relSizeAnchor>
  <cdr:relSizeAnchor xmlns:cdr="http://schemas.openxmlformats.org/drawingml/2006/chartDrawing">
    <cdr:from>
      <cdr:x>0.79167</cdr:x>
      <cdr:y>0.16435</cdr:y>
    </cdr:from>
    <cdr:to>
      <cdr:x>0.92987</cdr:x>
      <cdr:y>0.26403</cdr:y>
    </cdr:to>
    <cdr:sp macro="" textlink="">
      <cdr:nvSpPr>
        <cdr:cNvPr id="14" name="TextBox 1">
          <a:extLst xmlns:a="http://schemas.openxmlformats.org/drawingml/2006/main">
            <a:ext uri="{FF2B5EF4-FFF2-40B4-BE49-F238E27FC236}">
              <a16:creationId xmlns:a16="http://schemas.microsoft.com/office/drawing/2014/main" id="{1F21C3B9-C64B-5010-692E-59FB2E2CA53C}"/>
            </a:ext>
          </a:extLst>
        </cdr:cNvPr>
        <cdr:cNvSpPr txBox="1"/>
      </cdr:nvSpPr>
      <cdr:spPr>
        <a:xfrm xmlns:a="http://schemas.openxmlformats.org/drawingml/2006/main">
          <a:off x="3619500" y="450850"/>
          <a:ext cx="631864" cy="2734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1700</a:t>
          </a:r>
        </a:p>
      </cdr:txBody>
    </cdr:sp>
  </cdr:relSizeAnchor>
  <cdr:relSizeAnchor xmlns:cdr="http://schemas.openxmlformats.org/drawingml/2006/chartDrawing">
    <cdr:from>
      <cdr:x>0.87639</cdr:x>
      <cdr:y>0.13889</cdr:y>
    </cdr:from>
    <cdr:to>
      <cdr:x>0.97933</cdr:x>
      <cdr:y>0.23533</cdr:y>
    </cdr:to>
    <cdr:sp macro="" textlink="">
      <cdr:nvSpPr>
        <cdr:cNvPr id="15" name="TextBox 4">
          <a:extLst xmlns:a="http://schemas.openxmlformats.org/drawingml/2006/main">
            <a:ext uri="{FF2B5EF4-FFF2-40B4-BE49-F238E27FC236}">
              <a16:creationId xmlns:a16="http://schemas.microsoft.com/office/drawing/2014/main" id="{BE096EF5-D7D9-A7EB-156D-4DBD1079D8D4}"/>
            </a:ext>
          </a:extLst>
        </cdr:cNvPr>
        <cdr:cNvSpPr txBox="1"/>
      </cdr:nvSpPr>
      <cdr:spPr>
        <a:xfrm xmlns:a="http://schemas.openxmlformats.org/drawingml/2006/main">
          <a:off x="4006850" y="381000"/>
          <a:ext cx="470642" cy="2645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1751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68CB-26E1-4B4F-823F-B7977128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BP_A_39_AR.dotx</Template>
  <TotalTime>6</TotalTime>
  <Pages>7</Pages>
  <Words>1848</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BP/A/41/1  (Arabic)</vt:lpstr>
    </vt:vector>
  </TitlesOfParts>
  <Company>WIPO</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BP/A/41/1  (Arabic)</dc:title>
  <dc:creator>Ahmad Endani</dc:creator>
  <cp:keywords>FOR OFFICIAL USE ONLY</cp:keywords>
  <cp:lastModifiedBy> FM</cp:lastModifiedBy>
  <cp:revision>3</cp:revision>
  <cp:lastPrinted>2024-05-02T13:33:00Z</cp:lastPrinted>
  <dcterms:created xsi:type="dcterms:W3CDTF">2024-05-02T13:33:00Z</dcterms:created>
  <dcterms:modified xsi:type="dcterms:W3CDTF">2024-05-02T13:34:00Z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2024-05-02T13:14:48Z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6027f303-6b67-41b8-a0b2-24f1b601684d</vt:lpwstr>
  </property>
  <property fmtid="{D5CDD505-2E9C-101B-9397-08002B2CF9AE}" pid="13" name="MSIP_Label_20773ee6-353b-4fb9-a59d-0b94c8c67bea_ContentBits">
    <vt:lpwstr>0</vt:lpwstr>
  </property>
</Properties>
</file>