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3F" w:rsidRPr="00D65FB1" w:rsidRDefault="00472A6E" w:rsidP="00472A6E">
      <w:pPr>
        <w:spacing w:after="120"/>
        <w:ind w:right="-57"/>
        <w:jc w:val="right"/>
        <w:rPr>
          <w:lang w:val="es-419"/>
        </w:rPr>
      </w:pPr>
      <w:r w:rsidRPr="00D65FB1">
        <w:rPr>
          <w:noProof/>
          <w:lang w:val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3F" w:rsidRPr="00D65FB1" w:rsidRDefault="008E0D33" w:rsidP="000D6004">
      <w:pPr>
        <w:pBdr>
          <w:top w:val="single" w:sz="4" w:space="8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D65FB1">
        <w:rPr>
          <w:rFonts w:ascii="Arial Black" w:hAnsi="Arial Black"/>
          <w:caps/>
          <w:sz w:val="15"/>
          <w:lang w:val="es-419"/>
        </w:rPr>
        <w:t>CWS/8/</w:t>
      </w:r>
      <w:bookmarkStart w:id="0" w:name="Code"/>
      <w:r w:rsidR="007A3E3F" w:rsidRPr="00D65FB1">
        <w:rPr>
          <w:rFonts w:ascii="Arial Black" w:hAnsi="Arial Black"/>
          <w:caps/>
          <w:sz w:val="15"/>
          <w:lang w:val="es-419"/>
        </w:rPr>
        <w:t>21</w:t>
      </w:r>
    </w:p>
    <w:bookmarkEnd w:id="0"/>
    <w:p w:rsidR="001C5E3F" w:rsidRPr="00D65FB1" w:rsidRDefault="00472A6E" w:rsidP="00472A6E">
      <w:pPr>
        <w:jc w:val="right"/>
        <w:rPr>
          <w:lang w:val="es-419"/>
        </w:rPr>
      </w:pPr>
      <w:r w:rsidRPr="00D65FB1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7A3E3F" w:rsidRPr="00D65FB1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1C5E3F" w:rsidRPr="00D65FB1" w:rsidRDefault="00472A6E" w:rsidP="00472A6E">
      <w:pPr>
        <w:spacing w:after="1200"/>
        <w:jc w:val="right"/>
        <w:rPr>
          <w:lang w:val="es-419"/>
        </w:rPr>
      </w:pPr>
      <w:r w:rsidRPr="00D65FB1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7A3E3F" w:rsidRPr="00D65FB1">
        <w:rPr>
          <w:rFonts w:ascii="Arial Black" w:hAnsi="Arial Black"/>
          <w:caps/>
          <w:sz w:val="15"/>
          <w:lang w:val="es-419"/>
        </w:rPr>
        <w:t>2 DE NOVIEMBRE DE 2020</w:t>
      </w:r>
    </w:p>
    <w:p w:rsidR="001C5E3F" w:rsidRPr="00D65FB1" w:rsidRDefault="008E0D33" w:rsidP="00472A6E">
      <w:pPr>
        <w:pStyle w:val="Heading1"/>
        <w:spacing w:before="0" w:after="480"/>
        <w:rPr>
          <w:caps w:val="0"/>
          <w:sz w:val="28"/>
          <w:lang w:val="es-419"/>
        </w:rPr>
      </w:pPr>
      <w:bookmarkStart w:id="3" w:name="_GoBack"/>
      <w:bookmarkEnd w:id="2"/>
      <w:bookmarkEnd w:id="3"/>
      <w:r w:rsidRPr="00D65FB1">
        <w:rPr>
          <w:caps w:val="0"/>
          <w:sz w:val="28"/>
          <w:szCs w:val="28"/>
          <w:lang w:val="es-419"/>
        </w:rPr>
        <w:t>Comité de Normas Técnicas de la OMPI (CWS)</w:t>
      </w:r>
    </w:p>
    <w:p w:rsidR="001C5E3F" w:rsidRPr="00D65FB1" w:rsidRDefault="008E0D33" w:rsidP="008E0D33">
      <w:pPr>
        <w:outlineLvl w:val="1"/>
        <w:rPr>
          <w:b/>
          <w:sz w:val="24"/>
          <w:szCs w:val="24"/>
          <w:lang w:val="es-419"/>
        </w:rPr>
      </w:pPr>
      <w:r w:rsidRPr="00D65FB1">
        <w:rPr>
          <w:b/>
          <w:sz w:val="24"/>
          <w:szCs w:val="24"/>
          <w:lang w:val="es-419"/>
        </w:rPr>
        <w:t>Octava sesión</w:t>
      </w:r>
    </w:p>
    <w:p w:rsidR="001C5E3F" w:rsidRPr="00D65FB1" w:rsidRDefault="009305D4" w:rsidP="009305D4">
      <w:pPr>
        <w:spacing w:after="720"/>
        <w:outlineLvl w:val="1"/>
        <w:rPr>
          <w:b/>
          <w:bCs/>
          <w:kern w:val="32"/>
          <w:sz w:val="24"/>
          <w:szCs w:val="24"/>
          <w:lang w:val="es-419"/>
        </w:rPr>
      </w:pPr>
      <w:r w:rsidRPr="00D65FB1">
        <w:rPr>
          <w:b/>
          <w:bCs/>
          <w:kern w:val="32"/>
          <w:sz w:val="24"/>
          <w:szCs w:val="24"/>
          <w:lang w:val="es-419"/>
        </w:rPr>
        <w:t>Ginebra, 30 de noviembre a 4 de diciembre de 2020</w:t>
      </w:r>
    </w:p>
    <w:p w:rsidR="001C5E3F" w:rsidRPr="00D65FB1" w:rsidRDefault="00F94D0B" w:rsidP="00F94D0B">
      <w:pPr>
        <w:keepNext/>
        <w:spacing w:before="240"/>
        <w:outlineLvl w:val="0"/>
        <w:rPr>
          <w:bCs/>
          <w:caps/>
          <w:kern w:val="32"/>
          <w:sz w:val="24"/>
          <w:szCs w:val="24"/>
          <w:lang w:val="es-419"/>
        </w:rPr>
      </w:pPr>
      <w:bookmarkStart w:id="4" w:name="TitleOfDoc"/>
      <w:bookmarkEnd w:id="4"/>
      <w:r w:rsidRPr="00D65FB1">
        <w:rPr>
          <w:bCs/>
          <w:caps/>
          <w:kern w:val="32"/>
          <w:sz w:val="24"/>
          <w:szCs w:val="24"/>
          <w:lang w:val="es-419"/>
        </w:rPr>
        <w:t>Informe del Equipo Técnico de Acceso Público a la Información Contenida en las Patentes</w:t>
      </w:r>
    </w:p>
    <w:p w:rsidR="001C5E3F" w:rsidRPr="00D65FB1" w:rsidRDefault="00F94D0B" w:rsidP="00F94D0B">
      <w:pPr>
        <w:keepNext/>
        <w:spacing w:before="240" w:after="1200"/>
        <w:outlineLvl w:val="1"/>
        <w:rPr>
          <w:bCs/>
          <w:i/>
          <w:iCs/>
          <w:szCs w:val="22"/>
          <w:lang w:val="es-419"/>
        </w:rPr>
      </w:pPr>
      <w:bookmarkStart w:id="5" w:name="Prepared"/>
      <w:bookmarkEnd w:id="5"/>
      <w:r w:rsidRPr="00D65FB1">
        <w:rPr>
          <w:bCs/>
          <w:i/>
          <w:iCs/>
          <w:szCs w:val="22"/>
          <w:lang w:val="es-419"/>
        </w:rPr>
        <w:t>Documento preparado por el responsable del Equipo Técnico de Acceso Público a la Información Contenida en las Patentes</w:t>
      </w:r>
    </w:p>
    <w:p w:rsidR="001C5E3F" w:rsidRPr="00D65FB1" w:rsidRDefault="00F94D0B" w:rsidP="00F94D0B">
      <w:pPr>
        <w:keepNext/>
        <w:spacing w:before="240" w:after="120"/>
        <w:outlineLvl w:val="2"/>
        <w:rPr>
          <w:bCs/>
          <w:caps/>
          <w:szCs w:val="26"/>
          <w:lang w:val="es-419"/>
        </w:rPr>
      </w:pPr>
      <w:r w:rsidRPr="00D65FB1">
        <w:rPr>
          <w:bCs/>
          <w:caps/>
          <w:szCs w:val="26"/>
          <w:lang w:val="es-419"/>
        </w:rPr>
        <w:t>ANTECEDENTES</w:t>
      </w:r>
    </w:p>
    <w:p w:rsidR="001C5E3F" w:rsidRPr="00D65FB1" w:rsidRDefault="00F94D0B" w:rsidP="00F94D0B">
      <w:pPr>
        <w:numPr>
          <w:ilvl w:val="0"/>
          <w:numId w:val="5"/>
        </w:numPr>
        <w:spacing w:after="220"/>
        <w:rPr>
          <w:lang w:val="es-419"/>
        </w:rPr>
      </w:pPr>
      <w:r w:rsidRPr="00D65FB1">
        <w:rPr>
          <w:lang w:val="es-419"/>
        </w:rPr>
        <w:t xml:space="preserve">En su quinta sesión, celebrada en 2017, el </w:t>
      </w:r>
      <w:r w:rsidR="0099262C" w:rsidRPr="00D65FB1">
        <w:rPr>
          <w:lang w:val="es-419" w:eastAsia="en-US"/>
        </w:rPr>
        <w:t xml:space="preserve">Comité de Normas Técnicas de la OMPI (CWS) </w:t>
      </w:r>
      <w:r w:rsidRPr="00D65FB1">
        <w:rPr>
          <w:lang w:val="es-419"/>
        </w:rPr>
        <w:t xml:space="preserve">creó la Tarea N.º 52, cuya descripción es: </w:t>
      </w:r>
      <w:r w:rsidR="00A56192" w:rsidRPr="00D65FB1">
        <w:rPr>
          <w:lang w:val="es-419"/>
        </w:rPr>
        <w:t>“</w:t>
      </w:r>
      <w:r w:rsidRPr="00D65FB1">
        <w:rPr>
          <w:lang w:val="es-419"/>
        </w:rPr>
        <w:t>Encuesta sobre el contenido y las funcionalidades de los sistemas para facilitar el acceso a la información contenida en las patentes que publican las oficinas de propiedad industrial, así como sus planes para el futuro en relación con sus prácticas en materia de publicación; preparar recomendaciones relativas a los sistemas para facilitar el acceso a la información contenida en las patentes que publican las oficinas de propiedad industrial</w:t>
      </w:r>
      <w:r w:rsidR="00A56192" w:rsidRPr="00D65FB1">
        <w:rPr>
          <w:lang w:val="es-419"/>
        </w:rPr>
        <w:t>”</w:t>
      </w:r>
      <w:r w:rsidRPr="00D65FB1">
        <w:rPr>
          <w:lang w:val="es-419"/>
        </w:rPr>
        <w:t xml:space="preserve">. La Oficina Internacional es </w:t>
      </w:r>
      <w:r w:rsidR="0099262C" w:rsidRPr="00D65FB1">
        <w:rPr>
          <w:lang w:val="es-419"/>
        </w:rPr>
        <w:t>la</w:t>
      </w:r>
      <w:r w:rsidRPr="00D65FB1">
        <w:rPr>
          <w:lang w:val="es-419"/>
        </w:rPr>
        <w:t xml:space="preserve"> responsable del Equipo Técnico.</w:t>
      </w:r>
      <w:r w:rsidR="00DD10D2" w:rsidRPr="00D65FB1">
        <w:rPr>
          <w:lang w:val="es-419"/>
        </w:rPr>
        <w:t xml:space="preserve"> </w:t>
      </w:r>
      <w:r w:rsidRPr="00D65FB1">
        <w:rPr>
          <w:lang w:val="es-419"/>
        </w:rPr>
        <w:t>(Véanse los párrafos 94 a 100 del documento CWS/5/22).</w:t>
      </w:r>
    </w:p>
    <w:p w:rsidR="001C5E3F" w:rsidRPr="00D65FB1" w:rsidRDefault="001C5E3F" w:rsidP="00F014F6">
      <w:pPr>
        <w:pStyle w:val="ONUME"/>
        <w:rPr>
          <w:lang w:val="es-419"/>
        </w:rPr>
      </w:pPr>
      <w:r w:rsidRPr="00D65FB1">
        <w:rPr>
          <w:lang w:val="es-419" w:eastAsia="en-US"/>
        </w:rPr>
        <w:t xml:space="preserve">En su séptima sesión, celebrada en 2019, el CWS examinó el cuestionario sobre el acceso público a la información contenida en las patentes, presentado por </w:t>
      </w:r>
      <w:r w:rsidR="00F014F6" w:rsidRPr="00D65FB1">
        <w:rPr>
          <w:lang w:val="es-419" w:eastAsia="en-US"/>
        </w:rPr>
        <w:t>el Equipo Técnico de Acceso Público a la Información Contenida en las Patentes</w:t>
      </w:r>
      <w:r w:rsidRPr="00D65FB1">
        <w:rPr>
          <w:lang w:val="es-419" w:eastAsia="en-US"/>
        </w:rPr>
        <w:t>.</w:t>
      </w:r>
      <w:r w:rsidR="00DD10D2" w:rsidRPr="00D65FB1">
        <w:rPr>
          <w:lang w:val="es-419" w:eastAsia="en-US"/>
        </w:rPr>
        <w:t xml:space="preserve"> </w:t>
      </w:r>
      <w:r w:rsidRPr="00D65FB1">
        <w:rPr>
          <w:lang w:val="es-419"/>
        </w:rPr>
        <w:t>El cuestionario tiene por objeto recabar de las Oficinas de propiedad industrial (OPI) información sobre el contenido que ponen a disposición, sus prácticas, funciones y planes para el futuro en relación con la información de acceso público contenida en las patentes.</w:t>
      </w:r>
      <w:r w:rsidR="00DD10D2" w:rsidRPr="00D65FB1">
        <w:rPr>
          <w:lang w:val="es-419"/>
        </w:rPr>
        <w:t xml:space="preserve"> </w:t>
      </w:r>
      <w:r w:rsidRPr="00D65FB1">
        <w:rPr>
          <w:lang w:val="es-419"/>
        </w:rPr>
        <w:t>El Equipo Técnico planificó la realización de la encuesta en dos partes a fin de aumentar el número de respuestas: la primera parte contiene un breve cuestionario destinado a recoger información básica, mientras que la segunda parte contiene un cuestionario más detallado.</w:t>
      </w:r>
      <w:r w:rsidR="00DD10D2" w:rsidRPr="00D65FB1">
        <w:rPr>
          <w:lang w:val="es-419"/>
        </w:rPr>
        <w:t xml:space="preserve"> </w:t>
      </w:r>
      <w:r w:rsidR="0045485D" w:rsidRPr="00D65FB1">
        <w:rPr>
          <w:lang w:val="es-419" w:eastAsia="en-US"/>
        </w:rPr>
        <w:t>El CWS aprobó la primera parte del cuestionario, pero no logró alcanzar un acuerdo respecto de la segunda parte, que se remitió al Equipo Técnico para que lo reexaminara.</w:t>
      </w:r>
      <w:r w:rsidR="00DD10D2" w:rsidRPr="00D65FB1">
        <w:rPr>
          <w:lang w:val="es-419" w:eastAsia="en-US"/>
        </w:rPr>
        <w:t xml:space="preserve"> </w:t>
      </w:r>
      <w:r w:rsidR="0045485D" w:rsidRPr="00D65FB1">
        <w:rPr>
          <w:lang w:val="es-419" w:eastAsia="en-US"/>
        </w:rPr>
        <w:t>(Véanse los párrafos 197 y 201 del documento CWS/7/29).</w:t>
      </w:r>
    </w:p>
    <w:p w:rsidR="00685854" w:rsidRPr="00D65FB1" w:rsidRDefault="00685854" w:rsidP="00685854">
      <w:pPr>
        <w:keepNext/>
        <w:spacing w:before="240" w:after="120"/>
        <w:outlineLvl w:val="2"/>
        <w:rPr>
          <w:bCs/>
          <w:szCs w:val="26"/>
          <w:lang w:val="es-419"/>
        </w:rPr>
      </w:pPr>
      <w:r w:rsidRPr="00D65FB1">
        <w:rPr>
          <w:bCs/>
          <w:szCs w:val="26"/>
          <w:lang w:val="es-419"/>
        </w:rPr>
        <w:lastRenderedPageBreak/>
        <w:t>INFORME SOBRE LAS ACTIVIDADES</w:t>
      </w:r>
    </w:p>
    <w:p w:rsidR="00685854" w:rsidRPr="00D65FB1" w:rsidRDefault="00685854" w:rsidP="00685854">
      <w:pPr>
        <w:numPr>
          <w:ilvl w:val="0"/>
          <w:numId w:val="5"/>
        </w:numPr>
        <w:spacing w:after="220"/>
        <w:rPr>
          <w:lang w:val="es-419"/>
        </w:rPr>
      </w:pPr>
      <w:r w:rsidRPr="00D65FB1">
        <w:rPr>
          <w:lang w:val="es-419" w:eastAsia="en-US"/>
        </w:rPr>
        <w:t>Tras examinar los resultados preliminares de la primera parte de la encuesta, el Equipo Técnico celebró una reunión telemática y varias rondas de debate para revisar la segunda parte del cuestionario sobre el acceso público a la información contenida en las patentes.</w:t>
      </w:r>
      <w:r w:rsidR="00DD10D2" w:rsidRPr="00D65FB1">
        <w:rPr>
          <w:lang w:val="es-419" w:eastAsia="en-US"/>
        </w:rPr>
        <w:t xml:space="preserve"> </w:t>
      </w:r>
      <w:r w:rsidRPr="00D65FB1">
        <w:rPr>
          <w:lang w:val="es-419" w:eastAsia="en-US"/>
        </w:rPr>
        <w:t>El cuestionario revisado figura en el Anexo del presente documento.</w:t>
      </w:r>
    </w:p>
    <w:p w:rsidR="00685854" w:rsidRPr="00D65FB1" w:rsidRDefault="00822F31" w:rsidP="00822F31">
      <w:pPr>
        <w:rPr>
          <w:lang w:val="es-419"/>
        </w:rPr>
      </w:pPr>
      <w:r w:rsidRPr="00D65FB1">
        <w:rPr>
          <w:lang w:val="es-419"/>
        </w:rPr>
        <w:t>Entre los cambios propuestos cabe señalar los siguientes:</w:t>
      </w:r>
    </w:p>
    <w:p w:rsidR="00685854" w:rsidRPr="00D65FB1" w:rsidRDefault="00822F31" w:rsidP="00A91232">
      <w:pPr>
        <w:pStyle w:val="ListParagraph"/>
        <w:numPr>
          <w:ilvl w:val="1"/>
          <w:numId w:val="8"/>
        </w:numPr>
        <w:rPr>
          <w:lang w:val="es-419"/>
        </w:rPr>
      </w:pPr>
      <w:r w:rsidRPr="00D65FB1">
        <w:rPr>
          <w:lang w:val="es-419"/>
        </w:rPr>
        <w:t>Añadir la definición de diversos términos, incluidos los tipos de búsqueda (básica, avanzada, semántica);</w:t>
      </w:r>
    </w:p>
    <w:p w:rsidR="00685854" w:rsidRPr="00D65FB1" w:rsidRDefault="00822F31" w:rsidP="00A91232">
      <w:pPr>
        <w:pStyle w:val="ListParagraph"/>
        <w:numPr>
          <w:ilvl w:val="1"/>
          <w:numId w:val="8"/>
        </w:numPr>
        <w:rPr>
          <w:lang w:val="es-419"/>
        </w:rPr>
      </w:pPr>
      <w:r w:rsidRPr="00D65FB1">
        <w:rPr>
          <w:lang w:val="es-419"/>
        </w:rPr>
        <w:t>Ampliar las opciones de respuesta a más tipos de información contenida en las patentes, en preguntas como la 3, 4, 7 y 14;</w:t>
      </w:r>
    </w:p>
    <w:p w:rsidR="00685854" w:rsidRPr="00D65FB1" w:rsidRDefault="00822F31" w:rsidP="00A91232">
      <w:pPr>
        <w:pStyle w:val="ListParagraph"/>
        <w:numPr>
          <w:ilvl w:val="1"/>
          <w:numId w:val="8"/>
        </w:numPr>
        <w:rPr>
          <w:lang w:val="es-419"/>
        </w:rPr>
      </w:pPr>
      <w:r w:rsidRPr="00D65FB1">
        <w:rPr>
          <w:lang w:val="es-419"/>
        </w:rPr>
        <w:t xml:space="preserve">Actualizar la pregunta 9 </w:t>
      </w:r>
      <w:r w:rsidR="00A91232" w:rsidRPr="00D65FB1">
        <w:rPr>
          <w:lang w:val="es-419"/>
        </w:rPr>
        <w:t xml:space="preserve">con arreglo al </w:t>
      </w:r>
      <w:r w:rsidRPr="00D65FB1">
        <w:rPr>
          <w:lang w:val="es-419"/>
        </w:rPr>
        <w:t>portal de ficheros de referencia de la OMPI para evitar la duplicación de información;</w:t>
      </w:r>
    </w:p>
    <w:p w:rsidR="00685854" w:rsidRPr="00D65FB1" w:rsidRDefault="00822F31" w:rsidP="00A91232">
      <w:pPr>
        <w:pStyle w:val="ListParagraph"/>
        <w:numPr>
          <w:ilvl w:val="1"/>
          <w:numId w:val="8"/>
        </w:numPr>
        <w:rPr>
          <w:lang w:val="es-419"/>
        </w:rPr>
      </w:pPr>
      <w:r w:rsidRPr="00D65FB1">
        <w:rPr>
          <w:lang w:val="es-419"/>
        </w:rPr>
        <w:t>Añadir las preguntas 8 y 10 para recabar información sobre el motivo por que las Oficinas no utilizarían la Norma ST.27 (situación jurídica de las patentes) y la Norma ST.37 (datos de los ficheros de referencia) con el fin de mejorar los servicios de la Oficina Internacional;</w:t>
      </w:r>
    </w:p>
    <w:p w:rsidR="00685854" w:rsidRPr="00D65FB1" w:rsidRDefault="0099262C" w:rsidP="00A91232">
      <w:pPr>
        <w:pStyle w:val="ListParagraph"/>
        <w:numPr>
          <w:ilvl w:val="1"/>
          <w:numId w:val="8"/>
        </w:numPr>
        <w:rPr>
          <w:lang w:val="es-419"/>
        </w:rPr>
      </w:pPr>
      <w:r w:rsidRPr="00D65FB1">
        <w:rPr>
          <w:lang w:val="es-419"/>
        </w:rPr>
        <w:t>Facilitar opciones de respuesta a las preguntas 15 y 16 para mejorar la información recopilada; y</w:t>
      </w:r>
    </w:p>
    <w:p w:rsidR="00685854" w:rsidRPr="00D65FB1" w:rsidRDefault="0099262C" w:rsidP="00A91232">
      <w:pPr>
        <w:pStyle w:val="ListParagraph"/>
        <w:numPr>
          <w:ilvl w:val="1"/>
          <w:numId w:val="8"/>
        </w:numPr>
        <w:spacing w:after="220"/>
        <w:rPr>
          <w:lang w:val="es-419"/>
        </w:rPr>
      </w:pPr>
      <w:r w:rsidRPr="00D65FB1">
        <w:rPr>
          <w:lang w:val="es-419"/>
        </w:rPr>
        <w:t>Mejorar la redacción en muchos puntos de la encuesta.</w:t>
      </w:r>
    </w:p>
    <w:p w:rsidR="00685854" w:rsidRPr="00D65FB1" w:rsidRDefault="0099262C" w:rsidP="0099262C">
      <w:pPr>
        <w:numPr>
          <w:ilvl w:val="0"/>
          <w:numId w:val="5"/>
        </w:numPr>
        <w:spacing w:after="220"/>
        <w:rPr>
          <w:lang w:val="es-419"/>
        </w:rPr>
      </w:pPr>
      <w:r w:rsidRPr="00D65FB1">
        <w:rPr>
          <w:lang w:val="es-419"/>
        </w:rPr>
        <w:t>Si el CWS aprueba el cuestionario revisado, la Secretaría tiene previsto llevar a cabo la segunda parte de la encuesta en 2021 y presentar el resultado en la novena sesión del CWS.</w:t>
      </w:r>
    </w:p>
    <w:p w:rsidR="00685854" w:rsidRPr="00D65FB1" w:rsidRDefault="0099262C" w:rsidP="0099262C">
      <w:pPr>
        <w:numPr>
          <w:ilvl w:val="0"/>
          <w:numId w:val="5"/>
        </w:numPr>
        <w:spacing w:after="220"/>
        <w:ind w:left="5533" w:right="142"/>
        <w:rPr>
          <w:i/>
          <w:lang w:val="es-419"/>
        </w:rPr>
      </w:pPr>
      <w:r w:rsidRPr="00D65FB1">
        <w:rPr>
          <w:i/>
          <w:lang w:val="es-419"/>
        </w:rPr>
        <w:t>Se invita al CWS a:</w:t>
      </w:r>
    </w:p>
    <w:p w:rsidR="00685854" w:rsidRPr="00D65FB1" w:rsidRDefault="007A3E3F" w:rsidP="0099262C">
      <w:pPr>
        <w:tabs>
          <w:tab w:val="left" w:pos="6160"/>
          <w:tab w:val="left" w:pos="6710"/>
        </w:tabs>
        <w:spacing w:after="220"/>
        <w:ind w:left="5530" w:right="142"/>
        <w:rPr>
          <w:i/>
          <w:lang w:val="es-419"/>
        </w:rPr>
      </w:pPr>
      <w:r w:rsidRPr="00D65FB1">
        <w:rPr>
          <w:i/>
          <w:lang w:val="es-419"/>
        </w:rPr>
        <w:tab/>
      </w:r>
      <w:r w:rsidR="0099262C" w:rsidRPr="00D65FB1">
        <w:rPr>
          <w:i/>
          <w:lang w:val="es-419"/>
        </w:rPr>
        <w:t>a) tomar nota del contenido del presente documento;</w:t>
      </w:r>
    </w:p>
    <w:p w:rsidR="00685854" w:rsidRPr="00D65FB1" w:rsidRDefault="007A3E3F" w:rsidP="0099262C">
      <w:pPr>
        <w:tabs>
          <w:tab w:val="left" w:pos="6160"/>
          <w:tab w:val="left" w:pos="6710"/>
        </w:tabs>
        <w:spacing w:after="220"/>
        <w:ind w:left="5530" w:right="142"/>
        <w:rPr>
          <w:i/>
          <w:lang w:val="es-419"/>
        </w:rPr>
      </w:pPr>
      <w:r w:rsidRPr="00D65FB1">
        <w:rPr>
          <w:i/>
          <w:lang w:val="es-419"/>
        </w:rPr>
        <w:tab/>
      </w:r>
      <w:r w:rsidR="0099262C" w:rsidRPr="00D65FB1">
        <w:rPr>
          <w:i/>
          <w:lang w:val="es-419"/>
        </w:rPr>
        <w:t>b) aprobar el cuestionario correspondiente a la segunda parte de la encuesta, que figura en el Anexo; y</w:t>
      </w:r>
    </w:p>
    <w:p w:rsidR="00685854" w:rsidRPr="00D65FB1" w:rsidRDefault="007A3E3F" w:rsidP="0099262C">
      <w:pPr>
        <w:tabs>
          <w:tab w:val="left" w:pos="6160"/>
          <w:tab w:val="left" w:pos="6710"/>
        </w:tabs>
        <w:spacing w:after="220"/>
        <w:ind w:left="5530" w:right="142"/>
        <w:rPr>
          <w:i/>
          <w:lang w:val="es-419"/>
        </w:rPr>
      </w:pPr>
      <w:r w:rsidRPr="00D65FB1">
        <w:rPr>
          <w:i/>
          <w:lang w:val="es-419"/>
        </w:rPr>
        <w:tab/>
      </w:r>
      <w:r w:rsidR="0099262C" w:rsidRPr="00D65FB1">
        <w:rPr>
          <w:i/>
          <w:lang w:val="es-419"/>
        </w:rPr>
        <w:t>c) pedir a la Secretaría que emita una circular en la que se invite a las Oficinas a participar en la encuesta.</w:t>
      </w:r>
    </w:p>
    <w:p w:rsidR="00685854" w:rsidRPr="00D65FB1" w:rsidRDefault="0099262C" w:rsidP="00D65FB1">
      <w:pPr>
        <w:pStyle w:val="Endofdocument-Annex"/>
        <w:spacing w:before="480"/>
        <w:rPr>
          <w:lang w:val="es-419" w:eastAsia="en-US"/>
        </w:rPr>
      </w:pPr>
      <w:r w:rsidRPr="00D65FB1">
        <w:rPr>
          <w:lang w:val="es-419" w:eastAsia="en-US"/>
        </w:rPr>
        <w:t>[Sigue el Anexo]</w:t>
      </w:r>
    </w:p>
    <w:sectPr w:rsidR="00685854" w:rsidRPr="00D65FB1" w:rsidSect="007A3E3F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3F" w:rsidRDefault="007A3E3F">
      <w:r>
        <w:separator/>
      </w:r>
    </w:p>
  </w:endnote>
  <w:endnote w:type="continuationSeparator" w:id="0">
    <w:p w:rsidR="007A3E3F" w:rsidRPr="009D30E6" w:rsidRDefault="007A3E3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3E3F" w:rsidRPr="007E663E" w:rsidRDefault="007A3E3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A3E3F" w:rsidRPr="007E663E" w:rsidRDefault="007A3E3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3F" w:rsidRDefault="007A3E3F">
      <w:r>
        <w:separator/>
      </w:r>
    </w:p>
  </w:footnote>
  <w:footnote w:type="continuationSeparator" w:id="0">
    <w:p w:rsidR="007A3E3F" w:rsidRPr="009D30E6" w:rsidRDefault="007A3E3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3E3F" w:rsidRPr="007E663E" w:rsidRDefault="007A3E3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A3E3F" w:rsidRPr="007E663E" w:rsidRDefault="007A3E3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7A3E3F" w:rsidP="00477D6B">
    <w:pPr>
      <w:jc w:val="right"/>
      <w:rPr>
        <w:caps/>
      </w:rPr>
    </w:pPr>
    <w:bookmarkStart w:id="6" w:name="Code2"/>
    <w:bookmarkEnd w:id="6"/>
    <w:r>
      <w:rPr>
        <w:caps/>
      </w:rPr>
      <w:t>CWS/8/21</w:t>
    </w:r>
  </w:p>
  <w:p w:rsidR="00EC1AA7" w:rsidRDefault="00AE7F20" w:rsidP="00B52454">
    <w:pPr>
      <w:spacing w:after="48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7053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1095C64"/>
    <w:multiLevelType w:val="hybridMultilevel"/>
    <w:tmpl w:val="63C61BFE"/>
    <w:lvl w:ilvl="0" w:tplc="DD42D4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D42D4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0616F"/>
    <w:multiLevelType w:val="hybridMultilevel"/>
    <w:tmpl w:val="4FE21EAE"/>
    <w:lvl w:ilvl="0" w:tplc="DD42D4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Patents &amp; Innovation\Patents Main|TextBase TMs\WorkspaceSTS\Patents &amp; Innovation\P Instrumen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7A3E3F"/>
    <w:rsid w:val="00010686"/>
    <w:rsid w:val="00052915"/>
    <w:rsid w:val="000D6004"/>
    <w:rsid w:val="000E3BB3"/>
    <w:rsid w:val="000F5E56"/>
    <w:rsid w:val="001362EE"/>
    <w:rsid w:val="00152CEA"/>
    <w:rsid w:val="001832A6"/>
    <w:rsid w:val="001C5E3F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A6E37"/>
    <w:rsid w:val="003E48F1"/>
    <w:rsid w:val="003F347A"/>
    <w:rsid w:val="00423E3E"/>
    <w:rsid w:val="00427AF4"/>
    <w:rsid w:val="0045231F"/>
    <w:rsid w:val="0045485D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85854"/>
    <w:rsid w:val="006A06C6"/>
    <w:rsid w:val="007224C8"/>
    <w:rsid w:val="00770538"/>
    <w:rsid w:val="00794BE2"/>
    <w:rsid w:val="007A3E3F"/>
    <w:rsid w:val="007A5581"/>
    <w:rsid w:val="007B71FE"/>
    <w:rsid w:val="007D781E"/>
    <w:rsid w:val="007E663E"/>
    <w:rsid w:val="00815082"/>
    <w:rsid w:val="00822F31"/>
    <w:rsid w:val="0088395E"/>
    <w:rsid w:val="008B00FF"/>
    <w:rsid w:val="008B2CC1"/>
    <w:rsid w:val="008E0D33"/>
    <w:rsid w:val="008E6BD6"/>
    <w:rsid w:val="0090731E"/>
    <w:rsid w:val="009305D4"/>
    <w:rsid w:val="00966A22"/>
    <w:rsid w:val="00972F03"/>
    <w:rsid w:val="0098367F"/>
    <w:rsid w:val="0099262C"/>
    <w:rsid w:val="009A0C8B"/>
    <w:rsid w:val="009A20CD"/>
    <w:rsid w:val="009B6241"/>
    <w:rsid w:val="009B7030"/>
    <w:rsid w:val="00A16FC0"/>
    <w:rsid w:val="00A32C9E"/>
    <w:rsid w:val="00A56192"/>
    <w:rsid w:val="00A91232"/>
    <w:rsid w:val="00AB613D"/>
    <w:rsid w:val="00AE7F20"/>
    <w:rsid w:val="00B52454"/>
    <w:rsid w:val="00B534D5"/>
    <w:rsid w:val="00B65A0A"/>
    <w:rsid w:val="00B67CDC"/>
    <w:rsid w:val="00B72D36"/>
    <w:rsid w:val="00BC4164"/>
    <w:rsid w:val="00BD1243"/>
    <w:rsid w:val="00BD2DCC"/>
    <w:rsid w:val="00BF5A8E"/>
    <w:rsid w:val="00C90559"/>
    <w:rsid w:val="00CA0500"/>
    <w:rsid w:val="00CA2251"/>
    <w:rsid w:val="00CC52F3"/>
    <w:rsid w:val="00D56C7C"/>
    <w:rsid w:val="00D65FB1"/>
    <w:rsid w:val="00D71B4D"/>
    <w:rsid w:val="00D90289"/>
    <w:rsid w:val="00D93D55"/>
    <w:rsid w:val="00DC4C60"/>
    <w:rsid w:val="00DD10D2"/>
    <w:rsid w:val="00DD6CF4"/>
    <w:rsid w:val="00E0079A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014F6"/>
    <w:rsid w:val="00F55408"/>
    <w:rsid w:val="00F66152"/>
    <w:rsid w:val="00F80845"/>
    <w:rsid w:val="00F84474"/>
    <w:rsid w:val="00F94D0B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BCA198B-4507-4370-9F3F-5D9CCFB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1"/>
    <w:qFormat/>
    <w:rsid w:val="00A91232"/>
    <w:pPr>
      <w:ind w:left="1287" w:hanging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8 (S)</Template>
  <TotalTime>0</TotalTime>
  <Pages>2</Pages>
  <Words>624</Words>
  <Characters>3179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CWS/8/21</vt:lpstr>
    </vt:vector>
  </TitlesOfParts>
  <Company>WIPO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CWS/8/21</dc:title>
  <dc:creator>WIPO</dc:creator>
  <cp:keywords>FOR OFFICIAL USE ONLY</cp:keywords>
  <cp:lastModifiedBy>CHAVAS Louison</cp:lastModifiedBy>
  <cp:revision>2</cp:revision>
  <dcterms:created xsi:type="dcterms:W3CDTF">2020-11-19T16:26:00Z</dcterms:created>
  <dcterms:modified xsi:type="dcterms:W3CDTF">2020-11-19T16:26:00Z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