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A4F1"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3A4DA9A" wp14:editId="56631BE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6D0632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D1B829F" w14:textId="623B3B61" w:rsidR="007E1D1A" w:rsidRPr="002276D9" w:rsidRDefault="009D7410" w:rsidP="009D7410">
      <w:pPr>
        <w:jc w:val="right"/>
        <w:rPr>
          <w:rFonts w:ascii="Arial Black" w:hAnsi="Arial Black"/>
          <w:caps/>
          <w:sz w:val="15"/>
          <w:szCs w:val="15"/>
          <w:lang w:val="fr-CH" w:bidi="ar-SY"/>
        </w:rPr>
      </w:pPr>
      <w:bookmarkStart w:id="0" w:name="Original"/>
      <w:r w:rsidRPr="009D7410">
        <w:rPr>
          <w:rFonts w:ascii="Arial Black" w:hAnsi="Arial Black"/>
          <w:caps/>
          <w:sz w:val="15"/>
          <w:szCs w:val="15"/>
          <w:lang w:bidi="ar-SY"/>
        </w:rPr>
        <w:t>CeL/</w:t>
      </w:r>
      <w:r w:rsidR="007F6E4C">
        <w:rPr>
          <w:rFonts w:ascii="Arial Black" w:hAnsi="Arial Black"/>
          <w:caps/>
          <w:sz w:val="15"/>
          <w:szCs w:val="15"/>
          <w:lang w:bidi="ar-SY"/>
        </w:rPr>
        <w:t>16</w:t>
      </w:r>
      <w:r w:rsidRPr="009D7410">
        <w:rPr>
          <w:rFonts w:ascii="Arial Black" w:hAnsi="Arial Black"/>
          <w:caps/>
          <w:sz w:val="15"/>
          <w:szCs w:val="15"/>
          <w:lang w:bidi="ar-SY"/>
        </w:rPr>
        <w:t>/</w:t>
      </w:r>
      <w:r w:rsidR="00576430">
        <w:rPr>
          <w:rFonts w:ascii="Arial Black" w:hAnsi="Arial Black"/>
          <w:caps/>
          <w:sz w:val="15"/>
          <w:szCs w:val="15"/>
          <w:lang w:bidi="ar-SY"/>
        </w:rPr>
        <w:t>2</w:t>
      </w:r>
    </w:p>
    <w:p w14:paraId="036EFC23" w14:textId="77777777" w:rsidR="008B2CC1" w:rsidRPr="007F6E4C" w:rsidRDefault="00CC3E2D" w:rsidP="0023746A">
      <w:pPr>
        <w:jc w:val="right"/>
        <w:rPr>
          <w:rFonts w:asciiTheme="minorHAnsi" w:hAnsiTheme="minorHAnsi" w:cstheme="minorHAnsi"/>
          <w:b/>
          <w:bCs/>
          <w:caps/>
          <w:sz w:val="15"/>
          <w:szCs w:val="15"/>
        </w:rPr>
      </w:pPr>
      <w:r w:rsidRPr="007F6E4C">
        <w:rPr>
          <w:rFonts w:asciiTheme="minorHAnsi" w:hAnsiTheme="minorHAnsi" w:cstheme="minorHAnsi" w:hint="cs"/>
          <w:b/>
          <w:bCs/>
          <w:caps/>
          <w:sz w:val="15"/>
          <w:szCs w:val="15"/>
          <w:rtl/>
        </w:rPr>
        <w:t xml:space="preserve">الأصل: </w:t>
      </w:r>
      <w:r w:rsidR="00576430" w:rsidRPr="007F6E4C">
        <w:rPr>
          <w:rFonts w:asciiTheme="minorHAnsi" w:hAnsiTheme="minorHAnsi" w:cstheme="minorHAnsi" w:hint="cs"/>
          <w:b/>
          <w:bCs/>
          <w:caps/>
          <w:sz w:val="15"/>
          <w:szCs w:val="15"/>
          <w:rtl/>
        </w:rPr>
        <w:t>بالإنكليزية</w:t>
      </w:r>
    </w:p>
    <w:p w14:paraId="53CB6D2E" w14:textId="5578817C" w:rsidR="008B2CC1" w:rsidRPr="00E31D40" w:rsidRDefault="00CC3E2D" w:rsidP="0023746A">
      <w:pPr>
        <w:spacing w:after="1200"/>
        <w:jc w:val="right"/>
        <w:rPr>
          <w:rFonts w:asciiTheme="minorHAnsi" w:hAnsiTheme="minorHAnsi" w:cstheme="minorHAnsi"/>
          <w:b/>
          <w:bCs/>
          <w:caps/>
          <w:sz w:val="15"/>
          <w:szCs w:val="15"/>
          <w:rtl/>
          <w:lang w:val="fr-CH" w:bidi="ar-SY"/>
        </w:rPr>
      </w:pPr>
      <w:bookmarkStart w:id="1" w:name="Date"/>
      <w:bookmarkEnd w:id="0"/>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7F6E4C">
        <w:rPr>
          <w:rFonts w:asciiTheme="minorHAnsi" w:hAnsiTheme="minorHAnsi" w:cstheme="minorHAnsi" w:hint="cs"/>
          <w:b/>
          <w:bCs/>
          <w:caps/>
          <w:sz w:val="15"/>
          <w:szCs w:val="15"/>
          <w:rtl/>
          <w:lang w:val="fr-CH" w:bidi="ar-SY"/>
        </w:rPr>
        <w:t>9</w:t>
      </w:r>
      <w:r w:rsidR="00576430">
        <w:rPr>
          <w:rFonts w:asciiTheme="minorHAnsi" w:hAnsiTheme="minorHAnsi" w:cstheme="minorHAnsi" w:hint="cs"/>
          <w:b/>
          <w:bCs/>
          <w:caps/>
          <w:sz w:val="15"/>
          <w:szCs w:val="15"/>
          <w:rtl/>
          <w:lang w:val="fr-CH" w:bidi="ar-SY"/>
        </w:rPr>
        <w:t xml:space="preserve"> </w:t>
      </w:r>
      <w:r w:rsidR="007F6E4C">
        <w:rPr>
          <w:rFonts w:asciiTheme="minorHAnsi" w:hAnsiTheme="minorHAnsi" w:cstheme="minorHAnsi" w:hint="cs"/>
          <w:b/>
          <w:bCs/>
          <w:caps/>
          <w:sz w:val="15"/>
          <w:szCs w:val="15"/>
          <w:rtl/>
          <w:lang w:val="fr-CH" w:bidi="ar-SY"/>
        </w:rPr>
        <w:t>نوف</w:t>
      </w:r>
      <w:r w:rsidR="00576430">
        <w:rPr>
          <w:rFonts w:asciiTheme="minorHAnsi" w:hAnsiTheme="minorHAnsi" w:cstheme="minorHAnsi" w:hint="cs"/>
          <w:b/>
          <w:bCs/>
          <w:caps/>
          <w:sz w:val="15"/>
          <w:szCs w:val="15"/>
          <w:rtl/>
          <w:lang w:val="fr-CH" w:bidi="ar-SY"/>
        </w:rPr>
        <w:t>م</w:t>
      </w:r>
      <w:r w:rsidR="007F6E4C">
        <w:rPr>
          <w:rFonts w:asciiTheme="minorHAnsi" w:hAnsiTheme="minorHAnsi" w:cstheme="minorHAnsi" w:hint="cs"/>
          <w:b/>
          <w:bCs/>
          <w:caps/>
          <w:sz w:val="15"/>
          <w:szCs w:val="15"/>
          <w:rtl/>
          <w:lang w:val="fr-CH" w:bidi="ar-SY"/>
        </w:rPr>
        <w:t>ب</w:t>
      </w:r>
      <w:r w:rsidR="00576430">
        <w:rPr>
          <w:rFonts w:asciiTheme="minorHAnsi" w:hAnsiTheme="minorHAnsi" w:cstheme="minorHAnsi" w:hint="cs"/>
          <w:b/>
          <w:bCs/>
          <w:caps/>
          <w:sz w:val="15"/>
          <w:szCs w:val="15"/>
          <w:rtl/>
          <w:lang w:val="fr-CH" w:bidi="ar-SY"/>
        </w:rPr>
        <w:t xml:space="preserve">ر </w:t>
      </w:r>
      <w:r w:rsidR="007F6E4C">
        <w:rPr>
          <w:rFonts w:asciiTheme="minorHAnsi" w:hAnsiTheme="minorHAnsi" w:cstheme="minorHAnsi" w:hint="cs"/>
          <w:b/>
          <w:bCs/>
          <w:caps/>
          <w:sz w:val="15"/>
          <w:szCs w:val="15"/>
          <w:rtl/>
          <w:lang w:val="fr-CH" w:bidi="ar-SY"/>
        </w:rPr>
        <w:t>2023</w:t>
      </w:r>
    </w:p>
    <w:bookmarkEnd w:id="1"/>
    <w:p w14:paraId="3E286CD4" w14:textId="77777777" w:rsidR="002276D9" w:rsidRDefault="009D7410" w:rsidP="002276D9">
      <w:pPr>
        <w:outlineLvl w:val="1"/>
        <w:rPr>
          <w:b/>
          <w:bCs/>
          <w:caps/>
          <w:kern w:val="32"/>
          <w:sz w:val="32"/>
          <w:szCs w:val="32"/>
          <w:rtl/>
          <w:lang w:bidi="ar-SY"/>
        </w:rPr>
      </w:pPr>
      <w:r>
        <w:rPr>
          <w:rFonts w:hint="cs"/>
          <w:b/>
          <w:bCs/>
          <w:caps/>
          <w:kern w:val="32"/>
          <w:sz w:val="32"/>
          <w:szCs w:val="32"/>
          <w:rtl/>
          <w:lang w:bidi="ar-SY"/>
        </w:rPr>
        <w:t>الاتحاد الخاص للتصنيف الدولي للتصاميم الصناعية (اتحاد لوكارنو)</w:t>
      </w:r>
    </w:p>
    <w:p w14:paraId="2FE3E92B" w14:textId="77777777" w:rsidR="002276D9" w:rsidRDefault="009D7410" w:rsidP="002276D9">
      <w:pPr>
        <w:spacing w:before="480"/>
        <w:outlineLvl w:val="1"/>
        <w:rPr>
          <w:b/>
          <w:bCs/>
          <w:caps/>
          <w:kern w:val="32"/>
          <w:sz w:val="32"/>
          <w:szCs w:val="32"/>
          <w:rtl/>
          <w:lang w:bidi="ar-SY"/>
        </w:rPr>
      </w:pPr>
      <w:r>
        <w:rPr>
          <w:rFonts w:hint="cs"/>
          <w:b/>
          <w:bCs/>
          <w:caps/>
          <w:kern w:val="32"/>
          <w:sz w:val="32"/>
          <w:szCs w:val="32"/>
          <w:rtl/>
          <w:lang w:bidi="ar-SY"/>
        </w:rPr>
        <w:t>لجنة الخبراء</w:t>
      </w:r>
    </w:p>
    <w:p w14:paraId="5574DC87" w14:textId="77777777" w:rsidR="002253C1" w:rsidRDefault="002253C1" w:rsidP="00250149">
      <w:pPr>
        <w:outlineLvl w:val="1"/>
        <w:rPr>
          <w:b/>
          <w:bCs/>
          <w:caps/>
          <w:kern w:val="32"/>
          <w:sz w:val="32"/>
          <w:szCs w:val="32"/>
          <w:rtl/>
        </w:rPr>
      </w:pPr>
    </w:p>
    <w:p w14:paraId="7F3D12F0" w14:textId="31AE4BFF" w:rsidR="00A90F0A" w:rsidRPr="00D67EAE" w:rsidRDefault="002276D9" w:rsidP="009D7410">
      <w:pPr>
        <w:outlineLvl w:val="1"/>
        <w:rPr>
          <w:rFonts w:asciiTheme="minorHAnsi" w:hAnsiTheme="minorHAnsi" w:cstheme="minorHAnsi"/>
          <w:bCs/>
          <w:sz w:val="24"/>
          <w:szCs w:val="24"/>
        </w:rPr>
      </w:pPr>
      <w:r>
        <w:rPr>
          <w:rFonts w:asciiTheme="minorHAnsi" w:hAnsiTheme="minorHAnsi" w:hint="cs"/>
          <w:bCs/>
          <w:sz w:val="24"/>
          <w:szCs w:val="24"/>
          <w:rtl/>
        </w:rPr>
        <w:t>الدورة ال</w:t>
      </w:r>
      <w:r w:rsidR="007F6E4C">
        <w:rPr>
          <w:rFonts w:asciiTheme="minorHAnsi" w:hAnsiTheme="minorHAnsi" w:hint="cs"/>
          <w:bCs/>
          <w:sz w:val="24"/>
          <w:szCs w:val="24"/>
          <w:rtl/>
        </w:rPr>
        <w:t>س</w:t>
      </w:r>
      <w:r w:rsidR="009D7410">
        <w:rPr>
          <w:rFonts w:asciiTheme="minorHAnsi" w:hAnsiTheme="minorHAnsi" w:hint="cs"/>
          <w:bCs/>
          <w:sz w:val="24"/>
          <w:szCs w:val="24"/>
          <w:rtl/>
        </w:rPr>
        <w:t>ا</w:t>
      </w:r>
      <w:r w:rsidR="007F6E4C">
        <w:rPr>
          <w:rFonts w:asciiTheme="minorHAnsi" w:hAnsiTheme="minorHAnsi" w:hint="cs"/>
          <w:bCs/>
          <w:sz w:val="24"/>
          <w:szCs w:val="24"/>
          <w:rtl/>
        </w:rPr>
        <w:t>د</w:t>
      </w:r>
      <w:r w:rsidR="009D7410">
        <w:rPr>
          <w:rFonts w:asciiTheme="minorHAnsi" w:hAnsiTheme="minorHAnsi" w:hint="cs"/>
          <w:bCs/>
          <w:sz w:val="24"/>
          <w:szCs w:val="24"/>
          <w:rtl/>
        </w:rPr>
        <w:t>سة عشرة</w:t>
      </w:r>
    </w:p>
    <w:p w14:paraId="650C709B" w14:textId="2282CBDB" w:rsidR="008B2CC1" w:rsidRPr="00D67EAE" w:rsidRDefault="00D67EAE" w:rsidP="009D741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 xml:space="preserve">من </w:t>
      </w:r>
      <w:r w:rsidR="007F6E4C">
        <w:rPr>
          <w:rFonts w:asciiTheme="minorHAnsi" w:hAnsiTheme="minorHAnsi" w:cstheme="minorHAnsi" w:hint="cs"/>
          <w:bCs/>
          <w:sz w:val="24"/>
          <w:szCs w:val="24"/>
          <w:rtl/>
        </w:rPr>
        <w:t>23</w:t>
      </w:r>
      <w:r w:rsidR="002253C1" w:rsidRPr="002253C1">
        <w:rPr>
          <w:rFonts w:asciiTheme="minorHAnsi" w:hAnsiTheme="minorHAnsi" w:cstheme="minorHAnsi"/>
          <w:bCs/>
          <w:sz w:val="24"/>
          <w:szCs w:val="24"/>
          <w:rtl/>
        </w:rPr>
        <w:t xml:space="preserve"> إلى </w:t>
      </w:r>
      <w:r w:rsidR="007F6E4C">
        <w:rPr>
          <w:rFonts w:asciiTheme="minorHAnsi" w:hAnsiTheme="minorHAnsi" w:cstheme="minorHAnsi" w:hint="cs"/>
          <w:bCs/>
          <w:sz w:val="24"/>
          <w:szCs w:val="24"/>
          <w:rtl/>
        </w:rPr>
        <w:t>25</w:t>
      </w:r>
      <w:r w:rsidR="002253C1" w:rsidRPr="002253C1">
        <w:rPr>
          <w:rFonts w:asciiTheme="minorHAnsi" w:hAnsiTheme="minorHAnsi" w:cstheme="minorHAnsi"/>
          <w:bCs/>
          <w:sz w:val="24"/>
          <w:szCs w:val="24"/>
          <w:rtl/>
        </w:rPr>
        <w:t xml:space="preserve"> </w:t>
      </w:r>
      <w:r w:rsidR="007F6E4C">
        <w:rPr>
          <w:rFonts w:asciiTheme="minorHAnsi" w:hAnsiTheme="minorHAnsi" w:cstheme="minorHAnsi" w:hint="cs"/>
          <w:bCs/>
          <w:sz w:val="24"/>
          <w:szCs w:val="24"/>
          <w:rtl/>
        </w:rPr>
        <w:t>أكتوب</w:t>
      </w:r>
      <w:r w:rsidR="009D7410">
        <w:rPr>
          <w:rFonts w:asciiTheme="minorHAnsi" w:hAnsiTheme="minorHAnsi" w:cstheme="minorHAnsi" w:hint="cs"/>
          <w:bCs/>
          <w:sz w:val="24"/>
          <w:szCs w:val="24"/>
          <w:rtl/>
        </w:rPr>
        <w:t>ر</w:t>
      </w:r>
      <w:r w:rsidR="002253C1" w:rsidRPr="002253C1">
        <w:rPr>
          <w:rFonts w:asciiTheme="minorHAnsi" w:hAnsiTheme="minorHAnsi" w:cstheme="minorHAnsi"/>
          <w:bCs/>
          <w:sz w:val="24"/>
          <w:szCs w:val="24"/>
          <w:rtl/>
        </w:rPr>
        <w:t xml:space="preserve"> </w:t>
      </w:r>
      <w:r w:rsidR="007F6E4C">
        <w:rPr>
          <w:rFonts w:asciiTheme="minorHAnsi" w:hAnsiTheme="minorHAnsi" w:cstheme="minorHAnsi" w:hint="cs"/>
          <w:bCs/>
          <w:sz w:val="24"/>
          <w:szCs w:val="24"/>
          <w:rtl/>
        </w:rPr>
        <w:t>2023</w:t>
      </w:r>
    </w:p>
    <w:p w14:paraId="2948C80C" w14:textId="77777777" w:rsidR="008B2CC1" w:rsidRPr="00D67EAE" w:rsidRDefault="00576430" w:rsidP="00DD7B7F">
      <w:pPr>
        <w:spacing w:after="360"/>
        <w:outlineLvl w:val="0"/>
        <w:rPr>
          <w:rFonts w:asciiTheme="minorHAnsi" w:hAnsiTheme="minorHAnsi" w:cstheme="minorHAnsi"/>
          <w:caps/>
          <w:sz w:val="24"/>
          <w:rtl/>
        </w:rPr>
      </w:pPr>
      <w:bookmarkStart w:id="2" w:name="TitleOfDoc"/>
      <w:r>
        <w:rPr>
          <w:rFonts w:asciiTheme="minorHAnsi" w:hAnsiTheme="minorHAnsi" w:hint="cs"/>
          <w:caps/>
          <w:sz w:val="28"/>
          <w:szCs w:val="24"/>
          <w:rtl/>
        </w:rPr>
        <w:t>التقرير</w:t>
      </w:r>
    </w:p>
    <w:p w14:paraId="682F30C0" w14:textId="77777777" w:rsidR="00523D3F" w:rsidRPr="00523D3F" w:rsidRDefault="00576430" w:rsidP="0023746A">
      <w:pPr>
        <w:spacing w:after="1040"/>
        <w:rPr>
          <w:rFonts w:asciiTheme="minorHAnsi" w:hAnsiTheme="minorHAnsi"/>
          <w:iCs/>
          <w:rtl/>
        </w:rPr>
      </w:pPr>
      <w:bookmarkStart w:id="3" w:name="Prepared"/>
      <w:bookmarkEnd w:id="2"/>
      <w:bookmarkEnd w:id="3"/>
      <w:r>
        <w:rPr>
          <w:rFonts w:asciiTheme="minorHAnsi" w:hAnsiTheme="minorHAnsi" w:hint="cs"/>
          <w:iCs/>
          <w:rtl/>
        </w:rPr>
        <w:t>الذي اعتمدته لجنة الخبراء</w:t>
      </w:r>
    </w:p>
    <w:p w14:paraId="756E1F05" w14:textId="77777777"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t>مقدمة</w:t>
      </w:r>
    </w:p>
    <w:p w14:paraId="367AA7CA" w14:textId="58BC93E8" w:rsidR="007F6E4C" w:rsidRDefault="00AD31A6" w:rsidP="00920213">
      <w:pPr>
        <w:pStyle w:val="ONUMA"/>
        <w:rPr>
          <w:lang w:bidi="ar-EG"/>
        </w:rPr>
      </w:pPr>
      <w:r w:rsidRPr="00AD31A6">
        <w:rPr>
          <w:rFonts w:hint="cs"/>
          <w:rtl/>
          <w:lang w:bidi="ar-EG"/>
        </w:rPr>
        <w:t xml:space="preserve">عقدت لجنة الخبراء التابعة لاتحاد لوكارنو (والمشار إليها فيما يلي بكلمة "اللجنة") دورتها </w:t>
      </w:r>
      <w:r w:rsidR="00576430">
        <w:rPr>
          <w:rFonts w:hint="cs"/>
          <w:rtl/>
          <w:lang w:bidi="ar-EG"/>
        </w:rPr>
        <w:t>ال</w:t>
      </w:r>
      <w:r w:rsidR="007F6E4C">
        <w:rPr>
          <w:rFonts w:hint="cs"/>
          <w:rtl/>
          <w:lang w:bidi="ar-EG"/>
        </w:rPr>
        <w:t>س</w:t>
      </w:r>
      <w:r w:rsidR="00576430">
        <w:rPr>
          <w:rFonts w:hint="cs"/>
          <w:rtl/>
          <w:lang w:bidi="ar-EG"/>
        </w:rPr>
        <w:t>ا</w:t>
      </w:r>
      <w:r w:rsidR="007F6E4C">
        <w:rPr>
          <w:rFonts w:hint="cs"/>
          <w:rtl/>
          <w:lang w:bidi="ar-EG"/>
        </w:rPr>
        <w:t>د</w:t>
      </w:r>
      <w:r w:rsidR="00576430">
        <w:rPr>
          <w:rFonts w:hint="cs"/>
          <w:rtl/>
          <w:lang w:bidi="ar-EG"/>
        </w:rPr>
        <w:t>سة</w:t>
      </w:r>
      <w:r w:rsidRPr="00AD31A6">
        <w:rPr>
          <w:rFonts w:hint="cs"/>
          <w:rtl/>
          <w:lang w:bidi="ar-EG"/>
        </w:rPr>
        <w:t xml:space="preserve"> عشرة في جنيف في الفترة الممتدة من </w:t>
      </w:r>
      <w:r w:rsidR="007F6E4C">
        <w:rPr>
          <w:rFonts w:hint="cs"/>
          <w:rtl/>
          <w:lang w:bidi="ar-EG"/>
        </w:rPr>
        <w:t>23</w:t>
      </w:r>
      <w:r w:rsidRPr="00AD31A6">
        <w:rPr>
          <w:rFonts w:hint="cs"/>
          <w:rtl/>
          <w:lang w:bidi="ar-EG"/>
        </w:rPr>
        <w:t xml:space="preserve"> إلى </w:t>
      </w:r>
      <w:r w:rsidR="007F6E4C">
        <w:rPr>
          <w:rFonts w:hint="cs"/>
          <w:rtl/>
          <w:lang w:bidi="ar-EG"/>
        </w:rPr>
        <w:t>25</w:t>
      </w:r>
      <w:r w:rsidRPr="00AD31A6">
        <w:rPr>
          <w:rFonts w:hint="cs"/>
          <w:rtl/>
          <w:lang w:bidi="ar-EG"/>
        </w:rPr>
        <w:t xml:space="preserve"> </w:t>
      </w:r>
      <w:r w:rsidR="007F6E4C">
        <w:rPr>
          <w:rFonts w:hint="cs"/>
          <w:rtl/>
          <w:lang w:bidi="ar-EG"/>
        </w:rPr>
        <w:t>نوفمب</w:t>
      </w:r>
      <w:r w:rsidR="00576430">
        <w:rPr>
          <w:rFonts w:hint="cs"/>
          <w:rtl/>
          <w:lang w:bidi="ar-EG"/>
        </w:rPr>
        <w:t>ر</w:t>
      </w:r>
      <w:r w:rsidRPr="00AD31A6">
        <w:rPr>
          <w:rFonts w:hint="cs"/>
          <w:rtl/>
          <w:lang w:bidi="ar-EG"/>
        </w:rPr>
        <w:t xml:space="preserve"> </w:t>
      </w:r>
      <w:r w:rsidR="00576430">
        <w:rPr>
          <w:rFonts w:hint="cs"/>
          <w:rtl/>
          <w:lang w:bidi="ar-EG"/>
        </w:rPr>
        <w:t>202</w:t>
      </w:r>
      <w:r w:rsidR="007F6E4C">
        <w:rPr>
          <w:rFonts w:hint="cs"/>
          <w:rtl/>
          <w:lang w:bidi="ar-EG"/>
        </w:rPr>
        <w:t>3</w:t>
      </w:r>
      <w:r w:rsidRPr="00AD31A6">
        <w:rPr>
          <w:rFonts w:hint="cs"/>
          <w:rtl/>
          <w:lang w:bidi="ar-EG"/>
        </w:rPr>
        <w:t>. وكان أعضاء اللجنة التالية أسماؤهم ممثلين في الدورة:</w:t>
      </w:r>
      <w:r w:rsidR="007F6E4C">
        <w:rPr>
          <w:rFonts w:hint="cs"/>
          <w:rtl/>
          <w:lang w:bidi="ar-EG"/>
        </w:rPr>
        <w:t xml:space="preserve"> </w:t>
      </w:r>
      <w:r w:rsidR="007F6E4C" w:rsidRPr="007F6E4C">
        <w:rPr>
          <w:rtl/>
          <w:lang w:bidi="ar-EG"/>
        </w:rPr>
        <w:t>بيلاروس</w:t>
      </w:r>
      <w:r w:rsidR="007F6E4C">
        <w:rPr>
          <w:rFonts w:hint="cs"/>
          <w:rtl/>
          <w:lang w:bidi="ar-EG"/>
        </w:rPr>
        <w:t xml:space="preserve">، </w:t>
      </w:r>
      <w:r w:rsidR="007F6E4C" w:rsidRPr="007F6E4C">
        <w:rPr>
          <w:rtl/>
          <w:lang w:bidi="ar-EG"/>
        </w:rPr>
        <w:t>بلغاريا</w:t>
      </w:r>
      <w:r w:rsidR="007F6E4C">
        <w:rPr>
          <w:rFonts w:hint="cs"/>
          <w:rtl/>
          <w:lang w:bidi="ar-EG"/>
        </w:rPr>
        <w:t>،</w:t>
      </w:r>
      <w:r w:rsidR="007F6E4C" w:rsidRPr="007F6E4C">
        <w:rPr>
          <w:rtl/>
          <w:lang w:bidi="ar-EG"/>
        </w:rPr>
        <w:t xml:space="preserve"> الصين</w:t>
      </w:r>
      <w:r w:rsidR="007F6E4C">
        <w:rPr>
          <w:rFonts w:hint="cs"/>
          <w:rtl/>
          <w:lang w:bidi="ar-EG"/>
        </w:rPr>
        <w:t>،</w:t>
      </w:r>
      <w:r w:rsidR="007F6E4C" w:rsidRPr="007F6E4C">
        <w:rPr>
          <w:rtl/>
          <w:lang w:bidi="ar-EG"/>
        </w:rPr>
        <w:t xml:space="preserve"> كرواتيا</w:t>
      </w:r>
      <w:r w:rsidR="007F6E4C">
        <w:rPr>
          <w:rFonts w:hint="cs"/>
          <w:rtl/>
          <w:lang w:bidi="ar-EG"/>
        </w:rPr>
        <w:t>،</w:t>
      </w:r>
      <w:r w:rsidR="007F6E4C" w:rsidRPr="007F6E4C">
        <w:rPr>
          <w:rtl/>
          <w:lang w:bidi="ar-EG"/>
        </w:rPr>
        <w:t xml:space="preserve"> الجمهورية التشيكية</w:t>
      </w:r>
      <w:r w:rsidR="007F6E4C">
        <w:rPr>
          <w:rFonts w:hint="cs"/>
          <w:rtl/>
          <w:lang w:bidi="ar-EG"/>
        </w:rPr>
        <w:t>،</w:t>
      </w:r>
      <w:r w:rsidR="007F6E4C" w:rsidRPr="007F6E4C">
        <w:rPr>
          <w:rtl/>
          <w:lang w:bidi="ar-EG"/>
        </w:rPr>
        <w:t xml:space="preserve"> فنلندا</w:t>
      </w:r>
      <w:r w:rsidR="007F6E4C">
        <w:rPr>
          <w:rFonts w:hint="cs"/>
          <w:rtl/>
          <w:lang w:bidi="ar-EG"/>
        </w:rPr>
        <w:t>،</w:t>
      </w:r>
      <w:r w:rsidR="007F6E4C" w:rsidRPr="007F6E4C">
        <w:rPr>
          <w:rtl/>
          <w:lang w:bidi="ar-EG"/>
        </w:rPr>
        <w:t xml:space="preserve"> فرنسا</w:t>
      </w:r>
      <w:r w:rsidR="007F6E4C">
        <w:rPr>
          <w:rFonts w:hint="cs"/>
          <w:rtl/>
          <w:lang w:bidi="ar-EG"/>
        </w:rPr>
        <w:t>،</w:t>
      </w:r>
      <w:r w:rsidR="007F6E4C" w:rsidRPr="007F6E4C">
        <w:rPr>
          <w:rtl/>
          <w:lang w:bidi="ar-EG"/>
        </w:rPr>
        <w:t xml:space="preserve"> ألمانيا</w:t>
      </w:r>
      <w:r w:rsidR="007F6E4C">
        <w:rPr>
          <w:rFonts w:hint="cs"/>
          <w:rtl/>
          <w:lang w:bidi="ar-EG"/>
        </w:rPr>
        <w:t>،</w:t>
      </w:r>
      <w:r w:rsidR="007F6E4C" w:rsidRPr="007F6E4C">
        <w:rPr>
          <w:rtl/>
          <w:lang w:bidi="ar-EG"/>
        </w:rPr>
        <w:t xml:space="preserve"> اليونان</w:t>
      </w:r>
      <w:r w:rsidR="007F6E4C">
        <w:rPr>
          <w:rFonts w:hint="cs"/>
          <w:rtl/>
          <w:lang w:bidi="ar-EG"/>
        </w:rPr>
        <w:t>،</w:t>
      </w:r>
      <w:r w:rsidR="007F6E4C" w:rsidRPr="007F6E4C">
        <w:rPr>
          <w:rtl/>
          <w:lang w:bidi="ar-EG"/>
        </w:rPr>
        <w:t xml:space="preserve"> هنغاريا</w:t>
      </w:r>
      <w:r w:rsidR="007F6E4C">
        <w:rPr>
          <w:rFonts w:hint="cs"/>
          <w:rtl/>
          <w:lang w:bidi="ar-EG"/>
        </w:rPr>
        <w:t>،</w:t>
      </w:r>
      <w:r w:rsidR="007F6E4C" w:rsidRPr="007F6E4C">
        <w:rPr>
          <w:rtl/>
          <w:lang w:bidi="ar-EG"/>
        </w:rPr>
        <w:t xml:space="preserve"> الهند</w:t>
      </w:r>
      <w:r w:rsidR="007F6E4C">
        <w:rPr>
          <w:rFonts w:hint="cs"/>
          <w:rtl/>
          <w:lang w:bidi="ar-EG"/>
        </w:rPr>
        <w:t>،</w:t>
      </w:r>
      <w:r w:rsidR="007F6E4C" w:rsidRPr="007F6E4C">
        <w:rPr>
          <w:rtl/>
          <w:lang w:bidi="ar-EG"/>
        </w:rPr>
        <w:t xml:space="preserve"> إيران (جمهورية - الإسلامية)</w:t>
      </w:r>
      <w:r w:rsidR="007F6E4C">
        <w:rPr>
          <w:rFonts w:hint="cs"/>
          <w:rtl/>
          <w:lang w:bidi="ar-EG"/>
        </w:rPr>
        <w:t>،</w:t>
      </w:r>
      <w:r w:rsidR="007F6E4C" w:rsidRPr="007F6E4C">
        <w:rPr>
          <w:rtl/>
          <w:lang w:bidi="ar-EG"/>
        </w:rPr>
        <w:t xml:space="preserve"> اليابان</w:t>
      </w:r>
      <w:r w:rsidR="007F6E4C">
        <w:rPr>
          <w:rFonts w:hint="cs"/>
          <w:rtl/>
          <w:lang w:bidi="ar-EG"/>
        </w:rPr>
        <w:t>،</w:t>
      </w:r>
      <w:r w:rsidR="007F6E4C" w:rsidRPr="007F6E4C">
        <w:rPr>
          <w:rtl/>
          <w:lang w:bidi="ar-EG"/>
        </w:rPr>
        <w:t xml:space="preserve"> كازاخستان</w:t>
      </w:r>
      <w:r w:rsidR="007F6E4C">
        <w:rPr>
          <w:rFonts w:hint="cs"/>
          <w:rtl/>
          <w:lang w:bidi="ar-EG"/>
        </w:rPr>
        <w:t>،</w:t>
      </w:r>
      <w:r w:rsidR="007F6E4C" w:rsidRPr="007F6E4C">
        <w:rPr>
          <w:rtl/>
          <w:lang w:bidi="ar-EG"/>
        </w:rPr>
        <w:t xml:space="preserve"> لاتفيا</w:t>
      </w:r>
      <w:r w:rsidR="007F6E4C">
        <w:rPr>
          <w:rFonts w:hint="cs"/>
          <w:rtl/>
          <w:lang w:bidi="ar-EG"/>
        </w:rPr>
        <w:t>،</w:t>
      </w:r>
      <w:r w:rsidR="007F6E4C" w:rsidRPr="007F6E4C">
        <w:rPr>
          <w:rtl/>
          <w:lang w:bidi="ar-EG"/>
        </w:rPr>
        <w:t xml:space="preserve"> المكسيك</w:t>
      </w:r>
      <w:r w:rsidR="007F6E4C">
        <w:rPr>
          <w:rFonts w:hint="cs"/>
          <w:rtl/>
          <w:lang w:bidi="ar-EG"/>
        </w:rPr>
        <w:t>،</w:t>
      </w:r>
      <w:r w:rsidR="007F6E4C" w:rsidRPr="007F6E4C">
        <w:rPr>
          <w:rtl/>
          <w:lang w:bidi="ar-EG"/>
        </w:rPr>
        <w:t xml:space="preserve"> هولندا</w:t>
      </w:r>
      <w:r w:rsidR="007F6E4C">
        <w:rPr>
          <w:rFonts w:hint="cs"/>
          <w:rtl/>
          <w:lang w:bidi="ar-EG"/>
        </w:rPr>
        <w:t>،</w:t>
      </w:r>
      <w:r w:rsidR="007F6E4C" w:rsidRPr="007F6E4C">
        <w:rPr>
          <w:rtl/>
          <w:lang w:bidi="ar-EG"/>
        </w:rPr>
        <w:t xml:space="preserve"> النرويج</w:t>
      </w:r>
      <w:r w:rsidR="007F6E4C">
        <w:rPr>
          <w:rFonts w:hint="cs"/>
          <w:rtl/>
          <w:lang w:bidi="ar-EG"/>
        </w:rPr>
        <w:t>،</w:t>
      </w:r>
      <w:r w:rsidR="007F6E4C" w:rsidRPr="007F6E4C">
        <w:rPr>
          <w:rtl/>
          <w:lang w:bidi="ar-EG"/>
        </w:rPr>
        <w:t xml:space="preserve"> بيرو</w:t>
      </w:r>
      <w:r w:rsidR="007F6E4C">
        <w:rPr>
          <w:rFonts w:hint="cs"/>
          <w:rtl/>
          <w:lang w:bidi="ar-EG"/>
        </w:rPr>
        <w:t>،</w:t>
      </w:r>
      <w:r w:rsidR="007F6E4C" w:rsidRPr="007F6E4C">
        <w:rPr>
          <w:rtl/>
          <w:lang w:bidi="ar-EG"/>
        </w:rPr>
        <w:t xml:space="preserve"> بولندا</w:t>
      </w:r>
      <w:r w:rsidR="007F6E4C">
        <w:rPr>
          <w:rFonts w:hint="cs"/>
          <w:rtl/>
          <w:lang w:bidi="ar-EG"/>
        </w:rPr>
        <w:t>،</w:t>
      </w:r>
      <w:r w:rsidR="007F6E4C" w:rsidRPr="007F6E4C">
        <w:rPr>
          <w:rtl/>
          <w:lang w:bidi="ar-EG"/>
        </w:rPr>
        <w:t xml:space="preserve"> جمهورية كوريا</w:t>
      </w:r>
      <w:r w:rsidR="007F6E4C">
        <w:rPr>
          <w:rFonts w:hint="cs"/>
          <w:rtl/>
          <w:lang w:bidi="ar-EG"/>
        </w:rPr>
        <w:t>،</w:t>
      </w:r>
      <w:r w:rsidR="007F6E4C" w:rsidRPr="007F6E4C">
        <w:rPr>
          <w:rtl/>
          <w:lang w:bidi="ar-EG"/>
        </w:rPr>
        <w:t xml:space="preserve"> جمهورية مولدوفا</w:t>
      </w:r>
      <w:r w:rsidR="007F6E4C">
        <w:rPr>
          <w:rFonts w:hint="cs"/>
          <w:rtl/>
          <w:lang w:bidi="ar-EG"/>
        </w:rPr>
        <w:t>،</w:t>
      </w:r>
      <w:r w:rsidR="007F6E4C" w:rsidRPr="007F6E4C">
        <w:rPr>
          <w:rtl/>
          <w:lang w:bidi="ar-EG"/>
        </w:rPr>
        <w:t xml:space="preserve"> رومانيا</w:t>
      </w:r>
      <w:r w:rsidR="007F6E4C">
        <w:rPr>
          <w:rFonts w:hint="cs"/>
          <w:rtl/>
          <w:lang w:bidi="ar-EG"/>
        </w:rPr>
        <w:t>،</w:t>
      </w:r>
      <w:r w:rsidR="007F6E4C" w:rsidRPr="007F6E4C">
        <w:rPr>
          <w:rtl/>
          <w:lang w:bidi="ar-EG"/>
        </w:rPr>
        <w:t xml:space="preserve"> الاتحاد الروسي</w:t>
      </w:r>
      <w:r w:rsidR="007F6E4C">
        <w:rPr>
          <w:rFonts w:hint="cs"/>
          <w:rtl/>
          <w:lang w:bidi="ar-EG"/>
        </w:rPr>
        <w:t>،</w:t>
      </w:r>
      <w:r w:rsidR="007F6E4C" w:rsidRPr="007F6E4C">
        <w:rPr>
          <w:rtl/>
          <w:lang w:bidi="ar-EG"/>
        </w:rPr>
        <w:t xml:space="preserve"> المملكة العربية السعودية</w:t>
      </w:r>
      <w:r w:rsidR="007F6E4C">
        <w:rPr>
          <w:rFonts w:hint="cs"/>
          <w:rtl/>
          <w:lang w:bidi="ar-EG"/>
        </w:rPr>
        <w:t>،</w:t>
      </w:r>
      <w:r w:rsidR="007F6E4C" w:rsidRPr="007F6E4C">
        <w:rPr>
          <w:rtl/>
          <w:lang w:bidi="ar-EG"/>
        </w:rPr>
        <w:t xml:space="preserve"> سلوفاكيا</w:t>
      </w:r>
      <w:r w:rsidR="007F6E4C">
        <w:rPr>
          <w:rFonts w:hint="cs"/>
          <w:rtl/>
          <w:lang w:bidi="ar-EG"/>
        </w:rPr>
        <w:t>،</w:t>
      </w:r>
      <w:r w:rsidR="007F6E4C" w:rsidRPr="007F6E4C">
        <w:rPr>
          <w:rtl/>
          <w:lang w:bidi="ar-EG"/>
        </w:rPr>
        <w:t xml:space="preserve"> إسبانيا</w:t>
      </w:r>
      <w:r w:rsidR="007F6E4C">
        <w:rPr>
          <w:rFonts w:hint="cs"/>
          <w:rtl/>
          <w:lang w:bidi="ar-EG"/>
        </w:rPr>
        <w:t>،</w:t>
      </w:r>
      <w:r w:rsidR="007F6E4C" w:rsidRPr="007F6E4C">
        <w:rPr>
          <w:rtl/>
          <w:lang w:bidi="ar-EG"/>
        </w:rPr>
        <w:t xml:space="preserve"> السويد</w:t>
      </w:r>
      <w:r w:rsidR="007F6E4C">
        <w:rPr>
          <w:rFonts w:hint="cs"/>
          <w:rtl/>
          <w:lang w:bidi="ar-EG"/>
        </w:rPr>
        <w:t>،</w:t>
      </w:r>
      <w:r w:rsidR="007F6E4C" w:rsidRPr="007F6E4C">
        <w:rPr>
          <w:rtl/>
          <w:lang w:bidi="ar-EG"/>
        </w:rPr>
        <w:t xml:space="preserve"> سويسرا</w:t>
      </w:r>
      <w:r w:rsidR="007F6E4C">
        <w:rPr>
          <w:rFonts w:hint="cs"/>
          <w:rtl/>
          <w:lang w:bidi="ar-EG"/>
        </w:rPr>
        <w:t>،</w:t>
      </w:r>
      <w:r w:rsidR="007F6E4C" w:rsidRPr="007F6E4C">
        <w:rPr>
          <w:rtl/>
          <w:lang w:bidi="ar-EG"/>
        </w:rPr>
        <w:t xml:space="preserve"> تركيا</w:t>
      </w:r>
      <w:r w:rsidR="007F6E4C">
        <w:rPr>
          <w:rFonts w:hint="cs"/>
          <w:rtl/>
          <w:lang w:bidi="ar-EG"/>
        </w:rPr>
        <w:t>،</w:t>
      </w:r>
      <w:r w:rsidR="007F6E4C" w:rsidRPr="007F6E4C">
        <w:rPr>
          <w:rtl/>
          <w:lang w:bidi="ar-EG"/>
        </w:rPr>
        <w:t xml:space="preserve"> أوكرانيا</w:t>
      </w:r>
      <w:r w:rsidR="007F6E4C">
        <w:rPr>
          <w:rFonts w:hint="cs"/>
          <w:rtl/>
          <w:lang w:bidi="ar-EG"/>
        </w:rPr>
        <w:t>،</w:t>
      </w:r>
      <w:r w:rsidR="007F6E4C" w:rsidRPr="007F6E4C">
        <w:rPr>
          <w:rtl/>
          <w:lang w:bidi="ar-EG"/>
        </w:rPr>
        <w:t xml:space="preserve"> المملكة المتحدة</w:t>
      </w:r>
      <w:r w:rsidR="007F6E4C">
        <w:rPr>
          <w:rFonts w:hint="cs"/>
          <w:rtl/>
          <w:lang w:bidi="ar-EG"/>
        </w:rPr>
        <w:t>،</w:t>
      </w:r>
      <w:r w:rsidR="007F6E4C" w:rsidRPr="007F6E4C">
        <w:rPr>
          <w:rtl/>
          <w:lang w:bidi="ar-EG"/>
        </w:rPr>
        <w:t xml:space="preserve"> أوزبكستان (33).  </w:t>
      </w:r>
      <w:r w:rsidR="007F6E4C" w:rsidRPr="00AD31A6">
        <w:rPr>
          <w:rFonts w:hint="cs"/>
          <w:rtl/>
          <w:lang w:bidi="ar-EG"/>
        </w:rPr>
        <w:t>وكانت الدول الت</w:t>
      </w:r>
      <w:r w:rsidR="007F6E4C">
        <w:rPr>
          <w:rFonts w:hint="cs"/>
          <w:rtl/>
          <w:lang w:bidi="ar-EG"/>
        </w:rPr>
        <w:t>الية ممثلة بصفة مراقب</w:t>
      </w:r>
      <w:r w:rsidR="007F6E4C" w:rsidRPr="007F6E4C">
        <w:rPr>
          <w:rtl/>
          <w:lang w:bidi="ar-EG"/>
        </w:rPr>
        <w:t>: الجزائر</w:t>
      </w:r>
      <w:r w:rsidR="007F6E4C">
        <w:rPr>
          <w:rFonts w:hint="cs"/>
          <w:rtl/>
          <w:lang w:bidi="ar-EG"/>
        </w:rPr>
        <w:t>،</w:t>
      </w:r>
      <w:r w:rsidR="007F6E4C" w:rsidRPr="007F6E4C">
        <w:rPr>
          <w:rtl/>
          <w:lang w:bidi="ar-EG"/>
        </w:rPr>
        <w:t xml:space="preserve"> أنغولا</w:t>
      </w:r>
      <w:r w:rsidR="007F6E4C">
        <w:rPr>
          <w:rFonts w:hint="cs"/>
          <w:rtl/>
          <w:lang w:bidi="ar-EG"/>
        </w:rPr>
        <w:t>،</w:t>
      </w:r>
      <w:r w:rsidR="007F6E4C" w:rsidRPr="007F6E4C">
        <w:rPr>
          <w:rtl/>
          <w:lang w:bidi="ar-EG"/>
        </w:rPr>
        <w:t xml:space="preserve"> بنن</w:t>
      </w:r>
      <w:r w:rsidR="007F6E4C">
        <w:rPr>
          <w:rFonts w:hint="cs"/>
          <w:rtl/>
          <w:lang w:bidi="ar-EG"/>
        </w:rPr>
        <w:t>،</w:t>
      </w:r>
      <w:r w:rsidR="007F6E4C" w:rsidRPr="007F6E4C">
        <w:rPr>
          <w:rtl/>
          <w:lang w:bidi="ar-EG"/>
        </w:rPr>
        <w:t xml:space="preserve"> كمبوديا</w:t>
      </w:r>
      <w:r w:rsidR="007F6E4C">
        <w:rPr>
          <w:rFonts w:hint="cs"/>
          <w:rtl/>
          <w:lang w:bidi="ar-EG"/>
        </w:rPr>
        <w:t>،</w:t>
      </w:r>
      <w:r w:rsidR="007F6E4C" w:rsidRPr="007F6E4C">
        <w:rPr>
          <w:rtl/>
          <w:lang w:bidi="ar-EG"/>
        </w:rPr>
        <w:t xml:space="preserve"> الكاميرون</w:t>
      </w:r>
      <w:r w:rsidR="007F6E4C">
        <w:rPr>
          <w:rFonts w:hint="cs"/>
          <w:rtl/>
          <w:lang w:bidi="ar-EG"/>
        </w:rPr>
        <w:t>،</w:t>
      </w:r>
      <w:r w:rsidR="007F6E4C" w:rsidRPr="007F6E4C">
        <w:rPr>
          <w:rtl/>
          <w:lang w:bidi="ar-EG"/>
        </w:rPr>
        <w:t xml:space="preserve"> تشاد</w:t>
      </w:r>
      <w:r w:rsidR="007F6E4C">
        <w:rPr>
          <w:rFonts w:hint="cs"/>
          <w:rtl/>
          <w:lang w:bidi="ar-EG"/>
        </w:rPr>
        <w:t>،</w:t>
      </w:r>
      <w:r w:rsidR="007F6E4C" w:rsidRPr="007F6E4C">
        <w:rPr>
          <w:rtl/>
          <w:lang w:bidi="ar-EG"/>
        </w:rPr>
        <w:t xml:space="preserve"> كولومبيا</w:t>
      </w:r>
      <w:r w:rsidR="007F6E4C">
        <w:rPr>
          <w:rFonts w:hint="cs"/>
          <w:rtl/>
          <w:lang w:bidi="ar-EG"/>
        </w:rPr>
        <w:t>،</w:t>
      </w:r>
      <w:r w:rsidR="007F6E4C" w:rsidRPr="007F6E4C">
        <w:rPr>
          <w:rtl/>
          <w:lang w:bidi="ar-EG"/>
        </w:rPr>
        <w:t xml:space="preserve"> غانا</w:t>
      </w:r>
      <w:r w:rsidR="007F6E4C">
        <w:rPr>
          <w:rFonts w:hint="cs"/>
          <w:rtl/>
          <w:lang w:bidi="ar-EG"/>
        </w:rPr>
        <w:t>،</w:t>
      </w:r>
      <w:r w:rsidR="007F6E4C" w:rsidRPr="007F6E4C">
        <w:rPr>
          <w:rtl/>
          <w:lang w:bidi="ar-EG"/>
        </w:rPr>
        <w:t xml:space="preserve"> العراق</w:t>
      </w:r>
      <w:r w:rsidR="007F6E4C">
        <w:rPr>
          <w:rFonts w:hint="cs"/>
          <w:rtl/>
          <w:lang w:bidi="ar-EG"/>
        </w:rPr>
        <w:t>،</w:t>
      </w:r>
      <w:r w:rsidR="007F6E4C" w:rsidRPr="007F6E4C">
        <w:rPr>
          <w:rtl/>
          <w:lang w:bidi="ar-EG"/>
        </w:rPr>
        <w:t xml:space="preserve"> إسرائيل</w:t>
      </w:r>
      <w:r w:rsidR="007F6E4C">
        <w:rPr>
          <w:rFonts w:hint="cs"/>
          <w:rtl/>
          <w:lang w:bidi="ar-EG"/>
        </w:rPr>
        <w:t>،</w:t>
      </w:r>
      <w:r w:rsidR="007F6E4C" w:rsidRPr="007F6E4C">
        <w:rPr>
          <w:rtl/>
          <w:lang w:bidi="ar-EG"/>
        </w:rPr>
        <w:t xml:space="preserve"> الكويت</w:t>
      </w:r>
      <w:r w:rsidR="007F6E4C">
        <w:rPr>
          <w:rFonts w:hint="cs"/>
          <w:rtl/>
          <w:lang w:bidi="ar-EG"/>
        </w:rPr>
        <w:t>،</w:t>
      </w:r>
      <w:r w:rsidR="007F6E4C" w:rsidRPr="007F6E4C">
        <w:rPr>
          <w:rtl/>
          <w:lang w:bidi="ar-EG"/>
        </w:rPr>
        <w:t xml:space="preserve"> ليتوانيا</w:t>
      </w:r>
      <w:r w:rsidR="007F6E4C">
        <w:rPr>
          <w:rFonts w:hint="cs"/>
          <w:rtl/>
          <w:lang w:bidi="ar-EG"/>
        </w:rPr>
        <w:t>،</w:t>
      </w:r>
      <w:r w:rsidR="007F6E4C" w:rsidRPr="007F6E4C">
        <w:rPr>
          <w:rtl/>
          <w:lang w:bidi="ar-EG"/>
        </w:rPr>
        <w:t xml:space="preserve"> مالي</w:t>
      </w:r>
      <w:r w:rsidR="007F6E4C">
        <w:rPr>
          <w:rFonts w:hint="cs"/>
          <w:rtl/>
          <w:lang w:bidi="ar-EG"/>
        </w:rPr>
        <w:t>،</w:t>
      </w:r>
      <w:r w:rsidR="007F6E4C" w:rsidRPr="007F6E4C">
        <w:rPr>
          <w:rtl/>
          <w:lang w:bidi="ar-EG"/>
        </w:rPr>
        <w:t xml:space="preserve"> ناميبيا</w:t>
      </w:r>
      <w:r w:rsidR="007F6E4C">
        <w:rPr>
          <w:rFonts w:hint="cs"/>
          <w:rtl/>
          <w:lang w:bidi="ar-EG"/>
        </w:rPr>
        <w:t>،</w:t>
      </w:r>
      <w:r w:rsidR="007F6E4C" w:rsidRPr="007F6E4C">
        <w:rPr>
          <w:rtl/>
          <w:lang w:bidi="ar-EG"/>
        </w:rPr>
        <w:t xml:space="preserve"> النيجر</w:t>
      </w:r>
      <w:r w:rsidR="007F6E4C">
        <w:rPr>
          <w:rFonts w:hint="cs"/>
          <w:rtl/>
          <w:lang w:bidi="ar-EG"/>
        </w:rPr>
        <w:t>،</w:t>
      </w:r>
      <w:r w:rsidR="007F6E4C" w:rsidRPr="007F6E4C">
        <w:rPr>
          <w:rtl/>
          <w:lang w:bidi="ar-EG"/>
        </w:rPr>
        <w:t xml:space="preserve"> باكستان</w:t>
      </w:r>
      <w:r w:rsidR="007F6E4C">
        <w:rPr>
          <w:rFonts w:hint="cs"/>
          <w:rtl/>
          <w:lang w:bidi="ar-EG"/>
        </w:rPr>
        <w:t>،</w:t>
      </w:r>
      <w:r w:rsidR="007F6E4C" w:rsidRPr="007F6E4C">
        <w:rPr>
          <w:rtl/>
          <w:lang w:bidi="ar-EG"/>
        </w:rPr>
        <w:t xml:space="preserve"> الفلبين</w:t>
      </w:r>
      <w:r w:rsidR="007F6E4C">
        <w:rPr>
          <w:rFonts w:hint="cs"/>
          <w:rtl/>
          <w:lang w:bidi="ar-EG"/>
        </w:rPr>
        <w:t>،</w:t>
      </w:r>
      <w:r w:rsidR="007F6E4C" w:rsidRPr="007F6E4C">
        <w:rPr>
          <w:rtl/>
          <w:lang w:bidi="ar-EG"/>
        </w:rPr>
        <w:t xml:space="preserve"> سري لانكا</w:t>
      </w:r>
      <w:r w:rsidR="007F6E4C">
        <w:rPr>
          <w:rFonts w:hint="cs"/>
          <w:rtl/>
          <w:lang w:bidi="ar-EG"/>
        </w:rPr>
        <w:t>،</w:t>
      </w:r>
      <w:r w:rsidR="007F6E4C" w:rsidRPr="007F6E4C">
        <w:rPr>
          <w:rtl/>
          <w:lang w:bidi="ar-EG"/>
        </w:rPr>
        <w:t xml:space="preserve"> الولايات المتحدة الأمريكية</w:t>
      </w:r>
      <w:r w:rsidR="007F6E4C">
        <w:rPr>
          <w:rFonts w:hint="cs"/>
          <w:rtl/>
          <w:lang w:bidi="ar-EG"/>
        </w:rPr>
        <w:t>،</w:t>
      </w:r>
      <w:r w:rsidR="007F6E4C" w:rsidRPr="007F6E4C">
        <w:rPr>
          <w:rtl/>
          <w:lang w:bidi="ar-EG"/>
        </w:rPr>
        <w:t xml:space="preserve"> فييت نام</w:t>
      </w:r>
      <w:r w:rsidR="007F6E4C">
        <w:rPr>
          <w:rFonts w:hint="cs"/>
          <w:rtl/>
          <w:lang w:bidi="ar-EG"/>
        </w:rPr>
        <w:t>،</w:t>
      </w:r>
      <w:r w:rsidR="007F6E4C" w:rsidRPr="007F6E4C">
        <w:rPr>
          <w:rtl/>
          <w:lang w:bidi="ar-EG"/>
        </w:rPr>
        <w:t xml:space="preserve"> اليمن (21).  وشارك ممثلو المنظمات الحكومية الدولية التالية في الدورة بصفة مراقب: المنظمة الإقليمية الأفريقية للملكية الفكرية (الأريبو)، ومكتب بنيلوكس للملكية الفكرية، والاتحاد الأوروبي.  وترد قائمة المشاركين في المرفق الأول لهذا التقرير.</w:t>
      </w:r>
    </w:p>
    <w:p w14:paraId="1C137AE9" w14:textId="77777777" w:rsidR="00AD31A6" w:rsidRPr="00AD31A6" w:rsidRDefault="00AD31A6" w:rsidP="00194184">
      <w:pPr>
        <w:pStyle w:val="ONUMA"/>
        <w:rPr>
          <w:rtl/>
          <w:lang w:bidi="ar-EG"/>
        </w:rPr>
      </w:pPr>
      <w:r w:rsidRPr="00AD31A6">
        <w:rPr>
          <w:rFonts w:hint="cs"/>
          <w:rtl/>
          <w:lang w:bidi="ar-EG"/>
        </w:rPr>
        <w:t xml:space="preserve">وافتتح الدورة السيد </w:t>
      </w:r>
      <w:r w:rsidR="00920213">
        <w:rPr>
          <w:rFonts w:hint="cs"/>
          <w:rtl/>
          <w:lang w:bidi="ar-EG"/>
        </w:rPr>
        <w:t>كينيشيرو</w:t>
      </w:r>
      <w:r w:rsidR="00194184">
        <w:rPr>
          <w:rFonts w:hint="cs"/>
          <w:rtl/>
          <w:lang w:bidi="ar-EG"/>
        </w:rPr>
        <w:t xml:space="preserve"> ناتسومي</w:t>
      </w:r>
      <w:r w:rsidRPr="00AD31A6">
        <w:rPr>
          <w:rFonts w:hint="cs"/>
          <w:rtl/>
          <w:lang w:bidi="ar-EG"/>
        </w:rPr>
        <w:t xml:space="preserve">، مساعد المدير العام لقطاع البنية التحتية </w:t>
      </w:r>
      <w:r w:rsidR="00194184">
        <w:rPr>
          <w:rFonts w:hint="cs"/>
          <w:rtl/>
          <w:lang w:bidi="ar-EG"/>
        </w:rPr>
        <w:t>والمنصات في الويبو، و</w:t>
      </w:r>
      <w:r w:rsidRPr="00AD31A6">
        <w:rPr>
          <w:rFonts w:hint="cs"/>
          <w:rtl/>
          <w:lang w:bidi="ar-EG"/>
        </w:rPr>
        <w:t>رحّب بالمشاركين.</w:t>
      </w:r>
    </w:p>
    <w:p w14:paraId="325F0B52" w14:textId="77777777"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t>أعضاء المكتب</w:t>
      </w:r>
    </w:p>
    <w:p w14:paraId="034217FE" w14:textId="1DB2451F" w:rsidR="00AD31A6" w:rsidRPr="00AD31A6" w:rsidRDefault="00AD31A6" w:rsidP="00194184">
      <w:pPr>
        <w:pStyle w:val="ONUMA"/>
        <w:rPr>
          <w:rtl/>
          <w:lang w:bidi="ar-EG"/>
        </w:rPr>
      </w:pPr>
      <w:r w:rsidRPr="00AD31A6">
        <w:rPr>
          <w:rFonts w:hint="cs"/>
          <w:rtl/>
          <w:lang w:bidi="ar-EG"/>
        </w:rPr>
        <w:t xml:space="preserve">انتخبت اللجنة بالإجماع السيدة </w:t>
      </w:r>
      <w:r w:rsidR="007F6E4C" w:rsidRPr="00D41707">
        <w:rPr>
          <w:rtl/>
        </w:rPr>
        <w:t xml:space="preserve">موروينا بيل (المملكة المتحدة) </w:t>
      </w:r>
      <w:r w:rsidR="00194184">
        <w:rPr>
          <w:rFonts w:hint="cs"/>
          <w:rtl/>
          <w:lang w:bidi="ar-EG"/>
        </w:rPr>
        <w:t>رئيسةً للدورة</w:t>
      </w:r>
      <w:r w:rsidRPr="00AD31A6">
        <w:rPr>
          <w:rFonts w:hint="cs"/>
          <w:rtl/>
          <w:lang w:bidi="ar-EG"/>
        </w:rPr>
        <w:t>.</w:t>
      </w:r>
    </w:p>
    <w:p w14:paraId="199F1E87" w14:textId="77777777" w:rsidR="00AD31A6" w:rsidRPr="00AD31A6" w:rsidRDefault="00AD31A6" w:rsidP="00576430">
      <w:pPr>
        <w:pStyle w:val="ONUMA"/>
        <w:rPr>
          <w:rtl/>
          <w:lang w:bidi="ar-EG"/>
        </w:rPr>
      </w:pPr>
      <w:r w:rsidRPr="00AD31A6">
        <w:rPr>
          <w:rFonts w:hint="cs"/>
          <w:rtl/>
          <w:lang w:bidi="ar-EG"/>
        </w:rPr>
        <w:t>وتولت السيدة أليسون زوغر (الويبو) مهمة أمين الدورة.</w:t>
      </w:r>
    </w:p>
    <w:p w14:paraId="0862DDD1" w14:textId="77777777"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lastRenderedPageBreak/>
        <w:t>اعتماد جدول الأعمال</w:t>
      </w:r>
    </w:p>
    <w:p w14:paraId="53E44AF4" w14:textId="77777777" w:rsidR="00AD31A6" w:rsidRPr="00AD31A6" w:rsidRDefault="00AD31A6" w:rsidP="00576430">
      <w:pPr>
        <w:pStyle w:val="ONUMA"/>
        <w:ind w:left="566"/>
        <w:rPr>
          <w:rtl/>
          <w:lang w:bidi="ar-EG"/>
        </w:rPr>
      </w:pPr>
      <w:r w:rsidRPr="00AD31A6">
        <w:rPr>
          <w:rFonts w:hint="cs"/>
          <w:rtl/>
          <w:lang w:bidi="ar-EG"/>
        </w:rPr>
        <w:t>اعتمدت اللجنة بالإجماع جدول ا</w:t>
      </w:r>
      <w:r w:rsidR="00194184">
        <w:rPr>
          <w:rFonts w:hint="cs"/>
          <w:rtl/>
          <w:lang w:bidi="ar-EG"/>
        </w:rPr>
        <w:t xml:space="preserve">لأعمال الوارد في المرفق الثاني من </w:t>
      </w:r>
      <w:r w:rsidRPr="00AD31A6">
        <w:rPr>
          <w:rFonts w:hint="cs"/>
          <w:rtl/>
          <w:lang w:bidi="ar-EG"/>
        </w:rPr>
        <w:t>هذا التقرير.</w:t>
      </w:r>
    </w:p>
    <w:p w14:paraId="781C5D09" w14:textId="77777777" w:rsidR="00AD31A6" w:rsidRPr="003E12C0" w:rsidRDefault="00AD31A6" w:rsidP="003E12C0">
      <w:pPr>
        <w:pStyle w:val="Heading2"/>
        <w:spacing w:before="0" w:after="220"/>
        <w:rPr>
          <w:i/>
          <w:iCs w:val="0"/>
          <w:sz w:val="24"/>
          <w:szCs w:val="24"/>
          <w:rtl/>
          <w:lang w:bidi="ar-EG"/>
        </w:rPr>
      </w:pPr>
      <w:r w:rsidRPr="003E12C0">
        <w:rPr>
          <w:rFonts w:hint="cs"/>
          <w:i/>
          <w:iCs w:val="0"/>
          <w:sz w:val="24"/>
          <w:szCs w:val="24"/>
          <w:rtl/>
          <w:lang w:bidi="ar-EG"/>
        </w:rPr>
        <w:t>المناقشات والاستنتاجات والقرارات</w:t>
      </w:r>
    </w:p>
    <w:p w14:paraId="732A1FC6" w14:textId="77777777" w:rsidR="00AD31A6" w:rsidRPr="00AD31A6" w:rsidRDefault="00AD31A6" w:rsidP="00576430">
      <w:pPr>
        <w:pStyle w:val="ONUMA"/>
        <w:rPr>
          <w:rtl/>
          <w:lang w:bidi="ar-EG"/>
        </w:rPr>
      </w:pPr>
      <w:r w:rsidRPr="00AD31A6">
        <w:rPr>
          <w:rFonts w:hint="cs"/>
          <w:rtl/>
          <w:lang w:bidi="ar-EG"/>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AD31A6">
        <w:t>AB/X/32</w:t>
      </w:r>
      <w:r w:rsidRPr="00AD31A6">
        <w:rPr>
          <w:rFonts w:hint="cs"/>
          <w:rtl/>
          <w:lang w:bidi="ar-EG"/>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14:paraId="3211D25C" w14:textId="7485879C" w:rsidR="00AD31A6" w:rsidRPr="003E12C0" w:rsidRDefault="004D5466" w:rsidP="00AF3FC9">
      <w:pPr>
        <w:pStyle w:val="Heading2"/>
        <w:spacing w:before="0" w:after="220"/>
        <w:rPr>
          <w:i/>
          <w:iCs w:val="0"/>
          <w:sz w:val="24"/>
          <w:szCs w:val="24"/>
          <w:rtl/>
          <w:lang w:bidi="ar-EG"/>
        </w:rPr>
      </w:pPr>
      <w:r>
        <w:rPr>
          <w:rFonts w:hint="cs"/>
          <w:i/>
          <w:iCs w:val="0"/>
          <w:sz w:val="24"/>
          <w:szCs w:val="24"/>
          <w:rtl/>
          <w:lang w:bidi="ar-EG"/>
        </w:rPr>
        <w:t>إجراء اعتماد ال</w:t>
      </w:r>
      <w:r w:rsidR="00D66220" w:rsidRPr="003E12C0">
        <w:rPr>
          <w:rFonts w:hint="cs"/>
          <w:i/>
          <w:iCs w:val="0"/>
          <w:sz w:val="24"/>
          <w:szCs w:val="24"/>
          <w:rtl/>
          <w:lang w:bidi="ar-EG"/>
        </w:rPr>
        <w:t>تعديلات و</w:t>
      </w:r>
      <w:r>
        <w:rPr>
          <w:rFonts w:hint="cs"/>
          <w:i/>
          <w:iCs w:val="0"/>
          <w:sz w:val="24"/>
          <w:szCs w:val="24"/>
          <w:rtl/>
          <w:lang w:bidi="ar-EG"/>
        </w:rPr>
        <w:t>ال</w:t>
      </w:r>
      <w:r w:rsidR="00AD31A6" w:rsidRPr="003E12C0">
        <w:rPr>
          <w:rFonts w:hint="cs"/>
          <w:i/>
          <w:iCs w:val="0"/>
          <w:sz w:val="24"/>
          <w:szCs w:val="24"/>
          <w:rtl/>
          <w:lang w:bidi="ar-EG"/>
        </w:rPr>
        <w:t xml:space="preserve">إضافات على </w:t>
      </w:r>
      <w:r w:rsidR="00AF3FC9">
        <w:rPr>
          <w:rFonts w:hint="cs"/>
          <w:i/>
          <w:iCs w:val="0"/>
          <w:sz w:val="24"/>
          <w:szCs w:val="24"/>
          <w:rtl/>
          <w:lang w:bidi="ar-EG"/>
        </w:rPr>
        <w:t>الإصدار</w:t>
      </w:r>
      <w:r w:rsidR="00AD31A6" w:rsidRPr="003E12C0">
        <w:rPr>
          <w:rFonts w:hint="cs"/>
          <w:i/>
          <w:iCs w:val="0"/>
          <w:sz w:val="24"/>
          <w:szCs w:val="24"/>
          <w:rtl/>
          <w:lang w:bidi="ar-EG"/>
        </w:rPr>
        <w:t xml:space="preserve"> </w:t>
      </w:r>
      <w:r w:rsidR="007F6E4C">
        <w:rPr>
          <w:rFonts w:hint="cs"/>
          <w:i/>
          <w:iCs w:val="0"/>
          <w:sz w:val="24"/>
          <w:szCs w:val="24"/>
          <w:rtl/>
          <w:lang w:bidi="ar-EG"/>
        </w:rPr>
        <w:t>الرابع</w:t>
      </w:r>
      <w:r w:rsidR="00AF3FC9">
        <w:rPr>
          <w:rFonts w:hint="cs"/>
          <w:i/>
          <w:iCs w:val="0"/>
          <w:sz w:val="24"/>
          <w:szCs w:val="24"/>
          <w:rtl/>
          <w:lang w:bidi="ar-EG"/>
        </w:rPr>
        <w:t xml:space="preserve"> عشر</w:t>
      </w:r>
      <w:r w:rsidR="00AD31A6" w:rsidRPr="003E12C0">
        <w:rPr>
          <w:rFonts w:hint="cs"/>
          <w:i/>
          <w:iCs w:val="0"/>
          <w:sz w:val="24"/>
          <w:szCs w:val="24"/>
          <w:rtl/>
          <w:lang w:bidi="ar-EG"/>
        </w:rPr>
        <w:t xml:space="preserve"> من تصنيف لوكارنو</w:t>
      </w:r>
    </w:p>
    <w:p w14:paraId="70BFEEC2" w14:textId="77777777" w:rsidR="00576430" w:rsidRDefault="00AD31A6" w:rsidP="00576430">
      <w:pPr>
        <w:pStyle w:val="ONUMA"/>
        <w:rPr>
          <w:lang w:bidi="ar-EG"/>
        </w:rPr>
      </w:pPr>
      <w:r w:rsidRPr="00AD31A6">
        <w:rPr>
          <w:rFonts w:hint="cs"/>
          <w:rtl/>
          <w:lang w:bidi="ar-EG"/>
        </w:rPr>
        <w:t>أُجريت المناقشات على أساس ما يلي:</w:t>
      </w:r>
    </w:p>
    <w:p w14:paraId="0E37726E" w14:textId="77777777" w:rsidR="00AD31A6" w:rsidRPr="00AD31A6" w:rsidRDefault="00086095" w:rsidP="003E12C0">
      <w:pPr>
        <w:pStyle w:val="ONUMA"/>
        <w:numPr>
          <w:ilvl w:val="1"/>
          <w:numId w:val="4"/>
        </w:numPr>
        <w:rPr>
          <w:rtl/>
          <w:lang w:bidi="ar-EG"/>
        </w:rPr>
      </w:pPr>
      <w:r>
        <w:rPr>
          <w:rFonts w:hint="cs"/>
          <w:rtl/>
          <w:lang w:bidi="ar-EG"/>
        </w:rPr>
        <w:t>أن إدخال تعديلات و</w:t>
      </w:r>
      <w:r w:rsidR="00AD31A6" w:rsidRPr="00AD31A6">
        <w:rPr>
          <w:rFonts w:hint="cs"/>
          <w:rtl/>
          <w:lang w:bidi="ar-EG"/>
        </w:rPr>
        <w:t>إضافات على تصنيف لوكارنو (المشار إليه فيما يلي بكلمة "التصنيف") لا تنطوي على نقل سلع من صنف إلى آخر، يقتضي أغلبية بسيطة لبلدان اتحاد لوكارنو طبقاً للمادة 3(4) من اتفاق لوكارنو؛</w:t>
      </w:r>
    </w:p>
    <w:p w14:paraId="002D9372" w14:textId="77777777" w:rsidR="00AD31A6" w:rsidRPr="00AD31A6" w:rsidRDefault="00AD31A6" w:rsidP="003E12C0">
      <w:pPr>
        <w:pStyle w:val="ONUMA"/>
        <w:numPr>
          <w:ilvl w:val="1"/>
          <w:numId w:val="4"/>
        </w:numPr>
        <w:rPr>
          <w:rtl/>
          <w:lang w:bidi="ar-EG"/>
        </w:rPr>
      </w:pPr>
      <w:r w:rsidRPr="00AD31A6">
        <w:rPr>
          <w:rFonts w:hint="cs"/>
          <w:rtl/>
          <w:lang w:bidi="ar-EG"/>
        </w:rPr>
        <w:t>وأما نقل سلع من صنف إلى آخر، فيقتضي إجماع بلدان اتحاد لوكارنو طبقاً للمادة 3(4) نفسها.</w:t>
      </w:r>
    </w:p>
    <w:p w14:paraId="6F7E39B4" w14:textId="77777777" w:rsidR="00AD31A6" w:rsidRPr="00AD31A6" w:rsidRDefault="00D66220" w:rsidP="00576430">
      <w:pPr>
        <w:pStyle w:val="ONUMA"/>
        <w:rPr>
          <w:rtl/>
          <w:lang w:bidi="ar-EG"/>
        </w:rPr>
      </w:pPr>
      <w:r>
        <w:rPr>
          <w:rFonts w:hint="cs"/>
          <w:rtl/>
          <w:lang w:bidi="ar-EG"/>
        </w:rPr>
        <w:t xml:space="preserve">وأشارت اللجنة إلى </w:t>
      </w:r>
      <w:r w:rsidR="00AD31A6" w:rsidRPr="00AD31A6">
        <w:rPr>
          <w:rFonts w:hint="cs"/>
          <w:rtl/>
          <w:lang w:bidi="ar-EG"/>
        </w:rPr>
        <w:t>أن بلدان الاتحاد غير الممثلة في الدورة أو التي لم تدلِ بتصويتها إبّان الدورة أو في غضون المهلة المنصوص عليها في النظام الداخلي للجنة تُعدّ كما لو كانت قد وافقت على قرارات اللجنة طبقاً لأحكام المادة 3(6) من اتفاق لوكارنو.</w:t>
      </w:r>
    </w:p>
    <w:p w14:paraId="58789E8F" w14:textId="78D84A5D" w:rsidR="00AD31A6" w:rsidRPr="003E12C0" w:rsidRDefault="00AD31A6" w:rsidP="00AF3FC9">
      <w:pPr>
        <w:pStyle w:val="Heading2"/>
        <w:spacing w:before="0" w:after="220"/>
        <w:rPr>
          <w:i/>
          <w:iCs w:val="0"/>
          <w:sz w:val="24"/>
          <w:szCs w:val="24"/>
          <w:rtl/>
          <w:lang w:bidi="ar-EG"/>
        </w:rPr>
      </w:pPr>
      <w:r w:rsidRPr="003E12C0">
        <w:rPr>
          <w:rFonts w:hint="cs"/>
          <w:i/>
          <w:iCs w:val="0"/>
          <w:sz w:val="24"/>
          <w:szCs w:val="24"/>
          <w:rtl/>
          <w:lang w:bidi="ar-EG"/>
        </w:rPr>
        <w:t>الن</w:t>
      </w:r>
      <w:r w:rsidR="004D5466">
        <w:rPr>
          <w:rFonts w:hint="cs"/>
          <w:i/>
          <w:iCs w:val="0"/>
          <w:sz w:val="24"/>
          <w:szCs w:val="24"/>
          <w:rtl/>
          <w:lang w:bidi="ar-EG"/>
        </w:rPr>
        <w:t>ظر في اقتراحات ال</w:t>
      </w:r>
      <w:r w:rsidR="00086095" w:rsidRPr="003E12C0">
        <w:rPr>
          <w:rFonts w:hint="cs"/>
          <w:i/>
          <w:iCs w:val="0"/>
          <w:sz w:val="24"/>
          <w:szCs w:val="24"/>
          <w:rtl/>
          <w:lang w:bidi="ar-EG"/>
        </w:rPr>
        <w:t>تعديلات و</w:t>
      </w:r>
      <w:r w:rsidR="004D5466">
        <w:rPr>
          <w:rFonts w:hint="cs"/>
          <w:i/>
          <w:iCs w:val="0"/>
          <w:sz w:val="24"/>
          <w:szCs w:val="24"/>
          <w:rtl/>
          <w:lang w:bidi="ar-EG"/>
        </w:rPr>
        <w:t>الإ</w:t>
      </w:r>
      <w:r w:rsidRPr="003E12C0">
        <w:rPr>
          <w:rFonts w:hint="cs"/>
          <w:i/>
          <w:iCs w:val="0"/>
          <w:sz w:val="24"/>
          <w:szCs w:val="24"/>
          <w:rtl/>
          <w:lang w:bidi="ar-EG"/>
        </w:rPr>
        <w:t xml:space="preserve">ضافات على </w:t>
      </w:r>
      <w:r w:rsidR="00AF3FC9">
        <w:rPr>
          <w:rFonts w:hint="cs"/>
          <w:i/>
          <w:iCs w:val="0"/>
          <w:sz w:val="24"/>
          <w:szCs w:val="24"/>
          <w:rtl/>
          <w:lang w:bidi="ar-EG"/>
        </w:rPr>
        <w:t>الإصدار</w:t>
      </w:r>
      <w:r w:rsidRPr="003E12C0">
        <w:rPr>
          <w:rFonts w:hint="cs"/>
          <w:i/>
          <w:iCs w:val="0"/>
          <w:sz w:val="24"/>
          <w:szCs w:val="24"/>
          <w:rtl/>
          <w:lang w:bidi="ar-EG"/>
        </w:rPr>
        <w:t xml:space="preserve"> </w:t>
      </w:r>
      <w:r w:rsidR="007F6E4C">
        <w:rPr>
          <w:rFonts w:hint="cs"/>
          <w:i/>
          <w:iCs w:val="0"/>
          <w:sz w:val="24"/>
          <w:szCs w:val="24"/>
          <w:rtl/>
          <w:lang w:bidi="ar-EG"/>
        </w:rPr>
        <w:t>الرابع</w:t>
      </w:r>
      <w:r w:rsidR="00AF3FC9">
        <w:rPr>
          <w:rFonts w:hint="cs"/>
          <w:i/>
          <w:iCs w:val="0"/>
          <w:sz w:val="24"/>
          <w:szCs w:val="24"/>
          <w:rtl/>
          <w:lang w:bidi="ar-EG"/>
        </w:rPr>
        <w:t xml:space="preserve"> عشر </w:t>
      </w:r>
      <w:r w:rsidRPr="003E12C0">
        <w:rPr>
          <w:rFonts w:hint="cs"/>
          <w:i/>
          <w:iCs w:val="0"/>
          <w:sz w:val="24"/>
          <w:szCs w:val="24"/>
          <w:rtl/>
          <w:lang w:bidi="ar-EG"/>
        </w:rPr>
        <w:t>من تصنيف لوكارنو</w:t>
      </w:r>
      <w:r w:rsidR="00E61E6C" w:rsidRPr="003E12C0">
        <w:rPr>
          <w:rFonts w:hint="cs"/>
          <w:i/>
          <w:iCs w:val="0"/>
          <w:sz w:val="24"/>
          <w:szCs w:val="24"/>
          <w:rtl/>
          <w:lang w:bidi="ar-EG"/>
        </w:rPr>
        <w:t xml:space="preserve"> - </w:t>
      </w:r>
      <w:r w:rsidRPr="003E12C0">
        <w:rPr>
          <w:rFonts w:hint="cs"/>
          <w:i/>
          <w:iCs w:val="0"/>
          <w:sz w:val="24"/>
          <w:szCs w:val="24"/>
          <w:rtl/>
          <w:lang w:bidi="ar-EG"/>
        </w:rPr>
        <w:t>اقتراحات متنوعة</w:t>
      </w:r>
    </w:p>
    <w:p w14:paraId="2667B908" w14:textId="691023CE" w:rsidR="00AD31A6" w:rsidRPr="00AD31A6" w:rsidRDefault="00AD31A6" w:rsidP="00AF3FC9">
      <w:pPr>
        <w:pStyle w:val="ONUMA"/>
        <w:rPr>
          <w:rtl/>
          <w:lang w:bidi="ar-EG"/>
        </w:rPr>
      </w:pPr>
      <w:r w:rsidRPr="00AD31A6">
        <w:rPr>
          <w:rFonts w:hint="cs"/>
          <w:rtl/>
          <w:lang w:bidi="ar-EG"/>
        </w:rPr>
        <w:t xml:space="preserve">استندت المناقشات إلى </w:t>
      </w:r>
      <w:hyperlink r:id="rId12" w:history="1">
        <w:r w:rsidRPr="0048180F">
          <w:rPr>
            <w:rStyle w:val="Hyperlink"/>
            <w:rFonts w:hint="cs"/>
            <w:rtl/>
            <w:lang w:bidi="ar-EG"/>
          </w:rPr>
          <w:t xml:space="preserve">المرفق </w:t>
        </w:r>
        <w:r w:rsidR="0048180F" w:rsidRPr="0048180F">
          <w:rPr>
            <w:rStyle w:val="Hyperlink"/>
            <w:rFonts w:hint="cs"/>
            <w:rtl/>
            <w:lang w:bidi="ar-EG"/>
          </w:rPr>
          <w:t>2</w:t>
        </w:r>
      </w:hyperlink>
      <w:r w:rsidRPr="00AD31A6">
        <w:rPr>
          <w:rFonts w:hint="cs"/>
          <w:rtl/>
          <w:lang w:bidi="ar-EG"/>
        </w:rPr>
        <w:t xml:space="preserve"> من المشروع </w:t>
      </w:r>
      <w:hyperlink r:id="rId13" w:history="1">
        <w:r w:rsidR="00E61E6C" w:rsidRPr="0048180F">
          <w:rPr>
            <w:rStyle w:val="Hyperlink"/>
          </w:rPr>
          <w:t>LO</w:t>
        </w:r>
        <w:r w:rsidR="0048180F" w:rsidRPr="0048180F">
          <w:rPr>
            <w:rStyle w:val="Hyperlink"/>
          </w:rPr>
          <w:t>162</w:t>
        </w:r>
      </w:hyperlink>
      <w:r w:rsidRPr="00AD31A6">
        <w:rPr>
          <w:rFonts w:hint="cs"/>
          <w:rtl/>
          <w:lang w:bidi="ar-EG"/>
        </w:rPr>
        <w:t xml:space="preserve"> الذي يحتوي على جدول موجز للاقتراحات المتعلقة بإدخال تعديلات وإضافات </w:t>
      </w:r>
      <w:r w:rsidR="00AF3FC9">
        <w:rPr>
          <w:rFonts w:hint="cs"/>
          <w:rtl/>
          <w:lang w:bidi="ar-EG"/>
        </w:rPr>
        <w:t>على</w:t>
      </w:r>
      <w:r w:rsidRPr="00AD31A6">
        <w:rPr>
          <w:rFonts w:hint="cs"/>
          <w:rtl/>
          <w:lang w:bidi="ar-EG"/>
        </w:rPr>
        <w:t xml:space="preserve"> </w:t>
      </w:r>
      <w:r w:rsidR="00AF3FC9">
        <w:rPr>
          <w:rFonts w:hint="cs"/>
          <w:rtl/>
          <w:lang w:bidi="ar-EG"/>
        </w:rPr>
        <w:t>الإصدار</w:t>
      </w:r>
      <w:r w:rsidRPr="00AD31A6">
        <w:rPr>
          <w:rFonts w:hint="cs"/>
          <w:rtl/>
          <w:lang w:bidi="ar-EG"/>
        </w:rPr>
        <w:t xml:space="preserve"> (</w:t>
      </w:r>
      <w:r w:rsidR="00AF3FC9">
        <w:rPr>
          <w:rFonts w:hint="cs"/>
          <w:rtl/>
          <w:lang w:bidi="ar-EG"/>
        </w:rPr>
        <w:t>ال</w:t>
      </w:r>
      <w:r w:rsidR="0048180F">
        <w:rPr>
          <w:rFonts w:hint="cs"/>
          <w:rtl/>
          <w:lang w:bidi="ar-EG"/>
        </w:rPr>
        <w:t>رابع</w:t>
      </w:r>
      <w:r w:rsidR="00AF3FC9">
        <w:rPr>
          <w:rFonts w:hint="cs"/>
          <w:rtl/>
          <w:lang w:bidi="ar-EG"/>
        </w:rPr>
        <w:t xml:space="preserve"> عشر) الحالي</w:t>
      </w:r>
      <w:r w:rsidRPr="00AD31A6">
        <w:rPr>
          <w:rFonts w:hint="cs"/>
          <w:rtl/>
          <w:lang w:bidi="ar-EG"/>
        </w:rPr>
        <w:t xml:space="preserve"> للتصنيف.</w:t>
      </w:r>
    </w:p>
    <w:p w14:paraId="14ABBD85" w14:textId="69F7A147" w:rsidR="0048180F" w:rsidRPr="0048180F" w:rsidRDefault="0048180F" w:rsidP="0048180F">
      <w:pPr>
        <w:pStyle w:val="ONUMA"/>
        <w:ind w:left="566"/>
        <w:rPr>
          <w:rtl/>
          <w:lang w:bidi="ar-EG"/>
        </w:rPr>
      </w:pPr>
      <w:r w:rsidRPr="0048180F">
        <w:rPr>
          <w:rtl/>
          <w:lang w:bidi="ar-EG"/>
        </w:rPr>
        <w:t>ورغم أن التصويت الإلكتروني على مرحلتين في أداة إدارة مراجعة تصنيف لوكارنو (</w:t>
      </w:r>
      <w:r w:rsidRPr="0048180F">
        <w:rPr>
          <w:lang w:bidi="ar-EG"/>
        </w:rPr>
        <w:t>LOCRMS</w:t>
      </w:r>
      <w:r w:rsidRPr="0048180F">
        <w:rPr>
          <w:rtl/>
          <w:lang w:bidi="ar-EG"/>
        </w:rPr>
        <w:t>) كان قيد التجربة في هذه الدورة، فقد وافقت اللجنة بالإجماع على اعتماد جميع ال</w:t>
      </w:r>
      <w:r>
        <w:rPr>
          <w:rFonts w:hint="cs"/>
          <w:rtl/>
          <w:lang w:bidi="ar-EG"/>
        </w:rPr>
        <w:t>ا</w:t>
      </w:r>
      <w:r w:rsidRPr="0048180F">
        <w:rPr>
          <w:rtl/>
          <w:lang w:bidi="ar-EG"/>
        </w:rPr>
        <w:t>قتر</w:t>
      </w:r>
      <w:r>
        <w:rPr>
          <w:rFonts w:hint="cs"/>
          <w:rtl/>
          <w:lang w:bidi="ar-EG"/>
        </w:rPr>
        <w:t>ا</w:t>
      </w:r>
      <w:r w:rsidRPr="0048180F">
        <w:rPr>
          <w:rtl/>
          <w:lang w:bidi="ar-EG"/>
        </w:rPr>
        <w:t>حات المتعلقة بإدخال تغييرات على التصنيف</w:t>
      </w:r>
      <w:r>
        <w:rPr>
          <w:rFonts w:hint="cs"/>
          <w:rtl/>
          <w:lang w:bidi="ar-EG"/>
        </w:rPr>
        <w:t>،</w:t>
      </w:r>
      <w:r w:rsidRPr="0048180F">
        <w:rPr>
          <w:rtl/>
          <w:lang w:bidi="ar-EG"/>
        </w:rPr>
        <w:t xml:space="preserve"> التي وضعت في المجموعة 1 في أداة إدارة مراجعة تصنيف لوكارنو (</w:t>
      </w:r>
      <w:r w:rsidRPr="0048180F">
        <w:rPr>
          <w:lang w:bidi="ar-EG"/>
        </w:rPr>
        <w:t>LOCRMS</w:t>
      </w:r>
      <w:r w:rsidRPr="0048180F">
        <w:rPr>
          <w:rtl/>
          <w:lang w:bidi="ar-EG"/>
        </w:rPr>
        <w:t>) والتي حصلت على دعم أغلبية أربعة أخماس في التصويت</w:t>
      </w:r>
      <w:r w:rsidR="00236B58">
        <w:rPr>
          <w:rFonts w:hint="cs"/>
          <w:rtl/>
          <w:lang w:bidi="ar-EG"/>
        </w:rPr>
        <w:t> </w:t>
      </w:r>
      <w:r w:rsidRPr="0048180F">
        <w:rPr>
          <w:rtl/>
          <w:lang w:bidi="ar-EG"/>
        </w:rPr>
        <w:t>1. ويمكن الاطلاع على قرارات اللجنة في</w:t>
      </w:r>
      <w:r w:rsidR="00236B58">
        <w:rPr>
          <w:rFonts w:hint="cs"/>
          <w:rtl/>
          <w:lang w:bidi="ar-EG"/>
        </w:rPr>
        <w:t xml:space="preserve"> </w:t>
      </w:r>
      <w:hyperlink r:id="rId14" w:history="1">
        <w:r w:rsidR="00236B58" w:rsidRPr="00C44DF3">
          <w:rPr>
            <w:rStyle w:val="Hyperlink"/>
            <w:lang w:bidi="ar-EG"/>
          </w:rPr>
          <w:t>LOCRMS/Sessions/CE16</w:t>
        </w:r>
      </w:hyperlink>
      <w:r w:rsidR="00236B58">
        <w:rPr>
          <w:rFonts w:hint="cs"/>
          <w:rtl/>
          <w:lang w:bidi="ar-EG"/>
        </w:rPr>
        <w:t xml:space="preserve"> </w:t>
      </w:r>
      <w:r w:rsidRPr="0048180F">
        <w:rPr>
          <w:rtl/>
          <w:lang w:bidi="ar-EG"/>
        </w:rPr>
        <w:t xml:space="preserve">(وكذلك في المنتدى الإلكتروني، المشروع </w:t>
      </w:r>
      <w:hyperlink r:id="rId15" w:history="1">
        <w:r w:rsidRPr="00C44DF3">
          <w:rPr>
            <w:rStyle w:val="Hyperlink"/>
            <w:lang w:bidi="ar-EG"/>
          </w:rPr>
          <w:t>LO160</w:t>
        </w:r>
      </w:hyperlink>
      <w:r w:rsidRPr="0048180F">
        <w:rPr>
          <w:rtl/>
          <w:lang w:bidi="ar-EG"/>
        </w:rPr>
        <w:t>).</w:t>
      </w:r>
    </w:p>
    <w:p w14:paraId="2E1915E8" w14:textId="1FA40ED6" w:rsidR="00236B58" w:rsidRPr="00236B58" w:rsidRDefault="00236B58" w:rsidP="00236B58">
      <w:pPr>
        <w:pStyle w:val="ONUMA"/>
        <w:ind w:left="566"/>
        <w:rPr>
          <w:lang w:bidi="ar-EG"/>
        </w:rPr>
      </w:pPr>
      <w:r w:rsidRPr="00236B58">
        <w:rPr>
          <w:rtl/>
          <w:lang w:bidi="ar-EG"/>
        </w:rPr>
        <w:t>وفيما يتعلق بال</w:t>
      </w:r>
      <w:r>
        <w:rPr>
          <w:rFonts w:hint="cs"/>
          <w:rtl/>
          <w:lang w:bidi="ar-EG"/>
        </w:rPr>
        <w:t>ا</w:t>
      </w:r>
      <w:r w:rsidRPr="00236B58">
        <w:rPr>
          <w:rtl/>
          <w:lang w:bidi="ar-EG"/>
        </w:rPr>
        <w:t>قتر</w:t>
      </w:r>
      <w:r>
        <w:rPr>
          <w:rFonts w:hint="cs"/>
          <w:rtl/>
          <w:lang w:bidi="ar-EG"/>
        </w:rPr>
        <w:t>ا</w:t>
      </w:r>
      <w:r w:rsidRPr="00236B58">
        <w:rPr>
          <w:rtl/>
          <w:lang w:bidi="ar-EG"/>
        </w:rPr>
        <w:t>حات المتبقية التي لم تحظ بتأييد كاف في التصويت</w:t>
      </w:r>
      <w:r>
        <w:rPr>
          <w:rFonts w:hint="cs"/>
          <w:rtl/>
          <w:lang w:bidi="ar-EG"/>
        </w:rPr>
        <w:t> </w:t>
      </w:r>
      <w:r w:rsidRPr="00236B58">
        <w:rPr>
          <w:rtl/>
          <w:lang w:bidi="ar-EG"/>
        </w:rPr>
        <w:t>1 والتي وضعت في المجموعة 2 في</w:t>
      </w:r>
      <w:r w:rsidRPr="00236B58">
        <w:rPr>
          <w:lang w:bidi="ar-EG"/>
        </w:rPr>
        <w:t xml:space="preserve"> </w:t>
      </w:r>
      <w:r w:rsidRPr="0048180F">
        <w:rPr>
          <w:rtl/>
          <w:lang w:bidi="ar-EG"/>
        </w:rPr>
        <w:t>أداة إدارة مراجعة تصنيف لوكارنو (</w:t>
      </w:r>
      <w:r w:rsidRPr="0048180F">
        <w:rPr>
          <w:lang w:bidi="ar-EG"/>
        </w:rPr>
        <w:t>LOCRMS</w:t>
      </w:r>
      <w:r w:rsidRPr="0048180F">
        <w:rPr>
          <w:rtl/>
          <w:lang w:bidi="ar-EG"/>
        </w:rPr>
        <w:t>)</w:t>
      </w:r>
      <w:r w:rsidRPr="00236B58">
        <w:rPr>
          <w:rtl/>
          <w:lang w:bidi="ar-EG"/>
        </w:rPr>
        <w:t xml:space="preserve">، اعتمدت اللجنة عددا كبيرا من التعديلات والتغييرات الأخرى على التصنيف. ويمكن الاطلاع على </w:t>
      </w:r>
      <w:r w:rsidRPr="0048180F">
        <w:rPr>
          <w:rtl/>
          <w:lang w:bidi="ar-EG"/>
        </w:rPr>
        <w:t xml:space="preserve">قرارات </w:t>
      </w:r>
      <w:r w:rsidRPr="00236B58">
        <w:rPr>
          <w:rtl/>
          <w:lang w:bidi="ar-EG"/>
        </w:rPr>
        <w:t>اللجنة في</w:t>
      </w:r>
      <w:r>
        <w:rPr>
          <w:rFonts w:hint="cs"/>
          <w:rtl/>
          <w:lang w:bidi="ar-EG"/>
        </w:rPr>
        <w:t xml:space="preserve"> </w:t>
      </w:r>
      <w:hyperlink r:id="rId16" w:history="1">
        <w:r w:rsidR="00C44DF3" w:rsidRPr="00C44DF3">
          <w:rPr>
            <w:rStyle w:val="Hyperlink"/>
            <w:lang w:bidi="ar-EG"/>
          </w:rPr>
          <w:t>LOCRMS/Sessions/CE16</w:t>
        </w:r>
      </w:hyperlink>
      <w:r>
        <w:rPr>
          <w:rFonts w:hint="cs"/>
          <w:rtl/>
          <w:lang w:bidi="ar-EG"/>
        </w:rPr>
        <w:t xml:space="preserve"> (وك</w:t>
      </w:r>
      <w:r w:rsidRPr="00236B58">
        <w:rPr>
          <w:rtl/>
          <w:lang w:bidi="ar-EG"/>
        </w:rPr>
        <w:t>ذلك على المنتدى الإلكتروني، المشروع</w:t>
      </w:r>
      <w:r>
        <w:rPr>
          <w:rFonts w:hint="cs"/>
          <w:rtl/>
          <w:lang w:bidi="ar-EG"/>
        </w:rPr>
        <w:t xml:space="preserve"> </w:t>
      </w:r>
      <w:hyperlink r:id="rId17" w:history="1">
        <w:r w:rsidR="00C44DF3" w:rsidRPr="00C44DF3">
          <w:rPr>
            <w:rStyle w:val="Hyperlink"/>
            <w:lang w:bidi="ar-EG"/>
          </w:rPr>
          <w:t>LO160</w:t>
        </w:r>
      </w:hyperlink>
      <w:r>
        <w:rPr>
          <w:rFonts w:hint="cs"/>
          <w:rtl/>
          <w:lang w:bidi="ar-EG"/>
        </w:rPr>
        <w:t>).</w:t>
      </w:r>
    </w:p>
    <w:p w14:paraId="41822E13" w14:textId="4C4BABBC" w:rsidR="00AD31A6" w:rsidRPr="003E12C0" w:rsidRDefault="00236B58" w:rsidP="007E5EAA">
      <w:pPr>
        <w:pStyle w:val="Heading2"/>
        <w:spacing w:before="0" w:after="220"/>
        <w:rPr>
          <w:rFonts w:ascii="Arial Bold" w:hAnsi="Arial Bold" w:hint="eastAsia"/>
          <w:b/>
          <w:iCs w:val="0"/>
          <w:sz w:val="24"/>
          <w:szCs w:val="24"/>
          <w:rtl/>
          <w:lang w:bidi="ar-EG"/>
        </w:rPr>
      </w:pPr>
      <w:r w:rsidRPr="00236B58">
        <w:rPr>
          <w:rFonts w:ascii="Arial Bold" w:hAnsi="Arial Bold"/>
          <w:b/>
          <w:iCs w:val="0"/>
          <w:sz w:val="24"/>
          <w:szCs w:val="24"/>
          <w:rtl/>
          <w:lang w:bidi="ar-EG"/>
        </w:rPr>
        <w:t>مناقشات بشأن موضوع "التصاميم الافتراضية"</w:t>
      </w:r>
    </w:p>
    <w:p w14:paraId="3AC8C717" w14:textId="51FC43CB" w:rsidR="00236B58" w:rsidRPr="00236B58" w:rsidRDefault="00AD31A6" w:rsidP="00236B58">
      <w:pPr>
        <w:pStyle w:val="ONUMA"/>
        <w:rPr>
          <w:lang w:bidi="ar-EG"/>
        </w:rPr>
      </w:pPr>
      <w:r w:rsidRPr="00AD31A6">
        <w:rPr>
          <w:rtl/>
          <w:lang w:bidi="ar-EG"/>
        </w:rPr>
        <w:t>استندت المناقشات إلى</w:t>
      </w:r>
      <w:r w:rsidR="00236B58">
        <w:rPr>
          <w:rFonts w:hint="cs"/>
          <w:rtl/>
          <w:lang w:bidi="ar-EG"/>
        </w:rPr>
        <w:t xml:space="preserve"> </w:t>
      </w:r>
      <w:r w:rsidR="00236B58" w:rsidRPr="00236B58">
        <w:rPr>
          <w:rtl/>
          <w:lang w:bidi="ar-EG"/>
        </w:rPr>
        <w:t>استندت المناقشات إلى اقتراح قدمته سويسرا بشأن إنشاء فئة فرعية جديدة</w:t>
      </w:r>
      <w:r w:rsidR="00236B58" w:rsidRPr="00236B58">
        <w:rPr>
          <w:lang w:bidi="ar-EG"/>
        </w:rPr>
        <w:t xml:space="preserve"> (Cl. 14-07) </w:t>
      </w:r>
      <w:r w:rsidR="00236B58" w:rsidRPr="00236B58">
        <w:rPr>
          <w:rtl/>
          <w:lang w:bidi="ar-EG"/>
        </w:rPr>
        <w:t>لل</w:t>
      </w:r>
      <w:r w:rsidR="00EB29A1">
        <w:rPr>
          <w:rFonts w:hint="cs"/>
          <w:rtl/>
          <w:lang w:bidi="ar-EG"/>
        </w:rPr>
        <w:t xml:space="preserve">عناصر </w:t>
      </w:r>
      <w:r w:rsidR="00236B58" w:rsidRPr="00236B58">
        <w:rPr>
          <w:rtl/>
          <w:lang w:bidi="ar-EG"/>
        </w:rPr>
        <w:t>الافتراضية، وهو مجال ناشئ حديثا</w:t>
      </w:r>
      <w:r w:rsidR="00EB29A1">
        <w:rPr>
          <w:rFonts w:hint="cs"/>
          <w:rtl/>
          <w:lang w:bidi="ar-EG"/>
        </w:rPr>
        <w:t>ً</w:t>
      </w:r>
      <w:r w:rsidR="00236B58" w:rsidRPr="00236B58">
        <w:rPr>
          <w:rtl/>
          <w:lang w:bidi="ar-EG"/>
        </w:rPr>
        <w:t xml:space="preserve"> في ط</w:t>
      </w:r>
      <w:r w:rsidR="00EB29A1">
        <w:rPr>
          <w:rFonts w:hint="cs"/>
          <w:rtl/>
          <w:lang w:bidi="ar-EG"/>
        </w:rPr>
        <w:t>ل</w:t>
      </w:r>
      <w:r w:rsidR="00236B58" w:rsidRPr="00236B58">
        <w:rPr>
          <w:rtl/>
          <w:lang w:bidi="ar-EG"/>
        </w:rPr>
        <w:t>بات التصاميم</w:t>
      </w:r>
      <w:r w:rsidR="00236B58" w:rsidRPr="00236B58">
        <w:rPr>
          <w:lang w:bidi="ar-EG"/>
        </w:rPr>
        <w:t>.</w:t>
      </w:r>
    </w:p>
    <w:p w14:paraId="11F6FF02" w14:textId="5AC298D9" w:rsidR="00EB29A1" w:rsidRDefault="00EB29A1" w:rsidP="00EB29A1">
      <w:pPr>
        <w:pStyle w:val="ONUMA"/>
        <w:ind w:left="566"/>
        <w:rPr>
          <w:lang w:bidi="ar-EG"/>
        </w:rPr>
      </w:pPr>
      <w:r w:rsidRPr="00EB29A1">
        <w:rPr>
          <w:rtl/>
          <w:lang w:bidi="ar-EG"/>
        </w:rPr>
        <w:t xml:space="preserve">وعلى الرغم من سحب الاقتراح في نهاية المطاف، إلا أنه </w:t>
      </w:r>
      <w:r>
        <w:rPr>
          <w:rFonts w:hint="cs"/>
          <w:rtl/>
          <w:lang w:bidi="ar-EG"/>
        </w:rPr>
        <w:t xml:space="preserve">أتاح </w:t>
      </w:r>
      <w:r w:rsidRPr="00EB29A1">
        <w:rPr>
          <w:rtl/>
          <w:lang w:bidi="ar-EG"/>
        </w:rPr>
        <w:t xml:space="preserve">فرصة مناسبة لتبادل الخبرات والأفكار </w:t>
      </w:r>
      <w:r>
        <w:rPr>
          <w:rFonts w:hint="cs"/>
          <w:rtl/>
          <w:lang w:bidi="ar-EG"/>
        </w:rPr>
        <w:t xml:space="preserve">بشأن </w:t>
      </w:r>
      <w:r w:rsidRPr="00EB29A1">
        <w:rPr>
          <w:rtl/>
          <w:lang w:bidi="ar-EG"/>
        </w:rPr>
        <w:t xml:space="preserve">هذا الموضوع الجديد. </w:t>
      </w:r>
      <w:r>
        <w:rPr>
          <w:rFonts w:hint="cs"/>
          <w:rtl/>
          <w:lang w:bidi="ar-EG"/>
        </w:rPr>
        <w:t>و</w:t>
      </w:r>
      <w:r w:rsidRPr="00EB29A1">
        <w:rPr>
          <w:rtl/>
          <w:lang w:bidi="ar-EG"/>
        </w:rPr>
        <w:t>علاوة على ذلك، خضع الاقتراح لتصويت غير رسمي لمعرفة ما إذا كانت اللجنة ستؤيد إنشاء فئة فرعية جديدة - ولك</w:t>
      </w:r>
      <w:r>
        <w:rPr>
          <w:rFonts w:hint="cs"/>
          <w:rtl/>
          <w:lang w:bidi="ar-EG"/>
        </w:rPr>
        <w:t>ن</w:t>
      </w:r>
      <w:r w:rsidRPr="00EB29A1">
        <w:rPr>
          <w:rtl/>
          <w:lang w:bidi="ar-EG"/>
        </w:rPr>
        <w:t xml:space="preserve">، لم تحظ هذه الفكرة بدعم من اللجنة. ثم طلب المكتب الدولي من اللجنة تقديم تعليقات، أولا، </w:t>
      </w:r>
      <w:r>
        <w:rPr>
          <w:rFonts w:hint="cs"/>
          <w:rtl/>
          <w:lang w:bidi="ar-EG"/>
        </w:rPr>
        <w:t>ع</w:t>
      </w:r>
      <w:r w:rsidRPr="00EB29A1">
        <w:rPr>
          <w:rtl/>
          <w:lang w:bidi="ar-EG"/>
        </w:rPr>
        <w:t xml:space="preserve">ما إذا </w:t>
      </w:r>
      <w:r>
        <w:rPr>
          <w:rFonts w:hint="cs"/>
          <w:rtl/>
          <w:lang w:bidi="ar-EG"/>
        </w:rPr>
        <w:t>الأعضاء ي</w:t>
      </w:r>
      <w:r w:rsidRPr="00EB29A1">
        <w:rPr>
          <w:rtl/>
          <w:lang w:bidi="ar-EG"/>
        </w:rPr>
        <w:t>تلق</w:t>
      </w:r>
      <w:r>
        <w:rPr>
          <w:rFonts w:hint="cs"/>
          <w:rtl/>
          <w:lang w:bidi="ar-EG"/>
        </w:rPr>
        <w:t xml:space="preserve">ون </w:t>
      </w:r>
      <w:r w:rsidRPr="00EB29A1">
        <w:rPr>
          <w:rtl/>
          <w:lang w:bidi="ar-EG"/>
        </w:rPr>
        <w:t>بالفعل طلبات في هذا المجال، وثانيا، معرفة موقفهم الحالي بشأن هذا الموضوع</w:t>
      </w:r>
      <w:r w:rsidRPr="00EB29A1">
        <w:rPr>
          <w:lang w:bidi="ar-EG"/>
        </w:rPr>
        <w:t>.</w:t>
      </w:r>
    </w:p>
    <w:p w14:paraId="766E9CF6" w14:textId="535451D6" w:rsidR="00EB29A1" w:rsidRDefault="00EB29A1" w:rsidP="00DD2129">
      <w:pPr>
        <w:pStyle w:val="ONUMA"/>
      </w:pPr>
      <w:r w:rsidRPr="00657C46">
        <w:rPr>
          <w:rtl/>
        </w:rPr>
        <w:t xml:space="preserve">ولم تتلق غالبية الدول الأعضاء بعد أي طلبات في هذا الصدد. وأشارت إحدى الدول المراقبة إلى أنها تتلقى طلبات، ولكن التشريعات الوطنية لم تلحق بالتكنولوجيا، ولذلك يجب ربط </w:t>
      </w:r>
      <w:r>
        <w:rPr>
          <w:rFonts w:hint="cs"/>
          <w:rtl/>
        </w:rPr>
        <w:t>العنصر ال</w:t>
      </w:r>
      <w:r w:rsidRPr="00657C46">
        <w:rPr>
          <w:rtl/>
        </w:rPr>
        <w:t xml:space="preserve">افتراضي بشاشة عرض ثم تصنيفه في الفئة 14-04. واقترحت بعض الدول الأعضاء أن </w:t>
      </w:r>
      <w:r>
        <w:rPr>
          <w:rFonts w:hint="cs"/>
          <w:rtl/>
        </w:rPr>
        <w:t xml:space="preserve">العناصر </w:t>
      </w:r>
      <w:r w:rsidRPr="00657C46">
        <w:rPr>
          <w:rtl/>
        </w:rPr>
        <w:t xml:space="preserve">الافتراضية يمكن تصنيفها في نفس فئة </w:t>
      </w:r>
      <w:r>
        <w:rPr>
          <w:rFonts w:hint="cs"/>
          <w:rtl/>
        </w:rPr>
        <w:t xml:space="preserve">نظيرها </w:t>
      </w:r>
      <w:r w:rsidRPr="00657C46">
        <w:rPr>
          <w:rtl/>
        </w:rPr>
        <w:t xml:space="preserve">المادي. واقترح </w:t>
      </w:r>
      <w:r>
        <w:rPr>
          <w:rFonts w:hint="cs"/>
          <w:rtl/>
        </w:rPr>
        <w:t>البعض ال</w:t>
      </w:r>
      <w:r w:rsidRPr="00657C46">
        <w:rPr>
          <w:rtl/>
        </w:rPr>
        <w:t xml:space="preserve">آخر تصنيف </w:t>
      </w:r>
      <w:r>
        <w:rPr>
          <w:rFonts w:hint="cs"/>
          <w:rtl/>
        </w:rPr>
        <w:t xml:space="preserve">العناصر </w:t>
      </w:r>
      <w:r w:rsidRPr="00657C46">
        <w:rPr>
          <w:rtl/>
        </w:rPr>
        <w:t xml:space="preserve">الافتراضية في الفئة 14 وكذلك فئة النظير المادي. وأشار المكتب الدولي إلى أن نظام لاهاي أحادي الفئة وبالتالي لن يكون من الممكن قبول </w:t>
      </w:r>
      <w:r>
        <w:rPr>
          <w:rFonts w:hint="cs"/>
          <w:rtl/>
        </w:rPr>
        <w:t xml:space="preserve">سلع </w:t>
      </w:r>
      <w:r w:rsidRPr="00657C46">
        <w:rPr>
          <w:rtl/>
        </w:rPr>
        <w:t>مادي</w:t>
      </w:r>
      <w:r>
        <w:rPr>
          <w:rFonts w:hint="cs"/>
          <w:rtl/>
        </w:rPr>
        <w:t>ة</w:t>
      </w:r>
      <w:r w:rsidRPr="00657C46">
        <w:rPr>
          <w:rtl/>
        </w:rPr>
        <w:t xml:space="preserve"> وافتراضي</w:t>
      </w:r>
      <w:r>
        <w:rPr>
          <w:rFonts w:hint="cs"/>
          <w:rtl/>
        </w:rPr>
        <w:t>ة</w:t>
      </w:r>
      <w:r w:rsidRPr="00657C46">
        <w:rPr>
          <w:rtl/>
        </w:rPr>
        <w:t xml:space="preserve"> في أصناف منفصلة في نفس الطلب. وكانت هناك مخاوف كبيرة بشأن إنشاء تصنيف مزدوج يمكن بموجبه تكرار تصنيف لوكارنو بأكمله تحت الفئة 14 من أجل استيعاب </w:t>
      </w:r>
      <w:r>
        <w:rPr>
          <w:rFonts w:hint="cs"/>
          <w:rtl/>
        </w:rPr>
        <w:t xml:space="preserve">العناصر </w:t>
      </w:r>
      <w:r w:rsidRPr="00657C46">
        <w:rPr>
          <w:rtl/>
        </w:rPr>
        <w:t xml:space="preserve">الافتراضية. وأشارت إحدى الدول الأعضاء إلى أنه </w:t>
      </w:r>
      <w:r>
        <w:rPr>
          <w:rFonts w:hint="cs"/>
          <w:rtl/>
        </w:rPr>
        <w:t xml:space="preserve">في حال </w:t>
      </w:r>
      <w:r w:rsidRPr="00657C46">
        <w:rPr>
          <w:rtl/>
        </w:rPr>
        <w:t xml:space="preserve">تم </w:t>
      </w:r>
      <w:r w:rsidRPr="00657C46">
        <w:rPr>
          <w:rtl/>
        </w:rPr>
        <w:lastRenderedPageBreak/>
        <w:t xml:space="preserve">تصنيف </w:t>
      </w:r>
      <w:r>
        <w:rPr>
          <w:rFonts w:hint="cs"/>
          <w:rtl/>
        </w:rPr>
        <w:t xml:space="preserve">العنصر </w:t>
      </w:r>
      <w:r w:rsidRPr="00657C46">
        <w:rPr>
          <w:rtl/>
        </w:rPr>
        <w:t xml:space="preserve">الافتراضي في نفس فئة السلعة المادية، فقد يتسبب ذلك في تعارض مع قانون حق المؤلف. وبشكل عام، في حين أن اللجنة تدرك </w:t>
      </w:r>
      <w:r w:rsidR="00DD2129">
        <w:rPr>
          <w:rFonts w:hint="cs"/>
          <w:rtl/>
        </w:rPr>
        <w:t xml:space="preserve">عدم </w:t>
      </w:r>
      <w:r w:rsidRPr="00657C46">
        <w:rPr>
          <w:rtl/>
        </w:rPr>
        <w:t>وج</w:t>
      </w:r>
      <w:r w:rsidR="00DD2129">
        <w:rPr>
          <w:rFonts w:hint="cs"/>
          <w:rtl/>
        </w:rPr>
        <w:t>و</w:t>
      </w:r>
      <w:r w:rsidRPr="00657C46">
        <w:rPr>
          <w:rtl/>
        </w:rPr>
        <w:t xml:space="preserve">د توافق في الآراء بشأن هذه المسألة في الوقت الحالي، فإنها ترى أن </w:t>
      </w:r>
      <w:r w:rsidR="00DD2129">
        <w:rPr>
          <w:rFonts w:hint="cs"/>
          <w:rtl/>
        </w:rPr>
        <w:t>من الم</w:t>
      </w:r>
      <w:r w:rsidRPr="00657C46">
        <w:rPr>
          <w:rtl/>
        </w:rPr>
        <w:t>مكن تعديل الملاحظات العامة في المستقبل، من أجل توفير التوجيه للمستخدمين في هذا المجال النامي.</w:t>
      </w:r>
    </w:p>
    <w:p w14:paraId="64D46192" w14:textId="4F68F685" w:rsidR="00DD2129" w:rsidRDefault="00DD2129" w:rsidP="00DD2129">
      <w:pPr>
        <w:pStyle w:val="Heading2"/>
        <w:spacing w:before="0" w:after="220"/>
        <w:rPr>
          <w:rFonts w:ascii="Arial Bold" w:hAnsi="Arial Bold" w:hint="eastAsia"/>
          <w:b/>
          <w:iCs w:val="0"/>
          <w:sz w:val="24"/>
          <w:szCs w:val="24"/>
          <w:rtl/>
          <w:lang w:bidi="ar-EG"/>
        </w:rPr>
      </w:pPr>
      <w:r w:rsidRPr="00DD2129">
        <w:rPr>
          <w:rFonts w:ascii="Arial Bold" w:hAnsi="Arial Bold"/>
          <w:b/>
          <w:iCs w:val="0"/>
          <w:sz w:val="24"/>
          <w:szCs w:val="24"/>
          <w:rtl/>
          <w:lang w:bidi="ar-EG"/>
        </w:rPr>
        <w:t>إجراء المراجعة الجديد بواسطة أداة إدارة مراجعة تصنيف لوكارنو (</w:t>
      </w:r>
      <w:r w:rsidRPr="00DD2129">
        <w:rPr>
          <w:rFonts w:ascii="Arial Bold" w:hAnsi="Arial Bold"/>
          <w:b/>
          <w:iCs w:val="0"/>
          <w:sz w:val="24"/>
          <w:szCs w:val="24"/>
          <w:lang w:bidi="ar-EG"/>
        </w:rPr>
        <w:t>LOCRMS</w:t>
      </w:r>
      <w:r w:rsidRPr="00DD2129">
        <w:rPr>
          <w:rFonts w:ascii="Arial Bold" w:hAnsi="Arial Bold"/>
          <w:b/>
          <w:iCs w:val="0"/>
          <w:sz w:val="24"/>
          <w:szCs w:val="24"/>
          <w:rtl/>
          <w:lang w:bidi="ar-EG"/>
        </w:rPr>
        <w:t>) – إدراج التصويت على مرحلتين</w:t>
      </w:r>
    </w:p>
    <w:p w14:paraId="08C62795" w14:textId="75C38126" w:rsidR="00DD2129" w:rsidRDefault="00DD2129" w:rsidP="00DD2129">
      <w:pPr>
        <w:pStyle w:val="ONUMA"/>
        <w:rPr>
          <w:lang w:bidi="ar-EG"/>
        </w:rPr>
      </w:pPr>
      <w:r w:rsidRPr="00DD2129">
        <w:rPr>
          <w:rtl/>
          <w:lang w:bidi="ar-EG"/>
        </w:rPr>
        <w:t xml:space="preserve">استندت المناقشات إلى المشروع </w:t>
      </w:r>
      <w:hyperlink r:id="rId18" w:history="1">
        <w:r w:rsidRPr="00DD2129">
          <w:rPr>
            <w:rStyle w:val="Hyperlink"/>
            <w:lang w:bidi="ar-EG"/>
          </w:rPr>
          <w:t>LO162</w:t>
        </w:r>
      </w:hyperlink>
      <w:r>
        <w:rPr>
          <w:rFonts w:hint="cs"/>
          <w:rtl/>
          <w:lang w:bidi="ar-EG"/>
        </w:rPr>
        <w:t>،</w:t>
      </w:r>
      <w:r w:rsidRPr="00DD2129">
        <w:rPr>
          <w:rtl/>
          <w:lang w:bidi="ar-EG"/>
        </w:rPr>
        <w:t xml:space="preserve"> </w:t>
      </w:r>
      <w:hyperlink r:id="rId19" w:history="1">
        <w:r w:rsidRPr="00DD2129">
          <w:rPr>
            <w:rStyle w:val="Hyperlink"/>
            <w:rtl/>
            <w:lang w:bidi="ar-EG"/>
          </w:rPr>
          <w:t>الم</w:t>
        </w:r>
        <w:r w:rsidRPr="00DD2129">
          <w:rPr>
            <w:rStyle w:val="Hyperlink"/>
            <w:rFonts w:hint="cs"/>
            <w:rtl/>
            <w:lang w:bidi="ar-EG"/>
          </w:rPr>
          <w:t>رفق</w:t>
        </w:r>
        <w:r w:rsidRPr="00DD2129">
          <w:rPr>
            <w:rStyle w:val="Hyperlink"/>
            <w:rtl/>
            <w:lang w:bidi="ar-EG"/>
          </w:rPr>
          <w:t xml:space="preserve"> 1</w:t>
        </w:r>
      </w:hyperlink>
      <w:r w:rsidRPr="00DD2129">
        <w:rPr>
          <w:rtl/>
          <w:lang w:bidi="ar-EG"/>
        </w:rPr>
        <w:t xml:space="preserve">، فيما يتعلق بإجراء المراجعة الجديد باستخدام </w:t>
      </w:r>
      <w:hyperlink r:id="rId20" w:history="1">
        <w:r w:rsidRPr="00C44DF3">
          <w:rPr>
            <w:rStyle w:val="Hyperlink"/>
            <w:rtl/>
            <w:lang w:bidi="ar-EG"/>
          </w:rPr>
          <w:t>أداة إدارة مراجعة تصنيف لوكارنو (</w:t>
        </w:r>
        <w:r w:rsidRPr="00C44DF3">
          <w:rPr>
            <w:rStyle w:val="Hyperlink"/>
            <w:lang w:bidi="ar-EG"/>
          </w:rPr>
          <w:t>LOCRMS</w:t>
        </w:r>
        <w:r w:rsidRPr="00C44DF3">
          <w:rPr>
            <w:rStyle w:val="Hyperlink"/>
            <w:rtl/>
            <w:lang w:bidi="ar-EG"/>
          </w:rPr>
          <w:t>)</w:t>
        </w:r>
      </w:hyperlink>
      <w:r>
        <w:rPr>
          <w:rFonts w:hint="cs"/>
          <w:rtl/>
          <w:lang w:bidi="ar-EG"/>
        </w:rPr>
        <w:t xml:space="preserve"> </w:t>
      </w:r>
      <w:r w:rsidRPr="00DD2129">
        <w:rPr>
          <w:rtl/>
          <w:lang w:bidi="ar-EG"/>
        </w:rPr>
        <w:t>وإدخال التصويت</w:t>
      </w:r>
      <w:r>
        <w:rPr>
          <w:rFonts w:hint="cs"/>
          <w:rtl/>
          <w:lang w:bidi="ar-EG"/>
        </w:rPr>
        <w:t xml:space="preserve"> على مرحلتين</w:t>
      </w:r>
      <w:r w:rsidRPr="00DD2129">
        <w:rPr>
          <w:rtl/>
          <w:lang w:bidi="ar-EG"/>
        </w:rPr>
        <w:t xml:space="preserve"> </w:t>
      </w:r>
      <w:r>
        <w:rPr>
          <w:rFonts w:hint="cs"/>
          <w:rtl/>
          <w:lang w:bidi="ar-EG"/>
        </w:rPr>
        <w:t xml:space="preserve">(التصويت </w:t>
      </w:r>
      <w:r w:rsidRPr="00DD2129">
        <w:rPr>
          <w:rtl/>
          <w:lang w:bidi="ar-EG"/>
        </w:rPr>
        <w:t>1 و</w:t>
      </w:r>
      <w:r>
        <w:rPr>
          <w:rFonts w:hint="cs"/>
          <w:rtl/>
          <w:lang w:bidi="ar-EG"/>
        </w:rPr>
        <w:t xml:space="preserve">التصويت </w:t>
      </w:r>
      <w:r w:rsidRPr="00DD2129">
        <w:rPr>
          <w:rtl/>
          <w:lang w:bidi="ar-EG"/>
        </w:rPr>
        <w:t>2، المقدم من المكتب الدولي.</w:t>
      </w:r>
    </w:p>
    <w:p w14:paraId="7714F0DE" w14:textId="7314C0C0" w:rsidR="00DD2129" w:rsidRPr="00DD2129" w:rsidRDefault="00DD2129" w:rsidP="00C44DF3">
      <w:pPr>
        <w:pStyle w:val="ONUMA"/>
        <w:ind w:left="566"/>
        <w:rPr>
          <w:lang w:bidi="ar-EG"/>
        </w:rPr>
      </w:pPr>
      <w:r w:rsidRPr="00DD2129">
        <w:rPr>
          <w:rtl/>
          <w:lang w:bidi="ar-EG"/>
        </w:rPr>
        <w:t>وأيدت اللجنة بشدة إجراء المراجعة الجديد ووافقت عليه بالإجماع مع إد</w:t>
      </w:r>
      <w:r>
        <w:rPr>
          <w:rFonts w:hint="cs"/>
          <w:rtl/>
          <w:lang w:bidi="ar-EG"/>
        </w:rPr>
        <w:t xml:space="preserve">راج </w:t>
      </w:r>
      <w:r w:rsidRPr="00DD2129">
        <w:rPr>
          <w:rtl/>
          <w:lang w:bidi="ar-EG"/>
        </w:rPr>
        <w:t>التصويت على مرحلتين، مما سمح بإجراء مناقشة أ</w:t>
      </w:r>
      <w:r w:rsidR="00AC4D89">
        <w:rPr>
          <w:rFonts w:hint="cs"/>
          <w:rtl/>
          <w:lang w:bidi="ar-EG"/>
        </w:rPr>
        <w:t xml:space="preserve">عمق </w:t>
      </w:r>
      <w:r w:rsidRPr="00DD2129">
        <w:rPr>
          <w:rtl/>
          <w:lang w:bidi="ar-EG"/>
        </w:rPr>
        <w:t>لمقترحات المجموعة 2 خلال الاجتماع. واعتبر إد</w:t>
      </w:r>
      <w:r w:rsidR="00AC4D89">
        <w:rPr>
          <w:rFonts w:hint="cs"/>
          <w:rtl/>
          <w:lang w:bidi="ar-EG"/>
        </w:rPr>
        <w:t xml:space="preserve">راج </w:t>
      </w:r>
      <w:r w:rsidR="00AC4D89" w:rsidRPr="00DD2129">
        <w:rPr>
          <w:rtl/>
          <w:lang w:bidi="ar-EG"/>
        </w:rPr>
        <w:t>أداة إدارة مراجعة تصنيف لوكارنو (</w:t>
      </w:r>
      <w:r w:rsidR="00AC4D89" w:rsidRPr="00DD2129">
        <w:rPr>
          <w:lang w:bidi="ar-EG"/>
        </w:rPr>
        <w:t>LOCRMS</w:t>
      </w:r>
      <w:r w:rsidR="00AC4D89" w:rsidRPr="00DD2129">
        <w:rPr>
          <w:rtl/>
          <w:lang w:bidi="ar-EG"/>
        </w:rPr>
        <w:t>)</w:t>
      </w:r>
      <w:r w:rsidR="00AC4D89">
        <w:rPr>
          <w:rFonts w:hint="cs"/>
          <w:rtl/>
          <w:lang w:bidi="ar-EG"/>
        </w:rPr>
        <w:t xml:space="preserve"> ن</w:t>
      </w:r>
      <w:r w:rsidRPr="00DD2129">
        <w:rPr>
          <w:rtl/>
          <w:lang w:bidi="ar-EG"/>
        </w:rPr>
        <w:t>جاحا كبيرا، كونه</w:t>
      </w:r>
      <w:r w:rsidR="00AC4D89">
        <w:rPr>
          <w:rFonts w:hint="cs"/>
          <w:rtl/>
          <w:lang w:bidi="ar-EG"/>
        </w:rPr>
        <w:t>ا</w:t>
      </w:r>
      <w:r w:rsidRPr="00DD2129">
        <w:rPr>
          <w:rtl/>
          <w:lang w:bidi="ar-EG"/>
        </w:rPr>
        <w:t xml:space="preserve"> أداة سهلة الاستعمال للغاية</w:t>
      </w:r>
      <w:r w:rsidR="00AC4D89">
        <w:rPr>
          <w:rFonts w:hint="cs"/>
          <w:rtl/>
          <w:lang w:bidi="ar-EG"/>
        </w:rPr>
        <w:t>،</w:t>
      </w:r>
      <w:r w:rsidRPr="00DD2129">
        <w:rPr>
          <w:rtl/>
          <w:lang w:bidi="ar-EG"/>
        </w:rPr>
        <w:t xml:space="preserve"> </w:t>
      </w:r>
      <w:r w:rsidR="00AC4D89">
        <w:rPr>
          <w:rFonts w:hint="cs"/>
          <w:rtl/>
          <w:lang w:bidi="ar-EG"/>
        </w:rPr>
        <w:t>و</w:t>
      </w:r>
      <w:r w:rsidRPr="00DD2129">
        <w:rPr>
          <w:rtl/>
          <w:lang w:bidi="ar-EG"/>
        </w:rPr>
        <w:t>سمحت للدورة بالمضي قدما بمزيد من الكفاءة. و</w:t>
      </w:r>
      <w:r w:rsidR="00AC4D89">
        <w:rPr>
          <w:rFonts w:hint="cs"/>
          <w:rtl/>
          <w:lang w:bidi="ar-EG"/>
        </w:rPr>
        <w:t xml:space="preserve">أقرّ </w:t>
      </w:r>
      <w:r w:rsidRPr="00DD2129">
        <w:rPr>
          <w:rtl/>
          <w:lang w:bidi="ar-EG"/>
        </w:rPr>
        <w:t xml:space="preserve">أيضا بأن </w:t>
      </w:r>
      <w:r w:rsidR="00AC4D89" w:rsidRPr="00DD2129">
        <w:rPr>
          <w:rtl/>
          <w:lang w:bidi="ar-EG"/>
        </w:rPr>
        <w:t xml:space="preserve">ينظر في المستقبل </w:t>
      </w:r>
      <w:r w:rsidR="00AC4D89">
        <w:rPr>
          <w:rFonts w:hint="cs"/>
          <w:rtl/>
          <w:lang w:bidi="ar-EG"/>
        </w:rPr>
        <w:t xml:space="preserve">في </w:t>
      </w:r>
      <w:r w:rsidRPr="00DD2129">
        <w:rPr>
          <w:rtl/>
          <w:lang w:bidi="ar-EG"/>
        </w:rPr>
        <w:t xml:space="preserve">إدخال مزيد من التحسينات على </w:t>
      </w:r>
      <w:hyperlink r:id="rId21" w:history="1">
        <w:r w:rsidR="00AC4D89" w:rsidRPr="00C44DF3">
          <w:rPr>
            <w:rStyle w:val="Hyperlink"/>
            <w:rtl/>
            <w:lang w:bidi="ar-EG"/>
          </w:rPr>
          <w:t>أداة إدارة مراجعة تصنيف لوكارنو (</w:t>
        </w:r>
        <w:r w:rsidR="00AC4D89" w:rsidRPr="00C44DF3">
          <w:rPr>
            <w:rStyle w:val="Hyperlink"/>
            <w:lang w:bidi="ar-EG"/>
          </w:rPr>
          <w:t>LOCRMS</w:t>
        </w:r>
        <w:r w:rsidR="00AC4D89" w:rsidRPr="00C44DF3">
          <w:rPr>
            <w:rStyle w:val="Hyperlink"/>
            <w:rtl/>
            <w:lang w:bidi="ar-EG"/>
          </w:rPr>
          <w:t>)</w:t>
        </w:r>
      </w:hyperlink>
      <w:r w:rsidRPr="00DD2129">
        <w:rPr>
          <w:rtl/>
          <w:lang w:bidi="ar-EG"/>
        </w:rPr>
        <w:t>. ولك</w:t>
      </w:r>
      <w:r w:rsidR="00AC4D89">
        <w:rPr>
          <w:rFonts w:hint="cs"/>
          <w:rtl/>
          <w:lang w:bidi="ar-EG"/>
        </w:rPr>
        <w:t>ن</w:t>
      </w:r>
      <w:r w:rsidRPr="00DD2129">
        <w:rPr>
          <w:rtl/>
          <w:lang w:bidi="ar-EG"/>
        </w:rPr>
        <w:t>، ذك</w:t>
      </w:r>
      <w:r w:rsidR="00680838">
        <w:rPr>
          <w:rFonts w:hint="cs"/>
          <w:rtl/>
          <w:lang w:bidi="ar-EG"/>
        </w:rPr>
        <w:t>ّ</w:t>
      </w:r>
      <w:r w:rsidRPr="00DD2129">
        <w:rPr>
          <w:rtl/>
          <w:lang w:bidi="ar-EG"/>
        </w:rPr>
        <w:t>ر</w:t>
      </w:r>
      <w:r w:rsidR="00680838">
        <w:rPr>
          <w:rFonts w:hint="cs"/>
          <w:rtl/>
          <w:lang w:bidi="ar-EG"/>
        </w:rPr>
        <w:t xml:space="preserve">ت </w:t>
      </w:r>
      <w:r w:rsidRPr="00DD2129">
        <w:rPr>
          <w:rtl/>
          <w:lang w:bidi="ar-EG"/>
        </w:rPr>
        <w:t>دولة مراقبة اللجنة ب</w:t>
      </w:r>
      <w:r w:rsidR="00680838">
        <w:rPr>
          <w:rFonts w:hint="cs"/>
          <w:rtl/>
          <w:lang w:bidi="ar-EG"/>
        </w:rPr>
        <w:t xml:space="preserve">ضرورة </w:t>
      </w:r>
      <w:r w:rsidRPr="00DD2129">
        <w:rPr>
          <w:rtl/>
          <w:lang w:bidi="ar-EG"/>
        </w:rPr>
        <w:t xml:space="preserve">توخي الحذر بشأن كيفية </w:t>
      </w:r>
      <w:r w:rsidR="00680838">
        <w:rPr>
          <w:rFonts w:hint="cs"/>
          <w:rtl/>
          <w:lang w:bidi="ar-EG"/>
        </w:rPr>
        <w:t>ال</w:t>
      </w:r>
      <w:r w:rsidRPr="00DD2129">
        <w:rPr>
          <w:rtl/>
          <w:lang w:bidi="ar-EG"/>
        </w:rPr>
        <w:t xml:space="preserve">تصويت أثناء التصويت 1، لأن ذلك قد يكون </w:t>
      </w:r>
      <w:r w:rsidR="00680838">
        <w:rPr>
          <w:rFonts w:hint="cs"/>
          <w:rtl/>
          <w:lang w:bidi="ar-EG"/>
        </w:rPr>
        <w:t xml:space="preserve">ذا </w:t>
      </w:r>
      <w:r w:rsidRPr="00DD2129">
        <w:rPr>
          <w:rtl/>
          <w:lang w:bidi="ar-EG"/>
        </w:rPr>
        <w:t xml:space="preserve">تأثير كبير على </w:t>
      </w:r>
      <w:r w:rsidR="00680838">
        <w:rPr>
          <w:rFonts w:hint="cs"/>
          <w:rtl/>
          <w:lang w:bidi="ar-EG"/>
        </w:rPr>
        <w:t xml:space="preserve">ماهية </w:t>
      </w:r>
      <w:r w:rsidRPr="00DD2129">
        <w:rPr>
          <w:rtl/>
          <w:lang w:bidi="ar-EG"/>
        </w:rPr>
        <w:t>ال</w:t>
      </w:r>
      <w:r w:rsidR="00680838">
        <w:rPr>
          <w:rFonts w:hint="cs"/>
          <w:rtl/>
          <w:lang w:bidi="ar-EG"/>
        </w:rPr>
        <w:t>ا</w:t>
      </w:r>
      <w:r w:rsidRPr="00DD2129">
        <w:rPr>
          <w:rtl/>
          <w:lang w:bidi="ar-EG"/>
        </w:rPr>
        <w:t>قتر</w:t>
      </w:r>
      <w:r w:rsidR="00680838">
        <w:rPr>
          <w:rFonts w:hint="cs"/>
          <w:rtl/>
          <w:lang w:bidi="ar-EG"/>
        </w:rPr>
        <w:t>ا</w:t>
      </w:r>
      <w:r w:rsidRPr="00DD2129">
        <w:rPr>
          <w:rtl/>
          <w:lang w:bidi="ar-EG"/>
        </w:rPr>
        <w:t>حات التي توافق عليها اللجنة.</w:t>
      </w:r>
    </w:p>
    <w:p w14:paraId="5275CEDE" w14:textId="77777777" w:rsidR="00AD31A6" w:rsidRPr="003E12C0" w:rsidRDefault="00AD31A6" w:rsidP="00AF3FC9">
      <w:pPr>
        <w:pStyle w:val="Heading2"/>
        <w:spacing w:before="0" w:after="220"/>
        <w:rPr>
          <w:rFonts w:ascii="Arial Bold" w:hAnsi="Arial Bold" w:hint="eastAsia"/>
          <w:b/>
          <w:iCs w:val="0"/>
          <w:sz w:val="24"/>
          <w:szCs w:val="24"/>
          <w:rtl/>
          <w:lang w:bidi="ar-EG"/>
        </w:rPr>
      </w:pPr>
      <w:r w:rsidRPr="003E12C0">
        <w:rPr>
          <w:rFonts w:ascii="Arial Bold" w:hAnsi="Arial Bold" w:hint="cs"/>
          <w:b/>
          <w:iCs w:val="0"/>
          <w:sz w:val="24"/>
          <w:szCs w:val="24"/>
          <w:rtl/>
          <w:lang w:bidi="ar-EG"/>
        </w:rPr>
        <w:t xml:space="preserve">الدورة المقبلة للجنة الخبراء. بدء نفاذ </w:t>
      </w:r>
      <w:r w:rsidR="00AF3FC9">
        <w:rPr>
          <w:rFonts w:ascii="Arial Bold" w:hAnsi="Arial Bold" w:hint="cs"/>
          <w:b/>
          <w:iCs w:val="0"/>
          <w:sz w:val="24"/>
          <w:szCs w:val="24"/>
          <w:rtl/>
          <w:lang w:bidi="ar-EG"/>
        </w:rPr>
        <w:t>الإصدار المقبل</w:t>
      </w:r>
    </w:p>
    <w:p w14:paraId="0C8E0859" w14:textId="62CD9FE7" w:rsidR="00AD31A6" w:rsidRPr="00AD31A6" w:rsidRDefault="00AD31A6" w:rsidP="00B546F4">
      <w:pPr>
        <w:pStyle w:val="ONUMA"/>
        <w:ind w:left="566"/>
        <w:rPr>
          <w:b/>
          <w:bCs/>
          <w:rtl/>
          <w:lang w:bidi="ar-EG"/>
        </w:rPr>
      </w:pPr>
      <w:r w:rsidRPr="00AD31A6">
        <w:rPr>
          <w:rFonts w:hint="cs"/>
          <w:rtl/>
          <w:lang w:bidi="ar-EG"/>
        </w:rPr>
        <w:t>اتفقت اللجنة على أن تُعقد الدورة التالية (</w:t>
      </w:r>
      <w:r w:rsidR="00B546F4">
        <w:rPr>
          <w:rFonts w:hint="cs"/>
          <w:rtl/>
          <w:lang w:bidi="ar-EG"/>
        </w:rPr>
        <w:t>السا</w:t>
      </w:r>
      <w:r w:rsidR="00680838">
        <w:rPr>
          <w:rFonts w:hint="cs"/>
          <w:rtl/>
          <w:lang w:bidi="ar-EG"/>
        </w:rPr>
        <w:t>بع</w:t>
      </w:r>
      <w:r w:rsidR="00B546F4">
        <w:rPr>
          <w:rFonts w:hint="cs"/>
          <w:rtl/>
          <w:lang w:bidi="ar-EG"/>
        </w:rPr>
        <w:t>ة</w:t>
      </w:r>
      <w:r w:rsidRPr="00AD31A6">
        <w:rPr>
          <w:rFonts w:hint="cs"/>
          <w:rtl/>
          <w:lang w:bidi="ar-EG"/>
        </w:rPr>
        <w:t xml:space="preserve"> عشرة) في جنيف في </w:t>
      </w:r>
      <w:r w:rsidR="00680838">
        <w:rPr>
          <w:rFonts w:hint="cs"/>
          <w:rtl/>
          <w:lang w:bidi="ar-EG"/>
        </w:rPr>
        <w:t>خريف 2025</w:t>
      </w:r>
      <w:r w:rsidR="00B546F4">
        <w:rPr>
          <w:rFonts w:hint="cs"/>
          <w:rtl/>
          <w:lang w:bidi="ar-EG"/>
        </w:rPr>
        <w:t>، رهناً بالجدول الزمني لاجتماعات لجان الويبو الرئيسية</w:t>
      </w:r>
      <w:r w:rsidRPr="00AD31A6">
        <w:rPr>
          <w:rFonts w:hint="cs"/>
          <w:rtl/>
          <w:lang w:bidi="ar-EG"/>
        </w:rPr>
        <w:t>.</w:t>
      </w:r>
    </w:p>
    <w:p w14:paraId="3FE2EED0" w14:textId="58BB8FF2" w:rsidR="00AD31A6" w:rsidRPr="00AD31A6" w:rsidRDefault="00AD31A6" w:rsidP="00AF3FC9">
      <w:pPr>
        <w:pStyle w:val="ONUMA"/>
        <w:rPr>
          <w:rtl/>
          <w:lang w:bidi="ar-EG"/>
        </w:rPr>
      </w:pPr>
      <w:r w:rsidRPr="00AD31A6">
        <w:rPr>
          <w:rFonts w:hint="cs"/>
          <w:rtl/>
          <w:lang w:bidi="ar-EG"/>
        </w:rPr>
        <w:t xml:space="preserve">وأشارت اللجنة إلى أن المكتب الدولي سيعدّ </w:t>
      </w:r>
      <w:r w:rsidR="00AF3FC9">
        <w:rPr>
          <w:rFonts w:hint="cs"/>
          <w:rtl/>
          <w:lang w:bidi="ar-EG"/>
        </w:rPr>
        <w:t>الإصدار</w:t>
      </w:r>
      <w:r w:rsidRPr="00AD31A6">
        <w:rPr>
          <w:rFonts w:hint="cs"/>
          <w:rtl/>
          <w:lang w:bidi="ar-EG"/>
        </w:rPr>
        <w:t xml:space="preserve"> (</w:t>
      </w:r>
      <w:r w:rsidR="00AF3FC9">
        <w:rPr>
          <w:rFonts w:hint="cs"/>
          <w:rtl/>
          <w:lang w:bidi="ar-EG"/>
        </w:rPr>
        <w:t>ال</w:t>
      </w:r>
      <w:r w:rsidR="00680838">
        <w:rPr>
          <w:rFonts w:hint="cs"/>
          <w:rtl/>
          <w:lang w:bidi="ar-EG"/>
        </w:rPr>
        <w:t xml:space="preserve">خامس </w:t>
      </w:r>
      <w:r w:rsidR="00AF3FC9">
        <w:rPr>
          <w:rFonts w:hint="cs"/>
          <w:rtl/>
          <w:lang w:bidi="ar-EG"/>
        </w:rPr>
        <w:t>عشر) الجديد</w:t>
      </w:r>
      <w:r w:rsidRPr="00AD31A6">
        <w:rPr>
          <w:rFonts w:hint="cs"/>
          <w:rtl/>
          <w:lang w:bidi="ar-EG"/>
        </w:rPr>
        <w:t xml:space="preserve"> من التصنيف باللغتين الإنكليزية والفرنسية وينشرها على الإنترنت في </w:t>
      </w:r>
      <w:r w:rsidR="00B546F4">
        <w:rPr>
          <w:rFonts w:hint="cs"/>
          <w:rtl/>
          <w:lang w:bidi="ar-EG"/>
        </w:rPr>
        <w:t>يونيو</w:t>
      </w:r>
      <w:r w:rsidRPr="00AD31A6">
        <w:rPr>
          <w:rFonts w:hint="cs"/>
          <w:rtl/>
          <w:lang w:bidi="ar-EG"/>
        </w:rPr>
        <w:t xml:space="preserve"> </w:t>
      </w:r>
      <w:r w:rsidR="00680838">
        <w:rPr>
          <w:rFonts w:hint="cs"/>
          <w:rtl/>
          <w:lang w:bidi="ar-EG"/>
        </w:rPr>
        <w:t>2024</w:t>
      </w:r>
      <w:r w:rsidRPr="00AD31A6">
        <w:rPr>
          <w:rFonts w:hint="cs"/>
          <w:rtl/>
          <w:lang w:bidi="ar-EG"/>
        </w:rPr>
        <w:t xml:space="preserve">، وأن الإخطار ببدء النفاذ سيُرسل بحلول نهاية شهر يونيو </w:t>
      </w:r>
      <w:r w:rsidR="00680838">
        <w:rPr>
          <w:rFonts w:hint="cs"/>
          <w:rtl/>
          <w:lang w:bidi="ar-EG"/>
        </w:rPr>
        <w:t>2024</w:t>
      </w:r>
      <w:r w:rsidRPr="00AD31A6">
        <w:rPr>
          <w:rFonts w:hint="cs"/>
          <w:rtl/>
          <w:lang w:bidi="ar-EG"/>
        </w:rPr>
        <w:t>.</w:t>
      </w:r>
    </w:p>
    <w:p w14:paraId="7FF0690A" w14:textId="3ACB4B03" w:rsidR="003E12C0" w:rsidRDefault="00AD31A6" w:rsidP="00B546F4">
      <w:pPr>
        <w:pStyle w:val="ONUMA"/>
        <w:ind w:left="566"/>
        <w:rPr>
          <w:rtl/>
          <w:lang w:bidi="ar-EG"/>
        </w:rPr>
      </w:pPr>
      <w:r w:rsidRPr="00AD31A6">
        <w:rPr>
          <w:rFonts w:hint="cs"/>
          <w:rtl/>
          <w:lang w:bidi="ar-EG"/>
        </w:rPr>
        <w:t>واتفقت اللجنة على أن تدخل ال</w:t>
      </w:r>
      <w:r w:rsidR="00AF3FC9">
        <w:rPr>
          <w:rFonts w:hint="cs"/>
          <w:rtl/>
          <w:lang w:bidi="ar-EG"/>
        </w:rPr>
        <w:t>تعديلات والإضافات الخاصة بالإصدار</w:t>
      </w:r>
      <w:r w:rsidRPr="00AD31A6">
        <w:rPr>
          <w:rFonts w:hint="cs"/>
          <w:rtl/>
          <w:lang w:bidi="ar-EG"/>
        </w:rPr>
        <w:t xml:space="preserve"> </w:t>
      </w:r>
      <w:r w:rsidR="00AF3FC9">
        <w:rPr>
          <w:rFonts w:hint="cs"/>
          <w:rtl/>
          <w:lang w:bidi="ar-EG"/>
        </w:rPr>
        <w:t>ال</w:t>
      </w:r>
      <w:r w:rsidR="00680838">
        <w:rPr>
          <w:rFonts w:hint="cs"/>
          <w:rtl/>
          <w:lang w:bidi="ar-EG"/>
        </w:rPr>
        <w:t>ر</w:t>
      </w:r>
      <w:r w:rsidR="00AF3FC9">
        <w:rPr>
          <w:rFonts w:hint="cs"/>
          <w:rtl/>
          <w:lang w:bidi="ar-EG"/>
        </w:rPr>
        <w:t>ا</w:t>
      </w:r>
      <w:r w:rsidR="00680838">
        <w:rPr>
          <w:rFonts w:hint="cs"/>
          <w:rtl/>
          <w:lang w:bidi="ar-EG"/>
        </w:rPr>
        <w:t>بع</w:t>
      </w:r>
      <w:r w:rsidR="00AF3FC9">
        <w:rPr>
          <w:rFonts w:hint="cs"/>
          <w:rtl/>
          <w:lang w:bidi="ar-EG"/>
        </w:rPr>
        <w:t xml:space="preserve"> عشر </w:t>
      </w:r>
      <w:r w:rsidRPr="00AD31A6">
        <w:rPr>
          <w:rFonts w:hint="cs"/>
          <w:rtl/>
          <w:lang w:bidi="ar-EG"/>
        </w:rPr>
        <w:t>من التصنيف حيز النفاذ في 1</w:t>
      </w:r>
      <w:r w:rsidR="00B546F4">
        <w:rPr>
          <w:rFonts w:hint="eastAsia"/>
          <w:rtl/>
          <w:lang w:bidi="ar-EG"/>
        </w:rPr>
        <w:t> </w:t>
      </w:r>
      <w:r w:rsidRPr="00AD31A6">
        <w:rPr>
          <w:rFonts w:hint="cs"/>
          <w:rtl/>
          <w:lang w:bidi="ar-EG"/>
        </w:rPr>
        <w:t>يناير</w:t>
      </w:r>
      <w:r w:rsidR="00B546F4">
        <w:rPr>
          <w:rFonts w:hint="eastAsia"/>
          <w:rtl/>
          <w:lang w:bidi="ar-EG"/>
        </w:rPr>
        <w:t> </w:t>
      </w:r>
      <w:r w:rsidR="00B546F4">
        <w:rPr>
          <w:rFonts w:hint="cs"/>
          <w:rtl/>
          <w:lang w:bidi="ar-EG"/>
        </w:rPr>
        <w:t>202</w:t>
      </w:r>
      <w:r w:rsidR="00680838">
        <w:rPr>
          <w:rFonts w:hint="cs"/>
          <w:rtl/>
          <w:lang w:bidi="ar-EG"/>
        </w:rPr>
        <w:t>5</w:t>
      </w:r>
      <w:r w:rsidRPr="00AD31A6">
        <w:rPr>
          <w:rFonts w:hint="cs"/>
          <w:rtl/>
          <w:lang w:bidi="ar-EG"/>
        </w:rPr>
        <w:t>.</w:t>
      </w:r>
    </w:p>
    <w:p w14:paraId="6036249B" w14:textId="77777777" w:rsidR="00AD31A6" w:rsidRPr="003E12C0" w:rsidRDefault="00AD31A6" w:rsidP="003E12C0">
      <w:pPr>
        <w:pStyle w:val="Heading2"/>
        <w:spacing w:before="0" w:after="220"/>
        <w:rPr>
          <w:rFonts w:ascii="Arial Bold" w:hAnsi="Arial Bold" w:hint="eastAsia"/>
          <w:b/>
          <w:iCs w:val="0"/>
          <w:sz w:val="24"/>
          <w:szCs w:val="24"/>
          <w:rtl/>
          <w:lang w:bidi="ar-EG"/>
        </w:rPr>
      </w:pPr>
      <w:r w:rsidRPr="003E12C0">
        <w:rPr>
          <w:rFonts w:ascii="Arial Bold" w:hAnsi="Arial Bold" w:hint="cs"/>
          <w:b/>
          <w:iCs w:val="0"/>
          <w:sz w:val="24"/>
          <w:szCs w:val="24"/>
          <w:rtl/>
          <w:lang w:bidi="ar-EG"/>
        </w:rPr>
        <w:t>اختتام الدورة</w:t>
      </w:r>
    </w:p>
    <w:p w14:paraId="18273ACF" w14:textId="77777777" w:rsidR="00AD31A6" w:rsidRPr="00AD31A6" w:rsidRDefault="00AD31A6" w:rsidP="00576430">
      <w:pPr>
        <w:pStyle w:val="ONUMA"/>
        <w:rPr>
          <w:rtl/>
          <w:lang w:bidi="ar-EG"/>
        </w:rPr>
      </w:pPr>
      <w:r w:rsidRPr="00AD31A6">
        <w:rPr>
          <w:rFonts w:hint="cs"/>
          <w:rtl/>
          <w:lang w:bidi="ar-EG"/>
        </w:rPr>
        <w:t>اختتم الرئيس الدورة.</w:t>
      </w:r>
    </w:p>
    <w:p w14:paraId="3407CB47" w14:textId="4961EB75" w:rsidR="00AD31A6" w:rsidRPr="00C44DF3" w:rsidRDefault="00770E87" w:rsidP="00C44DF3">
      <w:pPr>
        <w:pStyle w:val="ONUMA"/>
        <w:ind w:left="5530"/>
        <w:rPr>
          <w:i/>
          <w:iCs/>
          <w:rtl/>
          <w:lang w:bidi="ar-EG"/>
        </w:rPr>
      </w:pPr>
      <w:r w:rsidRPr="00C44DF3">
        <w:rPr>
          <w:rFonts w:hint="cs"/>
          <w:i/>
          <w:iCs/>
          <w:rtl/>
          <w:lang w:bidi="ar-EG"/>
        </w:rPr>
        <w:t>و</w:t>
      </w:r>
      <w:r w:rsidR="00AD31A6" w:rsidRPr="00C44DF3">
        <w:rPr>
          <w:rFonts w:hint="cs"/>
          <w:i/>
          <w:iCs/>
          <w:rtl/>
          <w:lang w:bidi="ar-EG"/>
        </w:rPr>
        <w:t>اعتمدت لجنة الخبراء هذا التقرير بالإجماع وبالوسائل الإلكترونية في</w:t>
      </w:r>
      <w:r w:rsidR="00AD31A6" w:rsidRPr="00C44DF3">
        <w:rPr>
          <w:rFonts w:hint="eastAsia"/>
          <w:i/>
          <w:iCs/>
          <w:rtl/>
          <w:lang w:bidi="ar-EG"/>
        </w:rPr>
        <w:t> </w:t>
      </w:r>
      <w:r w:rsidR="00680838" w:rsidRPr="00C44DF3">
        <w:rPr>
          <w:rFonts w:hint="cs"/>
          <w:i/>
          <w:iCs/>
          <w:rtl/>
          <w:lang w:bidi="ar-EG"/>
        </w:rPr>
        <w:t>9</w:t>
      </w:r>
      <w:r w:rsidR="00AD31A6" w:rsidRPr="00C44DF3">
        <w:rPr>
          <w:rFonts w:hint="eastAsia"/>
          <w:i/>
          <w:iCs/>
          <w:rtl/>
          <w:lang w:bidi="ar-EG"/>
        </w:rPr>
        <w:t> </w:t>
      </w:r>
      <w:r w:rsidR="00680838" w:rsidRPr="00C44DF3">
        <w:rPr>
          <w:rFonts w:hint="cs"/>
          <w:i/>
          <w:iCs/>
          <w:rtl/>
          <w:lang w:bidi="ar-EG"/>
        </w:rPr>
        <w:t>نوفمبر</w:t>
      </w:r>
      <w:r w:rsidR="00AD31A6" w:rsidRPr="00C44DF3">
        <w:rPr>
          <w:rFonts w:hint="eastAsia"/>
          <w:i/>
          <w:iCs/>
          <w:rtl/>
          <w:lang w:bidi="ar-EG"/>
        </w:rPr>
        <w:t> </w:t>
      </w:r>
      <w:r w:rsidR="003E12C0" w:rsidRPr="00C44DF3">
        <w:rPr>
          <w:rFonts w:hint="cs"/>
          <w:i/>
          <w:iCs/>
          <w:rtl/>
          <w:lang w:bidi="ar-EG"/>
        </w:rPr>
        <w:t>202</w:t>
      </w:r>
      <w:r w:rsidR="00680838" w:rsidRPr="00C44DF3">
        <w:rPr>
          <w:rFonts w:hint="cs"/>
          <w:i/>
          <w:iCs/>
          <w:rtl/>
          <w:lang w:bidi="ar-EG"/>
        </w:rPr>
        <w:t>3</w:t>
      </w:r>
      <w:r w:rsidR="00AD31A6" w:rsidRPr="00C44DF3">
        <w:rPr>
          <w:rFonts w:hint="cs"/>
          <w:i/>
          <w:iCs/>
          <w:rtl/>
          <w:lang w:bidi="ar-EG"/>
        </w:rPr>
        <w:t>.</w:t>
      </w:r>
    </w:p>
    <w:p w14:paraId="2A0E1F7D" w14:textId="77777777" w:rsidR="00AD31A6" w:rsidRPr="00AD31A6" w:rsidRDefault="00AD31A6" w:rsidP="003E12C0">
      <w:pPr>
        <w:pStyle w:val="Endofdocument-Annex"/>
        <w:spacing w:after="220"/>
        <w:rPr>
          <w:lang w:val="en-GB"/>
        </w:rPr>
      </w:pPr>
      <w:r w:rsidRPr="00AD31A6">
        <w:rPr>
          <w:rFonts w:hint="cs"/>
          <w:rtl/>
          <w:lang w:bidi="ar-EG"/>
        </w:rPr>
        <w:t>[تلي ذلك المرفقات]</w:t>
      </w:r>
    </w:p>
    <w:sectPr w:rsidR="00AD31A6" w:rsidRPr="00AD31A6" w:rsidSect="002626D4">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1344" w14:textId="77777777" w:rsidR="00635470" w:rsidRDefault="00635470">
      <w:r>
        <w:separator/>
      </w:r>
    </w:p>
  </w:endnote>
  <w:endnote w:type="continuationSeparator" w:id="0">
    <w:p w14:paraId="3170D4CB" w14:textId="77777777" w:rsidR="00635470" w:rsidRDefault="00635470" w:rsidP="003B38C1">
      <w:r>
        <w:separator/>
      </w:r>
    </w:p>
    <w:p w14:paraId="50A04670" w14:textId="77777777" w:rsidR="00635470" w:rsidRPr="003B38C1" w:rsidRDefault="00635470" w:rsidP="003B38C1">
      <w:pPr>
        <w:spacing w:after="60"/>
        <w:rPr>
          <w:sz w:val="17"/>
        </w:rPr>
      </w:pPr>
      <w:r>
        <w:rPr>
          <w:sz w:val="17"/>
        </w:rPr>
        <w:t>[Endnote continued from previous page]</w:t>
      </w:r>
    </w:p>
  </w:endnote>
  <w:endnote w:type="continuationNotice" w:id="1">
    <w:p w14:paraId="375EB23E" w14:textId="77777777" w:rsidR="00635470" w:rsidRPr="003B38C1" w:rsidRDefault="0063547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altName w:val="Courier New"/>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A563" w14:textId="77777777" w:rsidR="00A85497" w:rsidRDefault="00A8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B1AA" w14:textId="04FF1B48" w:rsidR="00680838" w:rsidRDefault="00680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113E" w14:textId="0BF30478" w:rsidR="00680838" w:rsidRDefault="0068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A173" w14:textId="77777777" w:rsidR="00635470" w:rsidRDefault="00635470">
      <w:r>
        <w:separator/>
      </w:r>
    </w:p>
  </w:footnote>
  <w:footnote w:type="continuationSeparator" w:id="0">
    <w:p w14:paraId="634FA501" w14:textId="77777777" w:rsidR="00635470" w:rsidRDefault="00635470" w:rsidP="008B60B2">
      <w:r>
        <w:separator/>
      </w:r>
    </w:p>
    <w:p w14:paraId="0179F8B3" w14:textId="77777777" w:rsidR="00635470" w:rsidRPr="00ED77FB" w:rsidRDefault="00635470" w:rsidP="008B60B2">
      <w:pPr>
        <w:spacing w:after="60"/>
        <w:rPr>
          <w:sz w:val="17"/>
          <w:szCs w:val="17"/>
        </w:rPr>
      </w:pPr>
      <w:r w:rsidRPr="00ED77FB">
        <w:rPr>
          <w:sz w:val="17"/>
          <w:szCs w:val="17"/>
        </w:rPr>
        <w:t>[Footnote continued from previous page]</w:t>
      </w:r>
    </w:p>
  </w:footnote>
  <w:footnote w:type="continuationNotice" w:id="1">
    <w:p w14:paraId="12F3AFC6" w14:textId="77777777" w:rsidR="00635470" w:rsidRPr="00ED77FB" w:rsidRDefault="0063547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94D0" w14:textId="77777777" w:rsidR="00A85497" w:rsidRDefault="00A8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3C1B" w14:textId="239BA9A2" w:rsidR="0023746A" w:rsidRDefault="007F6E4C" w:rsidP="009D7410">
    <w:pPr>
      <w:pStyle w:val="Header"/>
      <w:bidi w:val="0"/>
    </w:pPr>
    <w:r>
      <w:t>CEL</w:t>
    </w:r>
    <w:r w:rsidR="009D7410" w:rsidRPr="009D7410">
      <w:t>/</w:t>
    </w:r>
    <w:r>
      <w:t>16</w:t>
    </w:r>
    <w:r w:rsidR="0023746A">
      <w:t>/</w:t>
    </w:r>
    <w:r w:rsidR="00576430">
      <w:t>2</w:t>
    </w:r>
  </w:p>
  <w:p w14:paraId="149E7F60" w14:textId="77777777" w:rsidR="009D7410" w:rsidRDefault="002626D4" w:rsidP="009D7410">
    <w:pPr>
      <w:pStyle w:val="Header"/>
      <w:bidi w:val="0"/>
    </w:pPr>
    <w:r>
      <w:fldChar w:fldCharType="begin"/>
    </w:r>
    <w:r>
      <w:instrText xml:space="preserve"> PAGE   \* MERGEFORMAT </w:instrText>
    </w:r>
    <w:r>
      <w:fldChar w:fldCharType="separate"/>
    </w:r>
    <w:r w:rsidR="003D1422">
      <w:rPr>
        <w:noProof/>
      </w:rPr>
      <w:t>3</w:t>
    </w:r>
    <w:r>
      <w:rPr>
        <w:noProof/>
      </w:rPr>
      <w:fldChar w:fldCharType="end"/>
    </w:r>
  </w:p>
  <w:p w14:paraId="1F8935C2" w14:textId="77777777" w:rsidR="002626D4" w:rsidRDefault="002626D4" w:rsidP="002626D4">
    <w:pPr>
      <w:pStyle w:val="Header"/>
      <w:bidi w:val="0"/>
    </w:pPr>
  </w:p>
  <w:p w14:paraId="6DE00993" w14:textId="77777777" w:rsidR="009D7410" w:rsidRDefault="009D7410" w:rsidP="009D7410">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D18B" w14:textId="77777777" w:rsidR="00A85497" w:rsidRDefault="00A8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6D07D42"/>
    <w:multiLevelType w:val="hybridMultilevel"/>
    <w:tmpl w:val="2658685C"/>
    <w:lvl w:ilvl="0" w:tplc="B4940AA8">
      <w:start w:val="11"/>
      <w:numFmt w:val="decimalFullWidth"/>
      <w:lvlText w:val="%1."/>
      <w:lvlJc w:val="left"/>
      <w:pPr>
        <w:ind w:left="1270" w:hanging="360"/>
      </w:pPr>
      <w:rPr>
        <w:rFonts w:hint="default"/>
      </w:rPr>
    </w:lvl>
    <w:lvl w:ilvl="1" w:tplc="04090019" w:tentative="1">
      <w:start w:val="1"/>
      <w:numFmt w:val="arabicAlpha"/>
      <w:lvlText w:val="%2."/>
      <w:lvlJc w:val="left"/>
      <w:pPr>
        <w:ind w:left="1990" w:hanging="360"/>
      </w:pPr>
    </w:lvl>
    <w:lvl w:ilvl="2" w:tplc="0409001B" w:tentative="1">
      <w:start w:val="1"/>
      <w:numFmt w:val="arabicAbjad"/>
      <w:lvlText w:val="%3."/>
      <w:lvlJc w:val="right"/>
      <w:pPr>
        <w:ind w:left="2710" w:hanging="180"/>
      </w:pPr>
    </w:lvl>
    <w:lvl w:ilvl="3" w:tplc="0409000F" w:tentative="1">
      <w:start w:val="1"/>
      <w:numFmt w:val="decimalFullWidth"/>
      <w:lvlText w:val="%4."/>
      <w:lvlJc w:val="left"/>
      <w:pPr>
        <w:ind w:left="3430" w:hanging="360"/>
      </w:pPr>
    </w:lvl>
    <w:lvl w:ilvl="4" w:tplc="04090019" w:tentative="1">
      <w:start w:val="1"/>
      <w:numFmt w:val="arabicAlpha"/>
      <w:lvlText w:val="%5."/>
      <w:lvlJc w:val="left"/>
      <w:pPr>
        <w:ind w:left="4150" w:hanging="360"/>
      </w:pPr>
    </w:lvl>
    <w:lvl w:ilvl="5" w:tplc="0409001B" w:tentative="1">
      <w:start w:val="1"/>
      <w:numFmt w:val="arabicAbjad"/>
      <w:lvlText w:val="%6."/>
      <w:lvlJc w:val="right"/>
      <w:pPr>
        <w:ind w:left="4870" w:hanging="180"/>
      </w:pPr>
    </w:lvl>
    <w:lvl w:ilvl="6" w:tplc="0409000F" w:tentative="1">
      <w:start w:val="1"/>
      <w:numFmt w:val="decimalFullWidth"/>
      <w:lvlText w:val="%7."/>
      <w:lvlJc w:val="left"/>
      <w:pPr>
        <w:ind w:left="5590" w:hanging="360"/>
      </w:pPr>
    </w:lvl>
    <w:lvl w:ilvl="7" w:tplc="04090019" w:tentative="1">
      <w:start w:val="1"/>
      <w:numFmt w:val="arabicAlpha"/>
      <w:lvlText w:val="%8."/>
      <w:lvlJc w:val="left"/>
      <w:pPr>
        <w:ind w:left="6310" w:hanging="360"/>
      </w:pPr>
    </w:lvl>
    <w:lvl w:ilvl="8" w:tplc="0409001B" w:tentative="1">
      <w:start w:val="1"/>
      <w:numFmt w:val="arabicAbjad"/>
      <w:lvlText w:val="%9."/>
      <w:lvlJc w:val="right"/>
      <w:pPr>
        <w:ind w:left="7030" w:hanging="180"/>
      </w:pPr>
    </w:lvl>
  </w:abstractNum>
  <w:abstractNum w:abstractNumId="3"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457602710">
    <w:abstractNumId w:val="4"/>
  </w:num>
  <w:num w:numId="2" w16cid:durableId="494881208">
    <w:abstractNumId w:val="0"/>
  </w:num>
  <w:num w:numId="3" w16cid:durableId="1656496635">
    <w:abstractNumId w:val="1"/>
  </w:num>
  <w:num w:numId="4" w16cid:durableId="1716587393">
    <w:abstractNumId w:val="5"/>
  </w:num>
  <w:num w:numId="5" w16cid:durableId="446196761">
    <w:abstractNumId w:val="3"/>
  </w:num>
  <w:num w:numId="6" w16cid:durableId="1106509907">
    <w:abstractNumId w:val="5"/>
  </w:num>
  <w:num w:numId="7" w16cid:durableId="1815371974">
    <w:abstractNumId w:val="5"/>
  </w:num>
  <w:num w:numId="8" w16cid:durableId="1310132784">
    <w:abstractNumId w:val="5"/>
  </w:num>
  <w:num w:numId="9" w16cid:durableId="1239055282">
    <w:abstractNumId w:val="2"/>
  </w:num>
  <w:num w:numId="10" w16cid:durableId="1101607173">
    <w:abstractNumId w:val="5"/>
  </w:num>
  <w:num w:numId="11" w16cid:durableId="20707614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A6"/>
    <w:rsid w:val="00037034"/>
    <w:rsid w:val="000372F5"/>
    <w:rsid w:val="00043CAA"/>
    <w:rsid w:val="00056816"/>
    <w:rsid w:val="00075432"/>
    <w:rsid w:val="00086095"/>
    <w:rsid w:val="000968ED"/>
    <w:rsid w:val="000A3D97"/>
    <w:rsid w:val="000A6503"/>
    <w:rsid w:val="000A743E"/>
    <w:rsid w:val="000C5CFF"/>
    <w:rsid w:val="000F2BE7"/>
    <w:rsid w:val="000F5AE5"/>
    <w:rsid w:val="000F5E56"/>
    <w:rsid w:val="001362EE"/>
    <w:rsid w:val="001406E1"/>
    <w:rsid w:val="00155D8A"/>
    <w:rsid w:val="0016365D"/>
    <w:rsid w:val="001647D5"/>
    <w:rsid w:val="00167832"/>
    <w:rsid w:val="001832A6"/>
    <w:rsid w:val="00194184"/>
    <w:rsid w:val="0019592A"/>
    <w:rsid w:val="001A3648"/>
    <w:rsid w:val="001D4107"/>
    <w:rsid w:val="001E30F1"/>
    <w:rsid w:val="001E69E3"/>
    <w:rsid w:val="0020161B"/>
    <w:rsid w:val="00203D24"/>
    <w:rsid w:val="00210D5F"/>
    <w:rsid w:val="0021217E"/>
    <w:rsid w:val="00221A98"/>
    <w:rsid w:val="002253C1"/>
    <w:rsid w:val="002276D9"/>
    <w:rsid w:val="002326AB"/>
    <w:rsid w:val="0023454F"/>
    <w:rsid w:val="00236B58"/>
    <w:rsid w:val="0023746A"/>
    <w:rsid w:val="00241647"/>
    <w:rsid w:val="00243430"/>
    <w:rsid w:val="00250149"/>
    <w:rsid w:val="002626D4"/>
    <w:rsid w:val="002634C4"/>
    <w:rsid w:val="002751BB"/>
    <w:rsid w:val="00276CA2"/>
    <w:rsid w:val="002778D8"/>
    <w:rsid w:val="002928D3"/>
    <w:rsid w:val="002B5F75"/>
    <w:rsid w:val="002E5F25"/>
    <w:rsid w:val="002F1FE6"/>
    <w:rsid w:val="002F4E68"/>
    <w:rsid w:val="00312F7F"/>
    <w:rsid w:val="00361450"/>
    <w:rsid w:val="003673CF"/>
    <w:rsid w:val="0037232D"/>
    <w:rsid w:val="00376DF6"/>
    <w:rsid w:val="00383742"/>
    <w:rsid w:val="003845C1"/>
    <w:rsid w:val="003A6F89"/>
    <w:rsid w:val="003B355C"/>
    <w:rsid w:val="003B38C1"/>
    <w:rsid w:val="003C34E9"/>
    <w:rsid w:val="003D1422"/>
    <w:rsid w:val="003E12C0"/>
    <w:rsid w:val="003F75AF"/>
    <w:rsid w:val="00405D2B"/>
    <w:rsid w:val="00416211"/>
    <w:rsid w:val="00423E3E"/>
    <w:rsid w:val="00427AF4"/>
    <w:rsid w:val="0045246E"/>
    <w:rsid w:val="004647DA"/>
    <w:rsid w:val="00470DC6"/>
    <w:rsid w:val="00474062"/>
    <w:rsid w:val="00477D6B"/>
    <w:rsid w:val="0048180F"/>
    <w:rsid w:val="004C5E23"/>
    <w:rsid w:val="004D5466"/>
    <w:rsid w:val="004F50F6"/>
    <w:rsid w:val="005019FF"/>
    <w:rsid w:val="00512191"/>
    <w:rsid w:val="00523D3F"/>
    <w:rsid w:val="0052753F"/>
    <w:rsid w:val="0053057A"/>
    <w:rsid w:val="00556076"/>
    <w:rsid w:val="00560A29"/>
    <w:rsid w:val="00576430"/>
    <w:rsid w:val="005C6649"/>
    <w:rsid w:val="005E7B89"/>
    <w:rsid w:val="00605827"/>
    <w:rsid w:val="00607AB9"/>
    <w:rsid w:val="00630241"/>
    <w:rsid w:val="00635470"/>
    <w:rsid w:val="00646050"/>
    <w:rsid w:val="006713CA"/>
    <w:rsid w:val="00676C5C"/>
    <w:rsid w:val="00680838"/>
    <w:rsid w:val="00684D6E"/>
    <w:rsid w:val="006B5C12"/>
    <w:rsid w:val="00700A8B"/>
    <w:rsid w:val="00705237"/>
    <w:rsid w:val="00717A11"/>
    <w:rsid w:val="00720EFD"/>
    <w:rsid w:val="0072790E"/>
    <w:rsid w:val="0074502F"/>
    <w:rsid w:val="00761C67"/>
    <w:rsid w:val="00770E87"/>
    <w:rsid w:val="007837CD"/>
    <w:rsid w:val="007854AF"/>
    <w:rsid w:val="00793A7C"/>
    <w:rsid w:val="007A398A"/>
    <w:rsid w:val="007C4902"/>
    <w:rsid w:val="007D1613"/>
    <w:rsid w:val="007D58ED"/>
    <w:rsid w:val="007E1D1A"/>
    <w:rsid w:val="007E4C0E"/>
    <w:rsid w:val="007E5EAA"/>
    <w:rsid w:val="007F6E4C"/>
    <w:rsid w:val="008271B4"/>
    <w:rsid w:val="0084125D"/>
    <w:rsid w:val="008A134B"/>
    <w:rsid w:val="008B2CC1"/>
    <w:rsid w:val="008B60B2"/>
    <w:rsid w:val="008C0ED4"/>
    <w:rsid w:val="0090731E"/>
    <w:rsid w:val="009152F1"/>
    <w:rsid w:val="00916EE2"/>
    <w:rsid w:val="00920213"/>
    <w:rsid w:val="00966404"/>
    <w:rsid w:val="00966A22"/>
    <w:rsid w:val="0096722F"/>
    <w:rsid w:val="00970B5B"/>
    <w:rsid w:val="00980843"/>
    <w:rsid w:val="009B0855"/>
    <w:rsid w:val="009B55D6"/>
    <w:rsid w:val="009D7410"/>
    <w:rsid w:val="009E1721"/>
    <w:rsid w:val="009E2791"/>
    <w:rsid w:val="009E3F6F"/>
    <w:rsid w:val="009E6B79"/>
    <w:rsid w:val="009F499F"/>
    <w:rsid w:val="00A06F4E"/>
    <w:rsid w:val="00A33489"/>
    <w:rsid w:val="00A37342"/>
    <w:rsid w:val="00A42DAF"/>
    <w:rsid w:val="00A45BD8"/>
    <w:rsid w:val="00A46582"/>
    <w:rsid w:val="00A85497"/>
    <w:rsid w:val="00A869B7"/>
    <w:rsid w:val="00A90F0A"/>
    <w:rsid w:val="00AC205C"/>
    <w:rsid w:val="00AC4D89"/>
    <w:rsid w:val="00AD31A6"/>
    <w:rsid w:val="00AD326E"/>
    <w:rsid w:val="00AE76CB"/>
    <w:rsid w:val="00AF0A6B"/>
    <w:rsid w:val="00AF3FC9"/>
    <w:rsid w:val="00AF53BC"/>
    <w:rsid w:val="00B05A69"/>
    <w:rsid w:val="00B17CEA"/>
    <w:rsid w:val="00B42CA9"/>
    <w:rsid w:val="00B51FF7"/>
    <w:rsid w:val="00B546F4"/>
    <w:rsid w:val="00B75281"/>
    <w:rsid w:val="00B92F1F"/>
    <w:rsid w:val="00B9734B"/>
    <w:rsid w:val="00BA30E2"/>
    <w:rsid w:val="00BE2A85"/>
    <w:rsid w:val="00BE7F7B"/>
    <w:rsid w:val="00C11BFE"/>
    <w:rsid w:val="00C27A27"/>
    <w:rsid w:val="00C44DF3"/>
    <w:rsid w:val="00C5068F"/>
    <w:rsid w:val="00C51314"/>
    <w:rsid w:val="00C57918"/>
    <w:rsid w:val="00C84642"/>
    <w:rsid w:val="00C86D74"/>
    <w:rsid w:val="00CA638E"/>
    <w:rsid w:val="00CB0DFB"/>
    <w:rsid w:val="00CB3DBA"/>
    <w:rsid w:val="00CC3E2D"/>
    <w:rsid w:val="00CD04F1"/>
    <w:rsid w:val="00CE19F8"/>
    <w:rsid w:val="00CF188D"/>
    <w:rsid w:val="00CF2825"/>
    <w:rsid w:val="00CF681A"/>
    <w:rsid w:val="00D02AA1"/>
    <w:rsid w:val="00D07C78"/>
    <w:rsid w:val="00D45252"/>
    <w:rsid w:val="00D60B2C"/>
    <w:rsid w:val="00D66220"/>
    <w:rsid w:val="00D67EAE"/>
    <w:rsid w:val="00D71B4D"/>
    <w:rsid w:val="00D90B96"/>
    <w:rsid w:val="00D93D55"/>
    <w:rsid w:val="00DC70B1"/>
    <w:rsid w:val="00DD2129"/>
    <w:rsid w:val="00DD7B7F"/>
    <w:rsid w:val="00E03B0E"/>
    <w:rsid w:val="00E15015"/>
    <w:rsid w:val="00E319DF"/>
    <w:rsid w:val="00E31D40"/>
    <w:rsid w:val="00E335FE"/>
    <w:rsid w:val="00E55EA6"/>
    <w:rsid w:val="00E61E6C"/>
    <w:rsid w:val="00E66CC5"/>
    <w:rsid w:val="00E70421"/>
    <w:rsid w:val="00EA7D6E"/>
    <w:rsid w:val="00EB29A1"/>
    <w:rsid w:val="00EB2F76"/>
    <w:rsid w:val="00EB4A3E"/>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03B6"/>
  <w15:docId w15:val="{040D5B7A-99F7-4D23-871F-8832DD31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Decision">
    <w:name w:val="Decision"/>
    <w:basedOn w:val="ONUMA"/>
    <w:qFormat/>
    <w:rsid w:val="00F76CB4"/>
    <w:pPr>
      <w:numPr>
        <w:numId w:val="5"/>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 w:type="character" w:styleId="UnresolvedMention">
    <w:name w:val="Unresolved Mention"/>
    <w:basedOn w:val="DefaultParagraphFont"/>
    <w:uiPriority w:val="99"/>
    <w:semiHidden/>
    <w:unhideWhenUsed/>
    <w:rsid w:val="0048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locarno/locef/public/en/project/LO162" TargetMode="External"/><Relationship Id="rId18" Type="http://schemas.openxmlformats.org/officeDocument/2006/relationships/hyperlink" Target="https://www3.wipo.int/classifications/locarno/locef/public/en/project/LO162/annex/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3.wipo.int/classifications/locarno/locrms/public/proposals/view/scheme?languages=en&amp;proposalDisplayMode=PROPOSALS&amp;group=%20&amp;view_mode=compared&amp;currentPage=1&amp;showRemarks=true&amp;showClasses=true&amp;showSubClasses=true&amp;type=ADDED,CHANGED,TRANSFERRED,TRANSFERRED_WITH_CHANGES,DELETED&amp;proposalStatus=DRAFT,PROPOSED,APPROVED,APPROVED_WITH_MODIFICATIONS,REJECTED,WITHDRAWN,ORIGINAL&amp;voteFilters=NOT_VOTED,YES,UNSURE,NO&amp;votePhase=VOTE1&amp;proposalViewType=P" TargetMode="External"/><Relationship Id="rId7" Type="http://schemas.openxmlformats.org/officeDocument/2006/relationships/endnotes" Target="endnotes.xml"/><Relationship Id="rId12" Type="http://schemas.openxmlformats.org/officeDocument/2006/relationships/hyperlink" Target="https://www3.wipo.int/classifications/locarno/locef/public/en/project/LO162/annex/2" TargetMode="External"/><Relationship Id="rId17" Type="http://schemas.openxmlformats.org/officeDocument/2006/relationships/hyperlink" Target="https://www3.wipo.int/classifications/locarno/locef/public/en/project/LO16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wipo.int/classifications/locarno/locrms/public/sessions/list" TargetMode="External"/><Relationship Id="rId20" Type="http://schemas.openxmlformats.org/officeDocument/2006/relationships/hyperlink" Target="https://www3.wipo.int/classifications/locarno/locrms/public/sessions/li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wipo.int/classifications/locarno/locef/public/en/project/LO16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3.wipo.int/classifications/locarno/locef/public/en/project/LO162/annex/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locarno/locrms/public/sessions/lis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D08D0-D522-4A63-9A3C-6F5054E3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CEL/15/2 (Arabic)</vt:lpstr>
    </vt:vector>
  </TitlesOfParts>
  <Company>WIPO</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CEL/15/2 (Arabic)</dc:title>
  <dc:creator>MERZOUK Fawzi</dc:creator>
  <cp:keywords>FOR OFFICIAL USE ONLY</cp:keywords>
  <cp:lastModifiedBy>CARMINATI Christine</cp:lastModifiedBy>
  <cp:revision>2</cp:revision>
  <cp:lastPrinted>2023-11-10T20:27:00Z</cp:lastPrinted>
  <dcterms:created xsi:type="dcterms:W3CDTF">2023-11-13T14:22:00Z</dcterms:created>
  <dcterms:modified xsi:type="dcterms:W3CDTF">2023-11-13T14:22:00Z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2023-11-10T20:26:20Z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f4be71f9-e611-4a8e-86ed-79a510f9b56e</vt:lpwstr>
  </property>
  <property fmtid="{D5CDD505-2E9C-101B-9397-08002B2CF9AE}" pid="13" name="MSIP_Label_20773ee6-353b-4fb9-a59d-0b94c8c67bea_ContentBits">
    <vt:lpwstr>0</vt:lpwstr>
  </property>
</Properties>
</file>