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F3A2" w14:textId="77777777" w:rsidR="008B2CC1" w:rsidRPr="00956E59" w:rsidRDefault="00472A6E" w:rsidP="00762AC6">
      <w:pPr>
        <w:pBdr>
          <w:bottom w:val="single" w:sz="4" w:space="11" w:color="auto"/>
        </w:pBdr>
        <w:spacing w:after="120"/>
        <w:ind w:right="-57"/>
        <w:jc w:val="right"/>
        <w:rPr>
          <w:lang w:val="es-ES_tradnl"/>
        </w:rPr>
      </w:pPr>
      <w:r w:rsidRPr="00956E59">
        <w:rPr>
          <w:noProof/>
          <w:lang w:val="es-ES_tradnl" w:eastAsia="es-ES_tradnl"/>
        </w:rPr>
        <w:drawing>
          <wp:inline distT="0" distB="0" distL="0" distR="0" wp14:anchorId="021ADB84" wp14:editId="5B640DA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90855A3" w14:textId="79E2CA06" w:rsidR="003C19DB" w:rsidRPr="00956E59" w:rsidRDefault="00186CD0">
      <w:pPr>
        <w:jc w:val="right"/>
        <w:rPr>
          <w:rFonts w:ascii="Arial Black" w:hAnsi="Arial Black"/>
          <w:caps/>
          <w:sz w:val="15"/>
          <w:lang w:val="es-ES_tradnl"/>
        </w:rPr>
      </w:pPr>
      <w:r w:rsidRPr="00956E59">
        <w:rPr>
          <w:rFonts w:ascii="Arial Black" w:hAnsi="Arial Black"/>
          <w:caps/>
          <w:sz w:val="15"/>
          <w:lang w:val="es-ES_tradnl"/>
        </w:rPr>
        <w:t>CDIP/31/6</w:t>
      </w:r>
      <w:bookmarkStart w:id="0" w:name="Code"/>
      <w:bookmarkEnd w:id="0"/>
    </w:p>
    <w:p w14:paraId="6FCA0223" w14:textId="088C3925" w:rsidR="003C19DB" w:rsidRPr="00956E59" w:rsidRDefault="00186CD0">
      <w:pPr>
        <w:jc w:val="right"/>
        <w:rPr>
          <w:lang w:val="es-ES_tradnl"/>
        </w:rPr>
      </w:pPr>
      <w:r w:rsidRPr="00956E59">
        <w:rPr>
          <w:rFonts w:ascii="Arial Black" w:hAnsi="Arial Black"/>
          <w:caps/>
          <w:sz w:val="15"/>
          <w:lang w:val="es-ES_tradnl"/>
        </w:rPr>
        <w:t>ORIGINAL</w:t>
      </w:r>
      <w:bookmarkStart w:id="1" w:name="Original"/>
      <w:r w:rsidR="008651AF" w:rsidRPr="00956E59">
        <w:rPr>
          <w:rFonts w:ascii="Arial Black" w:hAnsi="Arial Black"/>
          <w:caps/>
          <w:sz w:val="15"/>
          <w:lang w:val="es-ES_tradnl"/>
        </w:rPr>
        <w:t xml:space="preserve">: </w:t>
      </w:r>
      <w:r w:rsidR="00A902BD" w:rsidRPr="00956E59">
        <w:rPr>
          <w:rFonts w:ascii="Arial Black" w:hAnsi="Arial Black"/>
          <w:caps/>
          <w:sz w:val="15"/>
          <w:lang w:val="es-ES_tradnl"/>
        </w:rPr>
        <w:t>INGLÉS</w:t>
      </w:r>
    </w:p>
    <w:bookmarkEnd w:id="1"/>
    <w:p w14:paraId="33C0F433" w14:textId="0C6D4041" w:rsidR="003C19DB" w:rsidRPr="00956E59" w:rsidRDefault="00A40F93">
      <w:pPr>
        <w:spacing w:after="1200"/>
        <w:jc w:val="right"/>
        <w:rPr>
          <w:lang w:val="es-ES_tradnl"/>
        </w:rPr>
      </w:pPr>
      <w:r w:rsidRPr="00956E59">
        <w:rPr>
          <w:rFonts w:ascii="Arial Black" w:hAnsi="Arial Black"/>
          <w:caps/>
          <w:sz w:val="15"/>
          <w:lang w:val="es-ES_tradnl"/>
        </w:rPr>
        <w:t xml:space="preserve">Fecha: </w:t>
      </w:r>
      <w:r w:rsidR="008651AF" w:rsidRPr="00956E59">
        <w:rPr>
          <w:rFonts w:ascii="Arial Black" w:hAnsi="Arial Black"/>
          <w:caps/>
          <w:sz w:val="15"/>
          <w:lang w:val="es-ES_tradnl"/>
        </w:rPr>
        <w:t>1</w:t>
      </w:r>
      <w:r w:rsidRPr="00956E59">
        <w:rPr>
          <w:rFonts w:ascii="Arial Black" w:hAnsi="Arial Black"/>
          <w:caps/>
          <w:sz w:val="15"/>
          <w:lang w:val="es-ES_tradnl"/>
        </w:rPr>
        <w:t>5 de septiembre de 2023</w:t>
      </w:r>
      <w:bookmarkStart w:id="2" w:name="Date"/>
    </w:p>
    <w:bookmarkEnd w:id="2"/>
    <w:p w14:paraId="0C650932" w14:textId="77777777" w:rsidR="003C19DB" w:rsidRPr="00956E59" w:rsidRDefault="00186CD0">
      <w:pPr>
        <w:pStyle w:val="Heading1"/>
        <w:spacing w:before="0" w:after="600"/>
        <w:rPr>
          <w:sz w:val="28"/>
          <w:lang w:val="es-ES_tradnl"/>
        </w:rPr>
      </w:pPr>
      <w:r w:rsidRPr="00956E59">
        <w:rPr>
          <w:caps w:val="0"/>
          <w:sz w:val="28"/>
          <w:lang w:val="es-ES_tradnl"/>
        </w:rPr>
        <w:t>Comité de Desarrollo y Propiedad Intelectual (CDIP)</w:t>
      </w:r>
    </w:p>
    <w:p w14:paraId="1B1E6D47" w14:textId="77777777" w:rsidR="003C19DB" w:rsidRPr="00956E59" w:rsidRDefault="00186CD0">
      <w:pPr>
        <w:outlineLvl w:val="1"/>
        <w:rPr>
          <w:b/>
          <w:sz w:val="24"/>
          <w:szCs w:val="24"/>
          <w:lang w:val="es-ES_tradnl"/>
        </w:rPr>
      </w:pPr>
      <w:r w:rsidRPr="00956E59">
        <w:rPr>
          <w:b/>
          <w:sz w:val="24"/>
          <w:szCs w:val="24"/>
          <w:lang w:val="es-ES_tradnl"/>
        </w:rPr>
        <w:t xml:space="preserve">Trigésima primera </w:t>
      </w:r>
      <w:r w:rsidR="00B67CDC" w:rsidRPr="00956E59">
        <w:rPr>
          <w:b/>
          <w:sz w:val="24"/>
          <w:szCs w:val="24"/>
          <w:lang w:val="es-ES_tradnl"/>
        </w:rPr>
        <w:t>sesión</w:t>
      </w:r>
    </w:p>
    <w:p w14:paraId="7952F36A" w14:textId="77777777" w:rsidR="003C19DB" w:rsidRPr="00956E59" w:rsidRDefault="00186CD0">
      <w:pPr>
        <w:spacing w:after="720"/>
        <w:outlineLvl w:val="1"/>
        <w:rPr>
          <w:b/>
          <w:sz w:val="24"/>
          <w:szCs w:val="24"/>
          <w:lang w:val="es-ES_tradnl"/>
        </w:rPr>
      </w:pPr>
      <w:r w:rsidRPr="00956E59">
        <w:rPr>
          <w:b/>
          <w:sz w:val="24"/>
          <w:szCs w:val="24"/>
          <w:lang w:val="es-ES_tradnl"/>
        </w:rPr>
        <w:t xml:space="preserve">Ginebra, 27 de noviembre a </w:t>
      </w:r>
      <w:r w:rsidR="00AC1E2C" w:rsidRPr="00956E59">
        <w:rPr>
          <w:b/>
          <w:sz w:val="24"/>
          <w:szCs w:val="24"/>
          <w:lang w:val="es-ES_tradnl"/>
        </w:rPr>
        <w:t xml:space="preserve">1 </w:t>
      </w:r>
      <w:r w:rsidRPr="00956E59">
        <w:rPr>
          <w:b/>
          <w:sz w:val="24"/>
          <w:szCs w:val="24"/>
          <w:lang w:val="es-ES_tradnl"/>
        </w:rPr>
        <w:t xml:space="preserve">de diciembre de </w:t>
      </w:r>
      <w:r w:rsidR="00762AC6" w:rsidRPr="00956E59">
        <w:rPr>
          <w:b/>
          <w:sz w:val="24"/>
          <w:szCs w:val="24"/>
          <w:lang w:val="es-ES_tradnl"/>
        </w:rPr>
        <w:t>2023</w:t>
      </w:r>
    </w:p>
    <w:p w14:paraId="7E51134E" w14:textId="705A842F" w:rsidR="003C19DB" w:rsidRPr="00956E59" w:rsidRDefault="00186CD0">
      <w:pPr>
        <w:pStyle w:val="Heading2"/>
        <w:spacing w:after="360"/>
        <w:rPr>
          <w:sz w:val="24"/>
          <w:szCs w:val="24"/>
          <w:lang w:val="es-ES_tradnl"/>
        </w:rPr>
      </w:pPr>
      <w:bookmarkStart w:id="3" w:name="Prepared"/>
      <w:bookmarkEnd w:id="3"/>
      <w:r w:rsidRPr="00956E59">
        <w:rPr>
          <w:caps w:val="0"/>
          <w:sz w:val="24"/>
          <w:szCs w:val="24"/>
          <w:lang w:val="es-ES_tradnl"/>
        </w:rPr>
        <w:t xml:space="preserve">INFORME </w:t>
      </w:r>
      <w:r w:rsidR="008651AF" w:rsidRPr="00956E59">
        <w:rPr>
          <w:caps w:val="0"/>
          <w:sz w:val="24"/>
          <w:szCs w:val="24"/>
          <w:lang w:val="es-ES_tradnl"/>
        </w:rPr>
        <w:t>DE FINALIZACIÓN</w:t>
      </w:r>
      <w:r w:rsidRPr="00956E59">
        <w:rPr>
          <w:caps w:val="0"/>
          <w:sz w:val="24"/>
          <w:szCs w:val="24"/>
          <w:lang w:val="es-ES_tradnl"/>
        </w:rPr>
        <w:t xml:space="preserve"> DEL PROYECTO SOBRE DERECHO DE AUTOR Y DISTRIBUCIÓN DE CONTENIDOS EN EL ENTORNO DIGITAL</w:t>
      </w:r>
    </w:p>
    <w:p w14:paraId="075E8376" w14:textId="77777777" w:rsidR="003C19DB" w:rsidRPr="00956E59" w:rsidRDefault="00186CD0">
      <w:pPr>
        <w:pStyle w:val="Heading3"/>
        <w:spacing w:after="960"/>
        <w:rPr>
          <w:i/>
          <w:u w:val="none"/>
          <w:lang w:val="es-ES_tradnl"/>
        </w:rPr>
      </w:pPr>
      <w:bookmarkStart w:id="4" w:name="TitleOfDoc"/>
      <w:bookmarkEnd w:id="4"/>
      <w:r w:rsidRPr="00956E59">
        <w:rPr>
          <w:i/>
          <w:u w:val="none"/>
          <w:lang w:val="es-ES_tradnl"/>
        </w:rPr>
        <w:t>preparado por la Secretaría</w:t>
      </w:r>
    </w:p>
    <w:p w14:paraId="4FE5FD8A" w14:textId="1DD2F835" w:rsidR="003C19DB" w:rsidRPr="00956E59" w:rsidRDefault="00932696">
      <w:pPr>
        <w:pStyle w:val="ONUMFS"/>
        <w:numPr>
          <w:ilvl w:val="0"/>
          <w:numId w:val="13"/>
        </w:numPr>
        <w:tabs>
          <w:tab w:val="left" w:pos="540"/>
        </w:tabs>
        <w:spacing w:after="0"/>
        <w:ind w:left="0" w:firstLine="0"/>
        <w:rPr>
          <w:lang w:val="es-ES_tradnl"/>
        </w:rPr>
      </w:pPr>
      <w:r w:rsidRPr="00956E59">
        <w:rPr>
          <w:lang w:val="es-ES_tradnl"/>
        </w:rPr>
        <w:t xml:space="preserve">En los anexos del presente documento se recoge el </w:t>
      </w:r>
      <w:r w:rsidR="008651AF" w:rsidRPr="00956E59">
        <w:rPr>
          <w:lang w:val="es-ES_tradnl"/>
        </w:rPr>
        <w:t>informe de finalización</w:t>
      </w:r>
      <w:r w:rsidRPr="00956E59">
        <w:rPr>
          <w:lang w:val="es-ES_tradnl"/>
        </w:rPr>
        <w:t xml:space="preserve"> del </w:t>
      </w:r>
      <w:r w:rsidR="00444569" w:rsidRPr="00956E59">
        <w:rPr>
          <w:lang w:val="es-ES_tradnl"/>
        </w:rPr>
        <w:t>p</w:t>
      </w:r>
      <w:r w:rsidRPr="00956E59">
        <w:rPr>
          <w:lang w:val="es-ES_tradnl"/>
        </w:rPr>
        <w:t xml:space="preserve">royecto </w:t>
      </w:r>
      <w:r w:rsidR="008651AF" w:rsidRPr="00956E59">
        <w:rPr>
          <w:lang w:val="es-ES_tradnl"/>
        </w:rPr>
        <w:t xml:space="preserve">de la Agenda para el Desarrollo (AD) </w:t>
      </w:r>
      <w:r w:rsidRPr="00956E59">
        <w:rPr>
          <w:lang w:val="es-ES_tradnl"/>
        </w:rPr>
        <w:t>sobre derecho de autor y distribución de contenidos en el entorno digital. Dicho informe abarca todo el per</w:t>
      </w:r>
      <w:r w:rsidR="008651AF" w:rsidRPr="00956E59">
        <w:rPr>
          <w:lang w:val="es-ES_tradnl"/>
        </w:rPr>
        <w:t>í</w:t>
      </w:r>
      <w:r w:rsidRPr="00956E59">
        <w:rPr>
          <w:lang w:val="es-ES_tradnl"/>
        </w:rPr>
        <w:t xml:space="preserve">odo de ejecución del proyecto, a saber, </w:t>
      </w:r>
      <w:r w:rsidR="000A10E2" w:rsidRPr="00956E59">
        <w:rPr>
          <w:lang w:val="es-ES_tradnl"/>
        </w:rPr>
        <w:t xml:space="preserve">de </w:t>
      </w:r>
      <w:r w:rsidRPr="00956E59">
        <w:rPr>
          <w:lang w:val="es-ES_tradnl"/>
        </w:rPr>
        <w:t xml:space="preserve">enero de 2019 a julio de 2023. </w:t>
      </w:r>
    </w:p>
    <w:p w14:paraId="453C6F66" w14:textId="77777777" w:rsidR="00DE072E" w:rsidRPr="00956E59" w:rsidRDefault="00DE072E" w:rsidP="00DE072E">
      <w:pPr>
        <w:pStyle w:val="ONUMFS"/>
        <w:numPr>
          <w:ilvl w:val="0"/>
          <w:numId w:val="0"/>
        </w:numPr>
        <w:tabs>
          <w:tab w:val="left" w:pos="540"/>
        </w:tabs>
        <w:spacing w:after="0"/>
        <w:rPr>
          <w:lang w:val="es-ES_tradnl"/>
        </w:rPr>
      </w:pPr>
    </w:p>
    <w:p w14:paraId="3A8A74D8" w14:textId="5978113A" w:rsidR="003C19DB" w:rsidRPr="00956E59" w:rsidRDefault="00186CD0">
      <w:pPr>
        <w:pStyle w:val="ONUMFS"/>
        <w:numPr>
          <w:ilvl w:val="0"/>
          <w:numId w:val="13"/>
        </w:numPr>
        <w:tabs>
          <w:tab w:val="left" w:pos="540"/>
        </w:tabs>
        <w:spacing w:after="720"/>
        <w:ind w:left="5530" w:firstLine="0"/>
        <w:rPr>
          <w:i/>
          <w:lang w:val="es-ES_tradnl"/>
        </w:rPr>
      </w:pPr>
      <w:r w:rsidRPr="00956E59">
        <w:rPr>
          <w:i/>
          <w:lang w:val="es-ES_tradnl"/>
        </w:rPr>
        <w:t xml:space="preserve">Se invita al Comité a tomar nota de la información </w:t>
      </w:r>
      <w:r w:rsidR="008651AF" w:rsidRPr="00956E59">
        <w:rPr>
          <w:rFonts w:eastAsia="Arial"/>
          <w:i/>
          <w:iCs/>
          <w:szCs w:val="22"/>
          <w:lang w:val="es-ES_tradnl"/>
        </w:rPr>
        <w:t>contenida</w:t>
      </w:r>
      <w:r w:rsidR="000A10E2" w:rsidRPr="00956E59">
        <w:rPr>
          <w:rFonts w:eastAsia="Arial"/>
          <w:i/>
          <w:iCs/>
          <w:szCs w:val="22"/>
          <w:lang w:val="es-ES_tradnl"/>
        </w:rPr>
        <w:t xml:space="preserve"> en los </w:t>
      </w:r>
      <w:r w:rsidR="008651AF" w:rsidRPr="00956E59">
        <w:rPr>
          <w:rFonts w:eastAsia="Arial"/>
          <w:i/>
          <w:iCs/>
          <w:szCs w:val="22"/>
          <w:lang w:val="es-ES_tradnl"/>
        </w:rPr>
        <w:t>A</w:t>
      </w:r>
      <w:r w:rsidR="000A10E2" w:rsidRPr="00956E59">
        <w:rPr>
          <w:rFonts w:eastAsia="Arial"/>
          <w:i/>
          <w:iCs/>
          <w:szCs w:val="22"/>
          <w:lang w:val="es-ES_tradnl"/>
        </w:rPr>
        <w:t>nexos del presente documento</w:t>
      </w:r>
      <w:r w:rsidRPr="00956E59">
        <w:rPr>
          <w:i/>
          <w:lang w:val="es-ES_tradnl"/>
        </w:rPr>
        <w:t>.</w:t>
      </w:r>
    </w:p>
    <w:p w14:paraId="6CB165AC" w14:textId="4756C90E" w:rsidR="003C19DB" w:rsidRPr="00956E59" w:rsidRDefault="00186CD0">
      <w:pPr>
        <w:pStyle w:val="ONUMFS"/>
        <w:numPr>
          <w:ilvl w:val="0"/>
          <w:numId w:val="0"/>
        </w:numPr>
        <w:tabs>
          <w:tab w:val="left" w:pos="540"/>
        </w:tabs>
        <w:ind w:left="5533"/>
        <w:rPr>
          <w:lang w:val="es-ES_tradnl"/>
        </w:rPr>
      </w:pPr>
      <w:r w:rsidRPr="00956E59">
        <w:rPr>
          <w:rFonts w:eastAsia="Arial"/>
          <w:szCs w:val="22"/>
          <w:lang w:val="es-ES_tradnl"/>
        </w:rPr>
        <w:t xml:space="preserve">[Siguen </w:t>
      </w:r>
      <w:r w:rsidRPr="00956E59">
        <w:rPr>
          <w:szCs w:val="22"/>
          <w:lang w:val="es-ES_tradnl"/>
        </w:rPr>
        <w:t xml:space="preserve">los </w:t>
      </w:r>
      <w:r w:rsidR="008651AF" w:rsidRPr="00956E59">
        <w:rPr>
          <w:szCs w:val="22"/>
          <w:lang w:val="es-ES_tradnl"/>
        </w:rPr>
        <w:t>A</w:t>
      </w:r>
      <w:r w:rsidRPr="00956E59">
        <w:rPr>
          <w:szCs w:val="22"/>
          <w:lang w:val="es-ES_tradnl"/>
        </w:rPr>
        <w:t>nexos</w:t>
      </w:r>
      <w:r w:rsidRPr="00956E59">
        <w:rPr>
          <w:rFonts w:eastAsia="Arial"/>
          <w:szCs w:val="22"/>
          <w:lang w:val="es-ES_tradnl"/>
        </w:rPr>
        <w:t>]</w:t>
      </w:r>
    </w:p>
    <w:p w14:paraId="6C966434" w14:textId="77777777" w:rsidR="00932696" w:rsidRPr="00956E59" w:rsidRDefault="00932696" w:rsidP="00932696">
      <w:pPr>
        <w:pStyle w:val="ListParagraph"/>
        <w:ind w:left="0"/>
        <w:rPr>
          <w:lang w:val="es-ES_tradnl"/>
        </w:rPr>
      </w:pPr>
    </w:p>
    <w:p w14:paraId="608F0E4F" w14:textId="77777777" w:rsidR="00DE072E" w:rsidRPr="00956E59" w:rsidRDefault="00DE072E" w:rsidP="00DE072E">
      <w:pPr>
        <w:spacing w:after="220"/>
        <w:rPr>
          <w:i/>
          <w:lang w:val="es-ES_tradnl"/>
        </w:rPr>
      </w:pPr>
    </w:p>
    <w:p w14:paraId="6B24CA6F" w14:textId="77777777" w:rsidR="00DE072E" w:rsidRPr="00956E59" w:rsidRDefault="00DE072E" w:rsidP="00DE072E">
      <w:pPr>
        <w:spacing w:after="220"/>
        <w:rPr>
          <w:lang w:val="es-ES_tradnl"/>
        </w:rPr>
      </w:pPr>
    </w:p>
    <w:p w14:paraId="7D76E714" w14:textId="77777777" w:rsidR="00DE072E" w:rsidRPr="00956E59" w:rsidRDefault="00DE072E" w:rsidP="00DE072E">
      <w:pPr>
        <w:spacing w:before="71"/>
        <w:rPr>
          <w:b/>
          <w:lang w:val="es-ES_tradnl"/>
        </w:rPr>
        <w:sectPr w:rsidR="00DE072E" w:rsidRPr="00956E59" w:rsidSect="00541FEA">
          <w:headerReference w:type="default" r:id="rId9"/>
          <w:pgSz w:w="11907" w:h="16840" w:code="9"/>
          <w:pgMar w:top="540" w:right="1417" w:bottom="1417" w:left="1417" w:header="504" w:footer="1022" w:gutter="0"/>
          <w:cols w:space="720"/>
          <w:titlePg/>
          <w:docGrid w:linePitch="299"/>
        </w:sectPr>
      </w:pPr>
      <w:r w:rsidRPr="00956E59">
        <w:rPr>
          <w:b/>
          <w:lang w:val="es-ES_tradnl"/>
        </w:rPr>
        <w:br w:type="page"/>
      </w:r>
    </w:p>
    <w:p w14:paraId="558BD3B0" w14:textId="31937F69" w:rsidR="003C19DB" w:rsidRPr="00956E59" w:rsidRDefault="00186CD0">
      <w:pPr>
        <w:spacing w:before="71"/>
        <w:ind w:left="136"/>
        <w:rPr>
          <w:b/>
          <w:lang w:val="es-ES_tradnl"/>
        </w:rPr>
      </w:pPr>
      <w:r w:rsidRPr="00956E59">
        <w:rPr>
          <w:b/>
          <w:lang w:val="es-ES_tradnl"/>
        </w:rPr>
        <w:lastRenderedPageBreak/>
        <w:t xml:space="preserve">FORMULARIO 7 - INFORME </w:t>
      </w:r>
      <w:r w:rsidR="008651AF" w:rsidRPr="00956E59">
        <w:rPr>
          <w:b/>
          <w:lang w:val="es-ES_tradnl"/>
        </w:rPr>
        <w:t xml:space="preserve">DE </w:t>
      </w:r>
      <w:r w:rsidRPr="00956E59">
        <w:rPr>
          <w:b/>
          <w:lang w:val="es-ES_tradnl"/>
        </w:rPr>
        <w:t>FINAL</w:t>
      </w:r>
      <w:r w:rsidR="008651AF" w:rsidRPr="00956E59">
        <w:rPr>
          <w:b/>
          <w:lang w:val="es-ES_tradnl"/>
        </w:rPr>
        <w:t>IZACIÓN</w:t>
      </w:r>
    </w:p>
    <w:p w14:paraId="7044F6A7" w14:textId="77777777" w:rsidR="00DE072E" w:rsidRPr="00956E59" w:rsidRDefault="00DE072E" w:rsidP="00DE072E">
      <w:pPr>
        <w:spacing w:before="71"/>
        <w:ind w:left="136"/>
        <w:rPr>
          <w:b/>
          <w:lang w:val="es-ES_tradnl"/>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E072E" w:rsidRPr="00956E59" w14:paraId="35A5BC58" w14:textId="77777777" w:rsidTr="00265875">
        <w:trPr>
          <w:trHeight w:val="431"/>
        </w:trPr>
        <w:tc>
          <w:tcPr>
            <w:tcW w:w="9290" w:type="dxa"/>
            <w:gridSpan w:val="2"/>
          </w:tcPr>
          <w:p w14:paraId="20B75E34" w14:textId="77777777" w:rsidR="003C19DB" w:rsidRPr="00956E59" w:rsidRDefault="00186CD0">
            <w:pPr>
              <w:pStyle w:val="TableParagraph"/>
              <w:spacing w:before="88"/>
              <w:ind w:left="110"/>
              <w:rPr>
                <w:lang w:val="es-ES_tradnl"/>
              </w:rPr>
            </w:pPr>
            <w:r w:rsidRPr="00956E59">
              <w:rPr>
                <w:lang w:val="es-ES_tradnl"/>
              </w:rPr>
              <w:t>RESUMEN DEL PROYECTO</w:t>
            </w:r>
          </w:p>
        </w:tc>
      </w:tr>
      <w:tr w:rsidR="00637F9F" w:rsidRPr="00956E59" w14:paraId="4BB12252" w14:textId="77777777" w:rsidTr="00E41231">
        <w:trPr>
          <w:trHeight w:val="414"/>
        </w:trPr>
        <w:tc>
          <w:tcPr>
            <w:tcW w:w="2377" w:type="dxa"/>
            <w:shd w:val="clear" w:color="auto" w:fill="8DB3E1"/>
            <w:vAlign w:val="center"/>
          </w:tcPr>
          <w:p w14:paraId="32375270" w14:textId="77777777" w:rsidR="003C19DB" w:rsidRPr="00956E59" w:rsidRDefault="00186CD0">
            <w:pPr>
              <w:pStyle w:val="TableParagraph"/>
              <w:ind w:left="110"/>
              <w:rPr>
                <w:lang w:val="es-ES_tradnl"/>
              </w:rPr>
            </w:pPr>
            <w:r w:rsidRPr="00956E59">
              <w:rPr>
                <w:u w:val="single"/>
                <w:lang w:val="es-ES_tradnl"/>
              </w:rPr>
              <w:t>Código del proyecto</w:t>
            </w:r>
          </w:p>
        </w:tc>
        <w:tc>
          <w:tcPr>
            <w:tcW w:w="6913" w:type="dxa"/>
          </w:tcPr>
          <w:p w14:paraId="0F625DB2" w14:textId="77777777" w:rsidR="003C19DB" w:rsidRPr="00956E59" w:rsidRDefault="00186CD0">
            <w:pPr>
              <w:pStyle w:val="TableParagraph"/>
              <w:ind w:left="109"/>
              <w:rPr>
                <w:lang w:val="es-ES_tradnl"/>
              </w:rPr>
            </w:pPr>
            <w:r w:rsidRPr="00956E59">
              <w:rPr>
                <w:lang w:val="es-ES_tradnl"/>
              </w:rPr>
              <w:t>DA_1_3_4_10_11_16_25_35_01</w:t>
            </w:r>
          </w:p>
        </w:tc>
      </w:tr>
      <w:tr w:rsidR="00637F9F" w:rsidRPr="00956E59" w14:paraId="2552A6DA" w14:textId="77777777" w:rsidTr="00E41231">
        <w:trPr>
          <w:trHeight w:val="342"/>
        </w:trPr>
        <w:tc>
          <w:tcPr>
            <w:tcW w:w="2377" w:type="dxa"/>
            <w:shd w:val="clear" w:color="auto" w:fill="8DB3E1"/>
            <w:vAlign w:val="center"/>
          </w:tcPr>
          <w:p w14:paraId="657E8784" w14:textId="77777777" w:rsidR="003C19DB" w:rsidRPr="00956E59" w:rsidRDefault="00186CD0">
            <w:pPr>
              <w:pStyle w:val="TableParagraph"/>
              <w:spacing w:before="1"/>
              <w:ind w:left="110"/>
              <w:rPr>
                <w:lang w:val="es-ES_tradnl"/>
              </w:rPr>
            </w:pPr>
            <w:r w:rsidRPr="00956E59">
              <w:rPr>
                <w:u w:val="single"/>
                <w:lang w:val="es-ES_tradnl"/>
              </w:rPr>
              <w:t>Título</w:t>
            </w:r>
          </w:p>
        </w:tc>
        <w:tc>
          <w:tcPr>
            <w:tcW w:w="6913" w:type="dxa"/>
          </w:tcPr>
          <w:p w14:paraId="4221CA17" w14:textId="77777777" w:rsidR="003C19DB" w:rsidRPr="00956E59" w:rsidRDefault="00D0486A">
            <w:pPr>
              <w:pStyle w:val="TableParagraph"/>
              <w:spacing w:before="1"/>
              <w:ind w:left="109"/>
              <w:rPr>
                <w:lang w:val="es-ES_tradnl"/>
              </w:rPr>
            </w:pPr>
            <w:hyperlink r:id="rId10" w:history="1">
              <w:r w:rsidR="000A10E2" w:rsidRPr="00956E59">
                <w:rPr>
                  <w:rStyle w:val="Hyperlink"/>
                  <w:lang w:val="es-ES_tradnl"/>
                </w:rPr>
                <w:t>Derecho de autor y distribución de contenidos en el entorno digital</w:t>
              </w:r>
              <w:r w:rsidR="0050699A" w:rsidRPr="00956E59">
                <w:rPr>
                  <w:rStyle w:val="Hyperlink"/>
                  <w:lang w:val="es-ES_tradnl"/>
                </w:rPr>
                <w:t xml:space="preserve"> </w:t>
              </w:r>
            </w:hyperlink>
          </w:p>
        </w:tc>
      </w:tr>
      <w:tr w:rsidR="00637F9F" w:rsidRPr="00956E59" w14:paraId="50E0FEC8" w14:textId="77777777" w:rsidTr="00E41231">
        <w:trPr>
          <w:trHeight w:val="621"/>
        </w:trPr>
        <w:tc>
          <w:tcPr>
            <w:tcW w:w="2377" w:type="dxa"/>
            <w:shd w:val="clear" w:color="auto" w:fill="8DB3E1"/>
            <w:vAlign w:val="center"/>
          </w:tcPr>
          <w:p w14:paraId="6ED7D282" w14:textId="77777777" w:rsidR="003C19DB" w:rsidRPr="00956E59" w:rsidRDefault="00D0486A">
            <w:pPr>
              <w:pStyle w:val="TableParagraph"/>
              <w:ind w:left="110" w:right="121"/>
              <w:rPr>
                <w:lang w:val="es-ES_tradnl"/>
              </w:rPr>
            </w:pPr>
            <w:hyperlink r:id="rId11" w:history="1">
              <w:r w:rsidR="00186CD0" w:rsidRPr="00956E59">
                <w:rPr>
                  <w:color w:val="0000FF"/>
                  <w:u w:val="single"/>
                  <w:lang w:val="es-ES_tradnl"/>
                </w:rPr>
                <w:t>Recomendaciones de la Agenda para el Desarrollo</w:t>
              </w:r>
            </w:hyperlink>
          </w:p>
        </w:tc>
        <w:tc>
          <w:tcPr>
            <w:tcW w:w="6913" w:type="dxa"/>
          </w:tcPr>
          <w:p w14:paraId="68B3B2D8" w14:textId="77777777" w:rsidR="003C19DB" w:rsidRPr="00956E59" w:rsidRDefault="00186CD0">
            <w:pPr>
              <w:pStyle w:val="TableParagraph"/>
              <w:ind w:left="109" w:right="880"/>
              <w:rPr>
                <w:lang w:val="es-ES_tradnl"/>
              </w:rPr>
            </w:pPr>
            <w:r w:rsidRPr="00956E59">
              <w:rPr>
                <w:lang w:val="es-ES_tradnl"/>
              </w:rPr>
              <w:t>Recomendaciones 1; 3; 4; 10; 11; 16; 25; y 35.</w:t>
            </w:r>
          </w:p>
        </w:tc>
      </w:tr>
      <w:tr w:rsidR="00637F9F" w:rsidRPr="00956E59" w14:paraId="3BC36C32" w14:textId="77777777" w:rsidTr="00637F9F">
        <w:trPr>
          <w:trHeight w:val="911"/>
        </w:trPr>
        <w:tc>
          <w:tcPr>
            <w:tcW w:w="2377" w:type="dxa"/>
            <w:shd w:val="clear" w:color="auto" w:fill="8DB3E1"/>
            <w:vAlign w:val="center"/>
          </w:tcPr>
          <w:p w14:paraId="629B113A" w14:textId="77777777" w:rsidR="003C19DB" w:rsidRPr="00956E59" w:rsidRDefault="00186CD0">
            <w:pPr>
              <w:pStyle w:val="TableParagraph"/>
              <w:ind w:left="110"/>
              <w:rPr>
                <w:lang w:val="es-ES_tradnl"/>
              </w:rPr>
            </w:pPr>
            <w:r w:rsidRPr="00956E59">
              <w:rPr>
                <w:u w:val="single"/>
                <w:lang w:val="es-ES_tradnl"/>
              </w:rPr>
              <w:t>Presupuesto del proyecto</w:t>
            </w:r>
          </w:p>
        </w:tc>
        <w:tc>
          <w:tcPr>
            <w:tcW w:w="6913" w:type="dxa"/>
          </w:tcPr>
          <w:p w14:paraId="71F0BE5A" w14:textId="426A4E11" w:rsidR="003C19DB" w:rsidRPr="00956E59" w:rsidRDefault="00186CD0">
            <w:pPr>
              <w:pStyle w:val="TableParagraph"/>
              <w:ind w:left="109" w:right="255"/>
              <w:rPr>
                <w:lang w:val="es-ES_tradnl"/>
              </w:rPr>
            </w:pPr>
            <w:r w:rsidRPr="00956E59">
              <w:rPr>
                <w:lang w:val="es-ES_tradnl"/>
              </w:rPr>
              <w:t>Presupuesto total del proyecto: 556</w:t>
            </w:r>
            <w:r w:rsidR="00FE33D5" w:rsidRPr="00956E59">
              <w:rPr>
                <w:lang w:val="es-ES_tradnl"/>
              </w:rPr>
              <w:t xml:space="preserve"> </w:t>
            </w:r>
            <w:r w:rsidRPr="00956E59">
              <w:rPr>
                <w:lang w:val="es-ES_tradnl"/>
              </w:rPr>
              <w:t>000 francos suizos, de los cuales: 385</w:t>
            </w:r>
            <w:r w:rsidR="00FE33D5" w:rsidRPr="00956E59">
              <w:rPr>
                <w:lang w:val="es-ES_tradnl"/>
              </w:rPr>
              <w:t xml:space="preserve"> </w:t>
            </w:r>
            <w:r w:rsidRPr="00956E59">
              <w:rPr>
                <w:lang w:val="es-ES_tradnl"/>
              </w:rPr>
              <w:t xml:space="preserve">000 francos suizos </w:t>
            </w:r>
            <w:r w:rsidR="00FE33D5" w:rsidRPr="00956E59">
              <w:rPr>
                <w:lang w:val="es-ES_tradnl"/>
              </w:rPr>
              <w:t>asignados a recursos no relativos a personal</w:t>
            </w:r>
            <w:r w:rsidRPr="00956E59">
              <w:rPr>
                <w:lang w:val="es-ES_tradnl"/>
              </w:rPr>
              <w:t xml:space="preserve"> y 171</w:t>
            </w:r>
            <w:r w:rsidR="00FE33D5" w:rsidRPr="00956E59">
              <w:rPr>
                <w:lang w:val="es-ES_tradnl"/>
              </w:rPr>
              <w:t xml:space="preserve"> </w:t>
            </w:r>
            <w:r w:rsidRPr="00956E59">
              <w:rPr>
                <w:lang w:val="es-ES_tradnl"/>
              </w:rPr>
              <w:t>000 francos suizos a recursos de personal.</w:t>
            </w:r>
          </w:p>
        </w:tc>
      </w:tr>
      <w:tr w:rsidR="00DE072E" w:rsidRPr="00956E59" w14:paraId="03818CA8" w14:textId="77777777" w:rsidTr="00265875">
        <w:trPr>
          <w:trHeight w:val="441"/>
        </w:trPr>
        <w:tc>
          <w:tcPr>
            <w:tcW w:w="2377" w:type="dxa"/>
            <w:shd w:val="clear" w:color="auto" w:fill="8DB3E1"/>
          </w:tcPr>
          <w:p w14:paraId="531A8A69" w14:textId="77777777" w:rsidR="003C19DB" w:rsidRPr="00956E59" w:rsidRDefault="00186CD0">
            <w:pPr>
              <w:pStyle w:val="TableParagraph"/>
              <w:spacing w:before="1"/>
              <w:ind w:left="110"/>
              <w:rPr>
                <w:lang w:val="es-ES_tradnl"/>
              </w:rPr>
            </w:pPr>
            <w:r w:rsidRPr="00956E59">
              <w:rPr>
                <w:u w:val="single"/>
                <w:lang w:val="es-ES_tradnl"/>
              </w:rPr>
              <w:t>Duración del proyecto</w:t>
            </w:r>
          </w:p>
        </w:tc>
        <w:tc>
          <w:tcPr>
            <w:tcW w:w="6913" w:type="dxa"/>
          </w:tcPr>
          <w:p w14:paraId="3C3CCC97" w14:textId="77777777" w:rsidR="003C19DB" w:rsidRPr="00956E59" w:rsidRDefault="00186CD0">
            <w:pPr>
              <w:pStyle w:val="TableParagraph"/>
              <w:spacing w:before="1"/>
              <w:ind w:left="109"/>
              <w:rPr>
                <w:lang w:val="es-ES_tradnl"/>
              </w:rPr>
            </w:pPr>
            <w:r w:rsidRPr="00956E59">
              <w:rPr>
                <w:lang w:val="es-ES_tradnl"/>
              </w:rPr>
              <w:t>48 meses</w:t>
            </w:r>
          </w:p>
        </w:tc>
      </w:tr>
      <w:tr w:rsidR="00DE072E" w:rsidRPr="00956E59" w14:paraId="07D138BA" w14:textId="77777777" w:rsidTr="00265875">
        <w:trPr>
          <w:trHeight w:val="891"/>
        </w:trPr>
        <w:tc>
          <w:tcPr>
            <w:tcW w:w="2377" w:type="dxa"/>
            <w:shd w:val="clear" w:color="auto" w:fill="8DB3E1"/>
          </w:tcPr>
          <w:p w14:paraId="1BFDCDAB" w14:textId="77777777" w:rsidR="003C19DB" w:rsidRPr="00956E59" w:rsidRDefault="00186CD0">
            <w:pPr>
              <w:pStyle w:val="TableParagraph"/>
              <w:spacing w:line="252" w:lineRule="exact"/>
              <w:ind w:left="110"/>
              <w:rPr>
                <w:lang w:val="es-ES_tradnl"/>
              </w:rPr>
            </w:pPr>
            <w:r w:rsidRPr="00956E59">
              <w:rPr>
                <w:u w:val="single"/>
                <w:lang w:val="es-ES_tradnl"/>
              </w:rPr>
              <w:t>Principales sectores o ámbitos de la OMPI implicados en la ejecución del proyecto</w:t>
            </w:r>
          </w:p>
        </w:tc>
        <w:tc>
          <w:tcPr>
            <w:tcW w:w="6913" w:type="dxa"/>
          </w:tcPr>
          <w:p w14:paraId="72C7DB48" w14:textId="0341C683" w:rsidR="003C19DB" w:rsidRPr="00956E59" w:rsidRDefault="00186CD0">
            <w:pPr>
              <w:pStyle w:val="TableParagraph"/>
              <w:ind w:left="109" w:right="531"/>
              <w:rPr>
                <w:lang w:val="es-ES_tradnl"/>
              </w:rPr>
            </w:pPr>
            <w:r w:rsidRPr="00956E59">
              <w:rPr>
                <w:lang w:val="es-ES_tradnl"/>
              </w:rPr>
              <w:t xml:space="preserve">Sector </w:t>
            </w:r>
            <w:r w:rsidR="00FE33D5" w:rsidRPr="00956E59">
              <w:rPr>
                <w:lang w:val="es-ES_tradnl"/>
              </w:rPr>
              <w:t>encargado de la</w:t>
            </w:r>
            <w:r w:rsidRPr="00956E59">
              <w:rPr>
                <w:lang w:val="es-ES_tradnl"/>
              </w:rPr>
              <w:t xml:space="preserve"> ejecución: Derecho de autor e </w:t>
            </w:r>
            <w:r w:rsidR="00FE33D5" w:rsidRPr="00956E59">
              <w:rPr>
                <w:lang w:val="es-ES_tradnl"/>
              </w:rPr>
              <w:t>I</w:t>
            </w:r>
            <w:r w:rsidRPr="00956E59">
              <w:rPr>
                <w:lang w:val="es-ES_tradnl"/>
              </w:rPr>
              <w:t xml:space="preserve">ndustrias </w:t>
            </w:r>
            <w:r w:rsidR="00FE33D5" w:rsidRPr="00956E59">
              <w:rPr>
                <w:lang w:val="es-ES_tradnl"/>
              </w:rPr>
              <w:t>C</w:t>
            </w:r>
            <w:r w:rsidRPr="00956E59">
              <w:rPr>
                <w:lang w:val="es-ES_tradnl"/>
              </w:rPr>
              <w:t xml:space="preserve">reativas </w:t>
            </w:r>
          </w:p>
          <w:p w14:paraId="783441E7" w14:textId="35584BF6" w:rsidR="003C19DB" w:rsidRPr="00956E59" w:rsidRDefault="00186CD0">
            <w:pPr>
              <w:pStyle w:val="TableParagraph"/>
              <w:ind w:left="109" w:right="531"/>
              <w:rPr>
                <w:lang w:val="es-ES_tradnl"/>
              </w:rPr>
            </w:pPr>
            <w:r w:rsidRPr="00956E59">
              <w:rPr>
                <w:lang w:val="es-ES_tradnl"/>
              </w:rPr>
              <w:t xml:space="preserve">Otros sectores implicados: </w:t>
            </w:r>
            <w:r w:rsidR="00FE33D5" w:rsidRPr="00956E59">
              <w:rPr>
                <w:lang w:val="es-ES_tradnl"/>
              </w:rPr>
              <w:t xml:space="preserve">Sector de PI y Ecosistemas de Innovación </w:t>
            </w:r>
          </w:p>
        </w:tc>
      </w:tr>
      <w:tr w:rsidR="00637F9F" w:rsidRPr="00956E59" w14:paraId="4B1CBB48" w14:textId="77777777" w:rsidTr="00302691">
        <w:trPr>
          <w:trHeight w:val="621"/>
        </w:trPr>
        <w:tc>
          <w:tcPr>
            <w:tcW w:w="2377" w:type="dxa"/>
            <w:shd w:val="clear" w:color="auto" w:fill="8DB3E1"/>
            <w:vAlign w:val="center"/>
          </w:tcPr>
          <w:p w14:paraId="0079EA27" w14:textId="77777777" w:rsidR="003C19DB" w:rsidRPr="00956E59" w:rsidRDefault="00186CD0">
            <w:pPr>
              <w:pStyle w:val="TableParagraph"/>
              <w:spacing w:before="1"/>
              <w:ind w:left="110" w:right="378"/>
              <w:rPr>
                <w:lang w:val="es-ES_tradnl"/>
              </w:rPr>
            </w:pPr>
            <w:r w:rsidRPr="00956E59">
              <w:rPr>
                <w:u w:val="single"/>
                <w:lang w:val="es-ES_tradnl"/>
              </w:rPr>
              <w:t>Breve descripción del proyecto</w:t>
            </w:r>
          </w:p>
        </w:tc>
        <w:tc>
          <w:tcPr>
            <w:tcW w:w="6913" w:type="dxa"/>
          </w:tcPr>
          <w:p w14:paraId="60187E95" w14:textId="5B315B31" w:rsidR="003C19DB" w:rsidRPr="00956E59" w:rsidRDefault="00186CD0">
            <w:pPr>
              <w:pStyle w:val="TableParagraph"/>
              <w:spacing w:after="240"/>
              <w:ind w:left="115"/>
              <w:rPr>
                <w:lang w:val="es-ES_tradnl"/>
              </w:rPr>
            </w:pPr>
            <w:r w:rsidRPr="00956E59">
              <w:rPr>
                <w:lang w:val="es-ES_tradnl"/>
              </w:rPr>
              <w:t xml:space="preserve">El objetivo del proyecto era </w:t>
            </w:r>
            <w:r w:rsidR="00FE33D5" w:rsidRPr="00956E59">
              <w:rPr>
                <w:lang w:val="es-ES_tradnl"/>
              </w:rPr>
              <w:t>ofrecer información clara sobre los sistemas nacionales de derecho de autor y derechos conexos que se aplican al contenido audiovisual cuya explotación se concede en licencia y se distribuye en el entorno digital.</w:t>
            </w:r>
            <w:r w:rsidRPr="00956E59">
              <w:rPr>
                <w:lang w:val="es-ES_tradnl"/>
              </w:rPr>
              <w:t xml:space="preserve"> En particular, el proyecto </w:t>
            </w:r>
            <w:r w:rsidR="0070202E" w:rsidRPr="00956E59">
              <w:rPr>
                <w:lang w:val="es-ES_tradnl"/>
              </w:rPr>
              <w:t>se centró en sensibilizar</w:t>
            </w:r>
            <w:r w:rsidRPr="00956E59">
              <w:rPr>
                <w:lang w:val="es-ES_tradnl"/>
              </w:rPr>
              <w:t xml:space="preserve"> a los creadores y a las partes interesadas sobre las normas nacionales vigentes y </w:t>
            </w:r>
            <w:r w:rsidR="0070202E" w:rsidRPr="00956E59">
              <w:rPr>
                <w:lang w:val="es-ES_tradnl"/>
              </w:rPr>
              <w:t xml:space="preserve">en </w:t>
            </w:r>
            <w:r w:rsidRPr="00956E59">
              <w:rPr>
                <w:lang w:val="es-ES_tradnl"/>
              </w:rPr>
              <w:t>evalu</w:t>
            </w:r>
            <w:r w:rsidR="0070202E" w:rsidRPr="00956E59">
              <w:rPr>
                <w:lang w:val="es-ES_tradnl"/>
              </w:rPr>
              <w:t>ar</w:t>
            </w:r>
            <w:r w:rsidRPr="00956E59">
              <w:rPr>
                <w:lang w:val="es-ES_tradnl"/>
              </w:rPr>
              <w:t xml:space="preserve"> </w:t>
            </w:r>
            <w:r w:rsidR="0070202E" w:rsidRPr="00956E59">
              <w:rPr>
                <w:lang w:val="es-ES_tradnl"/>
              </w:rPr>
              <w:t>la situación</w:t>
            </w:r>
            <w:r w:rsidRPr="00956E59">
              <w:rPr>
                <w:lang w:val="es-ES_tradnl"/>
              </w:rPr>
              <w:t xml:space="preserve"> actual </w:t>
            </w:r>
            <w:r w:rsidR="0070202E" w:rsidRPr="00956E59">
              <w:rPr>
                <w:lang w:val="es-ES_tradnl"/>
              </w:rPr>
              <w:t>en relación con</w:t>
            </w:r>
            <w:r w:rsidRPr="00956E59">
              <w:rPr>
                <w:lang w:val="es-ES_tradnl"/>
              </w:rPr>
              <w:t xml:space="preserve"> </w:t>
            </w:r>
            <w:r w:rsidR="00FE33D5" w:rsidRPr="00956E59">
              <w:rPr>
                <w:lang w:val="es-ES_tradnl"/>
              </w:rPr>
              <w:t>el</w:t>
            </w:r>
            <w:r w:rsidRPr="00956E59">
              <w:rPr>
                <w:lang w:val="es-ES_tradnl"/>
              </w:rPr>
              <w:t xml:space="preserve"> </w:t>
            </w:r>
            <w:r w:rsidR="00FE33D5" w:rsidRPr="00956E59">
              <w:rPr>
                <w:lang w:val="es-ES_tradnl"/>
              </w:rPr>
              <w:t>derecho de autor</w:t>
            </w:r>
            <w:r w:rsidRPr="00956E59">
              <w:rPr>
                <w:lang w:val="es-ES_tradnl"/>
              </w:rPr>
              <w:t xml:space="preserve"> y </w:t>
            </w:r>
            <w:r w:rsidR="0070202E" w:rsidRPr="00956E59">
              <w:rPr>
                <w:lang w:val="es-ES_tradnl"/>
              </w:rPr>
              <w:t xml:space="preserve">los </w:t>
            </w:r>
            <w:r w:rsidRPr="00956E59">
              <w:rPr>
                <w:lang w:val="es-ES_tradnl"/>
              </w:rPr>
              <w:t xml:space="preserve">derechos </w:t>
            </w:r>
            <w:r w:rsidR="00FE33D5" w:rsidRPr="00956E59">
              <w:rPr>
                <w:lang w:val="es-ES_tradnl"/>
              </w:rPr>
              <w:t>conexos</w:t>
            </w:r>
            <w:r w:rsidRPr="00956E59">
              <w:rPr>
                <w:lang w:val="es-ES_tradnl"/>
              </w:rPr>
              <w:t xml:space="preserve"> en los mercados audiovisuales digitales de los países participantes:  Argentina, Brasil, Costa Rica, Ecuador, Perú y Uruguay.</w:t>
            </w:r>
          </w:p>
          <w:p w14:paraId="26BCFE9C" w14:textId="3C6AC33F" w:rsidR="003C19DB" w:rsidRPr="00956E59" w:rsidRDefault="00186CD0" w:rsidP="00AB3225">
            <w:pPr>
              <w:pStyle w:val="TableParagraph"/>
              <w:ind w:left="109"/>
              <w:rPr>
                <w:lang w:val="es-ES_tradnl"/>
              </w:rPr>
            </w:pPr>
            <w:r w:rsidRPr="00956E59">
              <w:rPr>
                <w:lang w:val="es-ES_tradnl"/>
              </w:rPr>
              <w:t xml:space="preserve">El proyecto también tenía como objetivo </w:t>
            </w:r>
            <w:r w:rsidR="00FE33D5" w:rsidRPr="00956E59">
              <w:rPr>
                <w:lang w:val="es-ES_tradnl"/>
              </w:rPr>
              <w:t xml:space="preserve">determinar el derecho de autor y derechos conexos que afectan a la distribución de contenidos audiovisuales en el entorno digital en los distintos marcos jurídicos nacionales, </w:t>
            </w:r>
            <w:r w:rsidR="00AB3225" w:rsidRPr="00956E59">
              <w:rPr>
                <w:lang w:val="es-ES_tradnl"/>
              </w:rPr>
              <w:t xml:space="preserve">con el fin de </w:t>
            </w:r>
            <w:r w:rsidR="00FE33D5" w:rsidRPr="00956E59">
              <w:rPr>
                <w:lang w:val="es-ES_tradnl"/>
              </w:rPr>
              <w:t>mejorar el conocimiento que tienen del sector los creadores, titulares de derechos y partes interesadas</w:t>
            </w:r>
            <w:r w:rsidR="00E6774A" w:rsidRPr="00956E59">
              <w:rPr>
                <w:lang w:val="es-ES_tradnl"/>
              </w:rPr>
              <w:t xml:space="preserve"> en el plano local</w:t>
            </w:r>
            <w:r w:rsidR="00FE33D5" w:rsidRPr="00956E59">
              <w:rPr>
                <w:lang w:val="es-ES_tradnl"/>
              </w:rPr>
              <w:t xml:space="preserve">. Ampliar el acceso de los interesados locales, a saber, los creadores, los productores, las plataformas digitales y los encargados de la formulación de políticas, a la información pertinente sobre derecho de autor y derechos conexos podría </w:t>
            </w:r>
            <w:r w:rsidR="00AB3225" w:rsidRPr="00956E59">
              <w:rPr>
                <w:lang w:val="es-ES_tradnl"/>
              </w:rPr>
              <w:t>contribuir</w:t>
            </w:r>
            <w:r w:rsidR="00FE33D5" w:rsidRPr="00956E59">
              <w:rPr>
                <w:lang w:val="es-ES_tradnl"/>
              </w:rPr>
              <w:t xml:space="preserve"> al desarrollo del mercado digital local y a la explotación de los contenidos audiovisuales locales.</w:t>
            </w:r>
          </w:p>
          <w:p w14:paraId="3B807BDE" w14:textId="77777777" w:rsidR="00AB3225" w:rsidRPr="00956E59" w:rsidRDefault="00AB3225" w:rsidP="00AB3225">
            <w:pPr>
              <w:pStyle w:val="TableParagraph"/>
              <w:ind w:left="109"/>
              <w:rPr>
                <w:lang w:val="es-ES_tradnl"/>
              </w:rPr>
            </w:pPr>
          </w:p>
        </w:tc>
      </w:tr>
      <w:tr w:rsidR="00637F9F" w:rsidRPr="00956E59" w14:paraId="66DDC5C4" w14:textId="77777777" w:rsidTr="00302691">
        <w:trPr>
          <w:trHeight w:val="441"/>
        </w:trPr>
        <w:tc>
          <w:tcPr>
            <w:tcW w:w="2377" w:type="dxa"/>
            <w:shd w:val="clear" w:color="auto" w:fill="8DB3E1"/>
            <w:vAlign w:val="center"/>
          </w:tcPr>
          <w:p w14:paraId="28498583" w14:textId="77777777" w:rsidR="003C19DB" w:rsidRPr="00956E59" w:rsidRDefault="00186CD0">
            <w:pPr>
              <w:pStyle w:val="TableParagraph"/>
              <w:ind w:left="110"/>
              <w:rPr>
                <w:lang w:val="es-ES_tradnl"/>
              </w:rPr>
            </w:pPr>
            <w:r w:rsidRPr="00956E59">
              <w:rPr>
                <w:u w:val="single"/>
                <w:lang w:val="es-ES_tradnl"/>
              </w:rPr>
              <w:t>Director de proyecto</w:t>
            </w:r>
          </w:p>
        </w:tc>
        <w:tc>
          <w:tcPr>
            <w:tcW w:w="6913" w:type="dxa"/>
          </w:tcPr>
          <w:p w14:paraId="2793A997" w14:textId="3D4D29A8" w:rsidR="003C19DB" w:rsidRPr="00956E59" w:rsidRDefault="00637F9F">
            <w:pPr>
              <w:pStyle w:val="TableParagraph"/>
              <w:spacing w:after="120"/>
              <w:ind w:left="115"/>
              <w:rPr>
                <w:lang w:val="es-ES_tradnl"/>
              </w:rPr>
            </w:pPr>
            <w:r w:rsidRPr="00956E59">
              <w:rPr>
                <w:lang w:val="es-ES_tradnl"/>
              </w:rPr>
              <w:t xml:space="preserve">Sr. Rafael Ferraz Vázquez, </w:t>
            </w:r>
            <w:r w:rsidR="00E6774A" w:rsidRPr="00956E59">
              <w:rPr>
                <w:lang w:val="es-ES_tradnl"/>
              </w:rPr>
              <w:t>jurista</w:t>
            </w:r>
            <w:r w:rsidRPr="00956E59">
              <w:rPr>
                <w:lang w:val="es-ES_tradnl"/>
              </w:rPr>
              <w:t>, División de Derecho de Autor (Sector de Derecho de Autor e Industrias Creativas)</w:t>
            </w:r>
          </w:p>
        </w:tc>
      </w:tr>
      <w:tr w:rsidR="00DE072E" w:rsidRPr="00956E59" w14:paraId="05A9F7A1" w14:textId="77777777" w:rsidTr="00265875">
        <w:trPr>
          <w:trHeight w:val="792"/>
        </w:trPr>
        <w:tc>
          <w:tcPr>
            <w:tcW w:w="2377" w:type="dxa"/>
            <w:shd w:val="clear" w:color="auto" w:fill="8DB3E1"/>
          </w:tcPr>
          <w:p w14:paraId="64F8EE15" w14:textId="68A0F867" w:rsidR="003C19DB" w:rsidRPr="00956E59" w:rsidRDefault="00186CD0">
            <w:pPr>
              <w:pStyle w:val="TableParagraph"/>
              <w:ind w:left="110" w:right="221"/>
              <w:rPr>
                <w:lang w:val="es-ES_tradnl"/>
              </w:rPr>
            </w:pPr>
            <w:r w:rsidRPr="00956E59">
              <w:rPr>
                <w:u w:val="single"/>
                <w:lang w:val="es-ES_tradnl"/>
              </w:rPr>
              <w:t>Vínculos con los resultados previstos en e</w:t>
            </w:r>
            <w:r w:rsidR="0070202E" w:rsidRPr="00956E59">
              <w:rPr>
                <w:u w:val="single"/>
                <w:lang w:val="es-ES_tradnl"/>
              </w:rPr>
              <w:t>l presupuesto por programas</w:t>
            </w:r>
          </w:p>
        </w:tc>
        <w:tc>
          <w:tcPr>
            <w:tcW w:w="6913" w:type="dxa"/>
          </w:tcPr>
          <w:p w14:paraId="3CD27B76" w14:textId="0F466C0C" w:rsidR="003C19DB" w:rsidRPr="00956E59" w:rsidRDefault="0070202E">
            <w:pPr>
              <w:pStyle w:val="TableParagraph"/>
              <w:spacing w:after="240"/>
              <w:ind w:left="115" w:right="115"/>
              <w:rPr>
                <w:lang w:val="es-ES_tradnl"/>
              </w:rPr>
            </w:pPr>
            <w:r w:rsidRPr="00956E59">
              <w:rPr>
                <w:u w:val="single"/>
                <w:lang w:val="es-ES_tradnl"/>
              </w:rPr>
              <w:t>Presupuesto por programas</w:t>
            </w:r>
            <w:r w:rsidR="00186CD0" w:rsidRPr="00956E59">
              <w:rPr>
                <w:u w:val="single"/>
                <w:lang w:val="es-ES_tradnl"/>
              </w:rPr>
              <w:t xml:space="preserve"> para </w:t>
            </w:r>
            <w:r w:rsidR="00DE6626" w:rsidRPr="00956E59">
              <w:rPr>
                <w:u w:val="single"/>
                <w:lang w:val="es-ES_tradnl"/>
              </w:rPr>
              <w:t xml:space="preserve">los bienios </w:t>
            </w:r>
            <w:r w:rsidR="00DE072E" w:rsidRPr="00956E59">
              <w:rPr>
                <w:u w:val="single"/>
                <w:lang w:val="es-ES_tradnl"/>
              </w:rPr>
              <w:t xml:space="preserve">2018/19 </w:t>
            </w:r>
            <w:r w:rsidR="00186CD0" w:rsidRPr="00956E59">
              <w:rPr>
                <w:u w:val="single"/>
                <w:lang w:val="es-ES_tradnl"/>
              </w:rPr>
              <w:t xml:space="preserve">y </w:t>
            </w:r>
            <w:r w:rsidR="00DE072E" w:rsidRPr="00956E59">
              <w:rPr>
                <w:u w:val="single"/>
                <w:lang w:val="es-ES_tradnl"/>
              </w:rPr>
              <w:t>2020/21</w:t>
            </w:r>
            <w:r w:rsidR="00DE072E" w:rsidRPr="00956E59">
              <w:rPr>
                <w:lang w:val="es-ES_tradnl"/>
              </w:rPr>
              <w:t>:</w:t>
            </w:r>
          </w:p>
          <w:p w14:paraId="71D743EB" w14:textId="0B35C1A8" w:rsidR="003C19DB" w:rsidRPr="00956E59" w:rsidRDefault="00186CD0">
            <w:pPr>
              <w:pStyle w:val="TableParagraph"/>
              <w:spacing w:after="240"/>
              <w:ind w:left="115" w:right="115"/>
              <w:rPr>
                <w:lang w:val="es-ES_tradnl"/>
              </w:rPr>
            </w:pPr>
            <w:r w:rsidRPr="00956E59">
              <w:rPr>
                <w:lang w:val="es-ES_tradnl"/>
              </w:rPr>
              <w:t xml:space="preserve">Resultado previsto </w:t>
            </w:r>
            <w:r w:rsidR="00E6774A" w:rsidRPr="00956E59">
              <w:rPr>
                <w:lang w:val="es-ES_tradnl"/>
              </w:rPr>
              <w:t>1</w:t>
            </w:r>
            <w:r w:rsidRPr="00956E59">
              <w:rPr>
                <w:lang w:val="es-ES_tradnl"/>
              </w:rPr>
              <w:t>.2: Marcos de PI adaptados y equilibrados en el ámbito legislativo, regulador y de política</w:t>
            </w:r>
            <w:r w:rsidR="00DE072E" w:rsidRPr="00956E59">
              <w:rPr>
                <w:lang w:val="es-ES_tradnl"/>
              </w:rPr>
              <w:t xml:space="preserve">. </w:t>
            </w:r>
          </w:p>
          <w:p w14:paraId="6A557758" w14:textId="5AECDC56" w:rsidR="003C19DB" w:rsidRPr="00956E59" w:rsidRDefault="00186CD0">
            <w:pPr>
              <w:pStyle w:val="TableParagraph"/>
              <w:spacing w:after="240"/>
              <w:ind w:left="115" w:right="115"/>
              <w:rPr>
                <w:lang w:val="es-ES_tradnl"/>
              </w:rPr>
            </w:pPr>
            <w:r w:rsidRPr="00956E59">
              <w:rPr>
                <w:lang w:val="es-ES_tradnl"/>
              </w:rPr>
              <w:t xml:space="preserve">Resultado previsto </w:t>
            </w:r>
            <w:r w:rsidR="00E6774A" w:rsidRPr="00956E59">
              <w:rPr>
                <w:lang w:val="es-ES_tradnl"/>
              </w:rPr>
              <w:t>3</w:t>
            </w:r>
            <w:r w:rsidRPr="00956E59">
              <w:rPr>
                <w:lang w:val="es-ES_tradnl"/>
              </w:rPr>
              <w:t>.4: Fortalecimiento de los mecanismos de cooperación con instituciones de países en desarrollo, PMA y países con economías en transición, conforme a sus necesidades</w:t>
            </w:r>
            <w:r w:rsidR="00DE072E" w:rsidRPr="00956E59">
              <w:rPr>
                <w:lang w:val="es-ES_tradnl"/>
              </w:rPr>
              <w:t>.</w:t>
            </w:r>
          </w:p>
          <w:p w14:paraId="6BD0573D" w14:textId="121D8030" w:rsidR="003C19DB" w:rsidRPr="00956E59" w:rsidRDefault="00186CD0">
            <w:pPr>
              <w:pStyle w:val="TableParagraph"/>
              <w:spacing w:after="600"/>
              <w:ind w:left="115" w:right="115"/>
              <w:rPr>
                <w:lang w:val="es-ES_tradnl"/>
              </w:rPr>
            </w:pPr>
            <w:r w:rsidRPr="00956E59">
              <w:rPr>
                <w:lang w:val="es-ES_tradnl"/>
              </w:rPr>
              <w:t xml:space="preserve">Resultado previsto </w:t>
            </w:r>
            <w:r w:rsidR="00E6774A" w:rsidRPr="00956E59">
              <w:rPr>
                <w:lang w:val="es-ES_tradnl"/>
              </w:rPr>
              <w:t>4</w:t>
            </w:r>
            <w:r w:rsidRPr="00956E59">
              <w:rPr>
                <w:lang w:val="es-ES_tradnl"/>
              </w:rPr>
              <w:t xml:space="preserve">.2: Mejora del acceso y uso de información de </w:t>
            </w:r>
            <w:r w:rsidRPr="00956E59">
              <w:rPr>
                <w:lang w:val="es-ES_tradnl"/>
              </w:rPr>
              <w:lastRenderedPageBreak/>
              <w:t xml:space="preserve">PI por parte de instituciones de PI y el público para fomentar la innovación y la creatividad. </w:t>
            </w:r>
          </w:p>
          <w:p w14:paraId="32AFAB0F" w14:textId="09559027" w:rsidR="003C19DB" w:rsidRPr="00956E59" w:rsidRDefault="0070202E">
            <w:pPr>
              <w:pStyle w:val="TableParagraph"/>
              <w:spacing w:after="240"/>
              <w:ind w:left="115" w:right="115"/>
              <w:rPr>
                <w:lang w:val="es-ES_tradnl"/>
              </w:rPr>
            </w:pPr>
            <w:r w:rsidRPr="00956E59">
              <w:rPr>
                <w:u w:val="single"/>
                <w:lang w:val="es-ES_tradnl"/>
              </w:rPr>
              <w:t>Presupuesto por programas</w:t>
            </w:r>
            <w:r w:rsidR="00A267DC" w:rsidRPr="00956E59">
              <w:rPr>
                <w:u w:val="single"/>
                <w:lang w:val="es-ES_tradnl"/>
              </w:rPr>
              <w:t xml:space="preserve"> para 2022/23</w:t>
            </w:r>
            <w:r w:rsidR="00A267DC" w:rsidRPr="00956E59">
              <w:rPr>
                <w:lang w:val="es-ES_tradnl"/>
              </w:rPr>
              <w:t>:</w:t>
            </w:r>
          </w:p>
          <w:p w14:paraId="18422782" w14:textId="0DD98C1A" w:rsidR="003C19DB" w:rsidRPr="00956E59" w:rsidRDefault="00186CD0">
            <w:pPr>
              <w:pStyle w:val="TableParagraph"/>
              <w:spacing w:after="240"/>
              <w:ind w:left="115" w:right="115"/>
              <w:rPr>
                <w:lang w:val="es-ES_tradnl"/>
              </w:rPr>
            </w:pPr>
            <w:r w:rsidRPr="00956E59">
              <w:rPr>
                <w:lang w:val="es-ES_tradnl"/>
              </w:rPr>
              <w:t xml:space="preserve">Resultado </w:t>
            </w:r>
            <w:r w:rsidR="00E6774A" w:rsidRPr="00956E59">
              <w:rPr>
                <w:lang w:val="es-ES_tradnl"/>
              </w:rPr>
              <w:t xml:space="preserve">previsto </w:t>
            </w:r>
            <w:r w:rsidRPr="00956E59">
              <w:rPr>
                <w:lang w:val="es-ES_tradnl"/>
              </w:rPr>
              <w:t xml:space="preserve">1.1: </w:t>
            </w:r>
            <w:r w:rsidR="00517144" w:rsidRPr="00956E59">
              <w:rPr>
                <w:lang w:val="es-ES_tradnl"/>
              </w:rPr>
              <w:t>Una comunicación y una implicación más sólidas en todo el mundo para aumentar la concienciación y el conocimiento sobre la forma en que la PI puede mejorar la vida de la humanidad en su conjunto, y en todas partes</w:t>
            </w:r>
            <w:r w:rsidRPr="00956E59">
              <w:rPr>
                <w:lang w:val="es-ES_tradnl"/>
              </w:rPr>
              <w:t xml:space="preserve">. </w:t>
            </w:r>
          </w:p>
          <w:p w14:paraId="3CF25D86" w14:textId="09009F8F" w:rsidR="003C19DB" w:rsidRPr="00956E59" w:rsidRDefault="00186CD0">
            <w:pPr>
              <w:pStyle w:val="TableParagraph"/>
              <w:spacing w:after="240"/>
              <w:ind w:left="115" w:right="115"/>
              <w:rPr>
                <w:lang w:val="es-ES_tradnl"/>
              </w:rPr>
            </w:pPr>
            <w:r w:rsidRPr="00956E59">
              <w:rPr>
                <w:lang w:val="es-ES_tradnl"/>
              </w:rPr>
              <w:t xml:space="preserve">Resultado </w:t>
            </w:r>
            <w:r w:rsidR="00E6774A" w:rsidRPr="00956E59">
              <w:rPr>
                <w:lang w:val="es-ES_tradnl"/>
              </w:rPr>
              <w:t xml:space="preserve">previsto </w:t>
            </w:r>
            <w:r w:rsidRPr="00956E59">
              <w:rPr>
                <w:lang w:val="es-ES_tradnl"/>
              </w:rPr>
              <w:t xml:space="preserve">4.1: </w:t>
            </w:r>
            <w:r w:rsidR="0050699A" w:rsidRPr="00956E59">
              <w:rPr>
                <w:lang w:val="es-ES_tradnl"/>
              </w:rPr>
              <w:t xml:space="preserve">Un uso más eficaz de la propiedad intelectual para apoyar el crecimiento y el desarrollo de todos los Estados miembros y sus regiones y subregiones, entre otras cosas, mediante la </w:t>
            </w:r>
            <w:r w:rsidR="0070202E" w:rsidRPr="00956E59">
              <w:rPr>
                <w:lang w:val="es-ES_tradnl"/>
              </w:rPr>
              <w:t>implantación</w:t>
            </w:r>
            <w:r w:rsidR="0050699A" w:rsidRPr="00956E59">
              <w:rPr>
                <w:lang w:val="es-ES_tradnl"/>
              </w:rPr>
              <w:t xml:space="preserve"> de las recomendaciones de la Agenda para el Desarrollo</w:t>
            </w:r>
            <w:r w:rsidRPr="00956E59">
              <w:rPr>
                <w:lang w:val="es-ES_tradnl"/>
              </w:rPr>
              <w:t xml:space="preserve">. </w:t>
            </w:r>
          </w:p>
          <w:p w14:paraId="38FAB978" w14:textId="61159F27" w:rsidR="003C19DB" w:rsidRPr="00956E59" w:rsidRDefault="00186CD0">
            <w:pPr>
              <w:pStyle w:val="TableParagraph"/>
              <w:spacing w:after="120"/>
              <w:ind w:left="115" w:right="115"/>
              <w:rPr>
                <w:lang w:val="es-ES_tradnl"/>
              </w:rPr>
            </w:pPr>
            <w:r w:rsidRPr="00956E59">
              <w:rPr>
                <w:lang w:val="es-ES_tradnl"/>
              </w:rPr>
              <w:t xml:space="preserve">Resultado </w:t>
            </w:r>
            <w:r w:rsidR="00E6774A" w:rsidRPr="00956E59">
              <w:rPr>
                <w:lang w:val="es-ES_tradnl"/>
              </w:rPr>
              <w:t>previsto</w:t>
            </w:r>
            <w:r w:rsidRPr="00956E59">
              <w:rPr>
                <w:lang w:val="es-ES_tradnl"/>
              </w:rPr>
              <w:t xml:space="preserve"> 4.3: </w:t>
            </w:r>
            <w:r w:rsidR="0050699A" w:rsidRPr="00956E59">
              <w:rPr>
                <w:lang w:val="es-ES_tradnl"/>
              </w:rPr>
              <w:t>Aumento de los conocimientos y competencias en materia de PI en todos los Estados miembros</w:t>
            </w:r>
            <w:r w:rsidRPr="00956E59">
              <w:rPr>
                <w:lang w:val="es-ES_tradnl"/>
              </w:rPr>
              <w:t>.</w:t>
            </w:r>
          </w:p>
        </w:tc>
      </w:tr>
      <w:tr w:rsidR="00DE072E" w:rsidRPr="00956E59" w14:paraId="4BDBD599" w14:textId="77777777" w:rsidTr="00265875">
        <w:trPr>
          <w:trHeight w:val="801"/>
        </w:trPr>
        <w:tc>
          <w:tcPr>
            <w:tcW w:w="2377" w:type="dxa"/>
            <w:shd w:val="clear" w:color="auto" w:fill="8DB3E1"/>
          </w:tcPr>
          <w:p w14:paraId="648D9674" w14:textId="77777777" w:rsidR="003C19DB" w:rsidRPr="00956E59" w:rsidRDefault="00186CD0">
            <w:pPr>
              <w:pStyle w:val="TableParagraph"/>
              <w:spacing w:before="1"/>
              <w:ind w:left="110" w:right="708"/>
              <w:rPr>
                <w:lang w:val="es-ES_tradnl"/>
              </w:rPr>
            </w:pPr>
            <w:r w:rsidRPr="00956E59">
              <w:rPr>
                <w:u w:val="single"/>
                <w:lang w:val="es-ES_tradnl"/>
              </w:rPr>
              <w:lastRenderedPageBreak/>
              <w:t>Resumen de la ejecución del proyecto</w:t>
            </w:r>
          </w:p>
        </w:tc>
        <w:tc>
          <w:tcPr>
            <w:tcW w:w="6913" w:type="dxa"/>
          </w:tcPr>
          <w:p w14:paraId="26D1DE79" w14:textId="77777777" w:rsidR="003C19DB" w:rsidRPr="00956E59" w:rsidRDefault="00186CD0">
            <w:pPr>
              <w:spacing w:after="240"/>
              <w:rPr>
                <w:lang w:val="es-ES_tradnl"/>
              </w:rPr>
            </w:pPr>
            <w:r w:rsidRPr="00956E59">
              <w:rPr>
                <w:lang w:val="es-ES_tradnl"/>
              </w:rPr>
              <w:t xml:space="preserve">Los dos estudios, </w:t>
            </w:r>
            <w:r w:rsidR="00250DEB" w:rsidRPr="00956E59">
              <w:rPr>
                <w:lang w:val="es-ES_tradnl"/>
              </w:rPr>
              <w:t xml:space="preserve">los </w:t>
            </w:r>
            <w:r w:rsidRPr="00956E59">
              <w:rPr>
                <w:lang w:val="es-ES_tradnl"/>
              </w:rPr>
              <w:t xml:space="preserve">siete estudios de casos y </w:t>
            </w:r>
            <w:r w:rsidR="00250DEB" w:rsidRPr="00956E59">
              <w:rPr>
                <w:lang w:val="es-ES_tradnl"/>
              </w:rPr>
              <w:t>la</w:t>
            </w:r>
            <w:r w:rsidRPr="00956E59">
              <w:rPr>
                <w:lang w:val="es-ES_tradnl"/>
              </w:rPr>
              <w:t xml:space="preserve"> nota sobre economía creativa </w:t>
            </w:r>
            <w:r w:rsidR="00250DEB" w:rsidRPr="00956E59">
              <w:rPr>
                <w:lang w:val="es-ES_tradnl"/>
              </w:rPr>
              <w:t xml:space="preserve">que se presentan a continuación </w:t>
            </w:r>
            <w:r w:rsidRPr="00956E59">
              <w:rPr>
                <w:lang w:val="es-ES_tradnl"/>
              </w:rPr>
              <w:t xml:space="preserve">se elaboraron en el marco del proyecto y pueden consultarse en el Catálogo de proyectos y </w:t>
            </w:r>
            <w:r w:rsidR="00250DEB" w:rsidRPr="00956E59">
              <w:rPr>
                <w:lang w:val="es-ES_tradnl"/>
              </w:rPr>
              <w:t>productos</w:t>
            </w:r>
            <w:r w:rsidRPr="00956E59">
              <w:rPr>
                <w:lang w:val="es-ES_tradnl"/>
              </w:rPr>
              <w:t xml:space="preserve"> de la A</w:t>
            </w:r>
            <w:r w:rsidR="00250DEB" w:rsidRPr="00956E59">
              <w:rPr>
                <w:lang w:val="es-ES_tradnl"/>
              </w:rPr>
              <w:t>D</w:t>
            </w:r>
            <w:r w:rsidRPr="00956E59">
              <w:rPr>
                <w:lang w:val="es-ES_tradnl"/>
              </w:rPr>
              <w:t xml:space="preserve"> en: </w:t>
            </w:r>
            <w:hyperlink r:id="rId12" w:history="1">
              <w:r w:rsidRPr="00956E59">
                <w:rPr>
                  <w:rStyle w:val="Hyperlink"/>
                  <w:lang w:val="es-ES_tradnl"/>
                </w:rPr>
                <w:t>dacatalogue.wipo.int/</w:t>
              </w:r>
              <w:proofErr w:type="spellStart"/>
              <w:r w:rsidRPr="00956E59">
                <w:rPr>
                  <w:rStyle w:val="Hyperlink"/>
                  <w:lang w:val="es-ES_tradnl"/>
                </w:rPr>
                <w:t>projects</w:t>
              </w:r>
              <w:proofErr w:type="spellEnd"/>
              <w:r w:rsidRPr="00956E59">
                <w:rPr>
                  <w:rStyle w:val="Hyperlink"/>
                  <w:lang w:val="es-ES_tradnl"/>
                </w:rPr>
                <w:t>/DA_1_3_4_10_11_16_25_35_01</w:t>
              </w:r>
            </w:hyperlink>
            <w:r w:rsidRPr="00956E59">
              <w:rPr>
                <w:lang w:val="es-ES_tradnl"/>
              </w:rPr>
              <w:t xml:space="preserve">. </w:t>
            </w:r>
          </w:p>
          <w:p w14:paraId="5C5084DF" w14:textId="77777777" w:rsidR="003C19DB" w:rsidRPr="00956E59" w:rsidRDefault="00186CD0">
            <w:pPr>
              <w:spacing w:after="240"/>
              <w:rPr>
                <w:b/>
                <w:lang w:val="es-ES_tradnl"/>
              </w:rPr>
            </w:pPr>
            <w:r w:rsidRPr="00956E59">
              <w:rPr>
                <w:b/>
                <w:lang w:val="es-ES_tradnl"/>
              </w:rPr>
              <w:t>I. ESTUDIO I:  MARCO JURÍDICO DE</w:t>
            </w:r>
            <w:r w:rsidR="00250DEB" w:rsidRPr="00956E59">
              <w:rPr>
                <w:b/>
                <w:lang w:val="es-ES_tradnl"/>
              </w:rPr>
              <w:t>L</w:t>
            </w:r>
            <w:r w:rsidRPr="00956E59">
              <w:rPr>
                <w:b/>
                <w:lang w:val="es-ES_tradnl"/>
              </w:rPr>
              <w:t xml:space="preserve"> </w:t>
            </w:r>
            <w:r w:rsidR="00FE33D5" w:rsidRPr="00956E59">
              <w:rPr>
                <w:b/>
                <w:lang w:val="es-ES_tradnl"/>
              </w:rPr>
              <w:t>DERECHO DE AUTOR</w:t>
            </w:r>
            <w:r w:rsidRPr="00956E59">
              <w:rPr>
                <w:b/>
                <w:lang w:val="es-ES_tradnl"/>
              </w:rPr>
              <w:t xml:space="preserve"> Y LAS PRÁCTICAS DE CONCESIÓN DE LICENCIAS DE CONTENIDOS AUDIOVISUALES EN EL ENTORNO DIGITAL</w:t>
            </w:r>
          </w:p>
          <w:p w14:paraId="180652B4" w14:textId="77777777" w:rsidR="003C19DB" w:rsidRPr="00956E59" w:rsidRDefault="00250DEB">
            <w:pPr>
              <w:spacing w:after="240"/>
              <w:rPr>
                <w:lang w:val="es-ES_tradnl"/>
              </w:rPr>
            </w:pPr>
            <w:r w:rsidRPr="00956E59">
              <w:rPr>
                <w:lang w:val="es-ES_tradnl"/>
              </w:rPr>
              <w:t>El objetivo de este estudio es proporcionar información sobre el estado actual del mercado y sobre el marco jurídico nacional y supranacional aplicable a la explotación en línea de contenidos audiovisuales en la Argentina, el Brasil, Costa Rica, el Ecuador, el Perú y el Uruguay. El estudio se divide en seis partes, a saber:</w:t>
            </w:r>
          </w:p>
          <w:p w14:paraId="459F8840" w14:textId="77777777" w:rsidR="003C19DB" w:rsidRPr="00956E59" w:rsidRDefault="00186CD0" w:rsidP="009813B7">
            <w:pPr>
              <w:spacing w:after="240"/>
              <w:rPr>
                <w:lang w:val="es-ES_tradnl"/>
              </w:rPr>
            </w:pPr>
            <w:r w:rsidRPr="00956E59">
              <w:rPr>
                <w:lang w:val="es-ES_tradnl"/>
              </w:rPr>
              <w:t xml:space="preserve">Parte 1:  </w:t>
            </w:r>
            <w:r w:rsidR="009813B7" w:rsidRPr="00956E59">
              <w:rPr>
                <w:lang w:val="es-ES_tradnl"/>
              </w:rPr>
              <w:t>Modelos de negocios de OTT audiovisuales en América Latina: Tendencias recientes y previsiones futuras</w:t>
            </w:r>
            <w:r w:rsidRPr="00956E59">
              <w:rPr>
                <w:lang w:val="es-ES_tradnl"/>
              </w:rPr>
              <w:t xml:space="preserve">, disponible en: </w:t>
            </w:r>
            <w:hyperlink r:id="rId13" w:history="1">
              <w:r w:rsidRPr="00956E59">
                <w:rPr>
                  <w:rStyle w:val="Hyperlink"/>
                  <w:lang w:val="es-ES_tradnl"/>
                </w:rPr>
                <w:t>dacatalogue.wipo.int/projectfiles/DA_1_3_4_10_11_16_25_35_01/Study_Part_1/EN/LATAM%20AV%20study_part_1_EN%20REV.</w:t>
              </w:r>
            </w:hyperlink>
            <w:r w:rsidRPr="00956E59">
              <w:rPr>
                <w:lang w:val="es-ES_tradnl"/>
              </w:rPr>
              <w:t xml:space="preserve">pdf </w:t>
            </w:r>
          </w:p>
          <w:p w14:paraId="143AD652" w14:textId="409AB0B8" w:rsidR="003C19DB" w:rsidRPr="00956E59" w:rsidRDefault="00186CD0" w:rsidP="009813B7">
            <w:pPr>
              <w:spacing w:after="240"/>
              <w:rPr>
                <w:lang w:val="es-ES_tradnl"/>
              </w:rPr>
            </w:pPr>
            <w:r w:rsidRPr="00956E59">
              <w:rPr>
                <w:lang w:val="es-ES_tradnl"/>
              </w:rPr>
              <w:t>E</w:t>
            </w:r>
            <w:r w:rsidR="009813B7" w:rsidRPr="00956E59">
              <w:rPr>
                <w:lang w:val="es-ES_tradnl"/>
              </w:rPr>
              <w:t>n e</w:t>
            </w:r>
            <w:r w:rsidRPr="00956E59">
              <w:rPr>
                <w:lang w:val="es-ES_tradnl"/>
              </w:rPr>
              <w:t xml:space="preserve">sta parte </w:t>
            </w:r>
            <w:r w:rsidR="009813B7" w:rsidRPr="00956E59">
              <w:rPr>
                <w:lang w:val="es-ES_tradnl"/>
              </w:rPr>
              <w:t xml:space="preserve">se </w:t>
            </w:r>
            <w:r w:rsidRPr="00956E59">
              <w:rPr>
                <w:lang w:val="es-ES_tradnl"/>
              </w:rPr>
              <w:t>analiza</w:t>
            </w:r>
            <w:r w:rsidR="009813B7" w:rsidRPr="00956E59">
              <w:rPr>
                <w:lang w:val="es-ES_tradnl"/>
              </w:rPr>
              <w:t xml:space="preserve"> la evolución reciente y las previsiones para el futuro de los diferentes modelos de negocios de </w:t>
            </w:r>
            <w:r w:rsidRPr="00956E59">
              <w:rPr>
                <w:lang w:val="es-ES_tradnl"/>
              </w:rPr>
              <w:t>las plataformas audiovisuales</w:t>
            </w:r>
            <w:r w:rsidR="00CE53D4" w:rsidRPr="00956E59">
              <w:rPr>
                <w:lang w:val="es-ES_tradnl"/>
              </w:rPr>
              <w:t xml:space="preserve"> OTT (“</w:t>
            </w:r>
            <w:proofErr w:type="spellStart"/>
            <w:r w:rsidRPr="00956E59">
              <w:rPr>
                <w:i/>
                <w:iCs/>
                <w:lang w:val="es-ES_tradnl"/>
              </w:rPr>
              <w:t>Over</w:t>
            </w:r>
            <w:proofErr w:type="spellEnd"/>
            <w:r w:rsidRPr="00956E59">
              <w:rPr>
                <w:i/>
                <w:iCs/>
                <w:lang w:val="es-ES_tradnl"/>
              </w:rPr>
              <w:t>-</w:t>
            </w:r>
            <w:proofErr w:type="spellStart"/>
            <w:r w:rsidRPr="00956E59">
              <w:rPr>
                <w:i/>
                <w:iCs/>
                <w:lang w:val="es-ES_tradnl"/>
              </w:rPr>
              <w:t>The</w:t>
            </w:r>
            <w:proofErr w:type="spellEnd"/>
            <w:r w:rsidRPr="00956E59">
              <w:rPr>
                <w:i/>
                <w:iCs/>
                <w:lang w:val="es-ES_tradnl"/>
              </w:rPr>
              <w:t>-Top</w:t>
            </w:r>
            <w:r w:rsidR="00CE53D4" w:rsidRPr="00956E59">
              <w:rPr>
                <w:i/>
                <w:iCs/>
                <w:lang w:val="es-ES_tradnl"/>
              </w:rPr>
              <w:t xml:space="preserve">”, </w:t>
            </w:r>
            <w:r w:rsidR="00CE53D4" w:rsidRPr="00956E59">
              <w:rPr>
                <w:lang w:val="es-ES_tradnl"/>
              </w:rPr>
              <w:t>es decir, de transmisión libre o a la carta, de contenido audiovisual por Internet)</w:t>
            </w:r>
            <w:r w:rsidRPr="00956E59">
              <w:rPr>
                <w:lang w:val="es-ES_tradnl"/>
              </w:rPr>
              <w:t xml:space="preserve"> a escala mundial y regional. S</w:t>
            </w:r>
            <w:r w:rsidR="009813B7" w:rsidRPr="00956E59">
              <w:rPr>
                <w:lang w:val="es-ES_tradnl"/>
              </w:rPr>
              <w:t xml:space="preserve">e </w:t>
            </w:r>
            <w:r w:rsidR="00BF4E6D" w:rsidRPr="00956E59">
              <w:rPr>
                <w:lang w:val="es-ES_tradnl"/>
              </w:rPr>
              <w:t>señala</w:t>
            </w:r>
            <w:r w:rsidR="009813B7" w:rsidRPr="00956E59">
              <w:rPr>
                <w:lang w:val="es-ES_tradnl"/>
              </w:rPr>
              <w:t xml:space="preserve"> </w:t>
            </w:r>
            <w:r w:rsidRPr="00956E59">
              <w:rPr>
                <w:lang w:val="es-ES_tradnl"/>
              </w:rPr>
              <w:t xml:space="preserve">que </w:t>
            </w:r>
            <w:r w:rsidR="009813B7" w:rsidRPr="00956E59">
              <w:rPr>
                <w:lang w:val="es-ES_tradnl"/>
              </w:rPr>
              <w:t xml:space="preserve">los contenidos son la parte esencial de la </w:t>
            </w:r>
            <w:r w:rsidR="00E5173D" w:rsidRPr="00956E59">
              <w:rPr>
                <w:lang w:val="es-ES_tradnl"/>
              </w:rPr>
              <w:t>propuesta</w:t>
            </w:r>
            <w:r w:rsidR="009813B7" w:rsidRPr="00956E59">
              <w:rPr>
                <w:lang w:val="es-ES_tradnl"/>
              </w:rPr>
              <w:t xml:space="preserve"> de valor </w:t>
            </w:r>
            <w:r w:rsidRPr="00956E59">
              <w:rPr>
                <w:lang w:val="es-ES_tradnl"/>
              </w:rPr>
              <w:t xml:space="preserve">de </w:t>
            </w:r>
            <w:r w:rsidR="00E5173D" w:rsidRPr="00956E59">
              <w:rPr>
                <w:lang w:val="es-ES_tradnl"/>
              </w:rPr>
              <w:t>los servicios</w:t>
            </w:r>
            <w:r w:rsidRPr="00956E59">
              <w:rPr>
                <w:lang w:val="es-ES_tradnl"/>
              </w:rPr>
              <w:t xml:space="preserve"> OTT audiovisual</w:t>
            </w:r>
            <w:r w:rsidR="00E5173D" w:rsidRPr="00956E59">
              <w:rPr>
                <w:lang w:val="es-ES_tradnl"/>
              </w:rPr>
              <w:t>es</w:t>
            </w:r>
            <w:r w:rsidRPr="00956E59">
              <w:rPr>
                <w:lang w:val="es-ES_tradnl"/>
              </w:rPr>
              <w:t xml:space="preserve">, lo que ha </w:t>
            </w:r>
            <w:r w:rsidR="00E5173D" w:rsidRPr="00956E59">
              <w:rPr>
                <w:lang w:val="es-ES_tradnl"/>
              </w:rPr>
              <w:t>dado lugar a</w:t>
            </w:r>
            <w:r w:rsidRPr="00956E59">
              <w:rPr>
                <w:lang w:val="es-ES_tradnl"/>
              </w:rPr>
              <w:t xml:space="preserve"> un aumento de la gama de productos. En ese contexto, la producción de contenidos</w:t>
            </w:r>
            <w:r w:rsidR="00E5173D" w:rsidRPr="00956E59">
              <w:rPr>
                <w:lang w:val="es-ES_tradnl"/>
              </w:rPr>
              <w:t xml:space="preserve"> nacionales</w:t>
            </w:r>
            <w:r w:rsidRPr="00956E59">
              <w:rPr>
                <w:lang w:val="es-ES_tradnl"/>
              </w:rPr>
              <w:t xml:space="preserve"> </w:t>
            </w:r>
            <w:r w:rsidR="00E6774A" w:rsidRPr="00956E59">
              <w:rPr>
                <w:lang w:val="es-ES_tradnl"/>
              </w:rPr>
              <w:t xml:space="preserve">se </w:t>
            </w:r>
            <w:r w:rsidR="00BF4E6D" w:rsidRPr="00956E59">
              <w:rPr>
                <w:lang w:val="es-ES_tradnl"/>
              </w:rPr>
              <w:t>destaca</w:t>
            </w:r>
            <w:r w:rsidRPr="00956E59">
              <w:rPr>
                <w:lang w:val="es-ES_tradnl"/>
              </w:rPr>
              <w:t xml:space="preserve"> como una ventaja competitiva para todas las plataformas. E</w:t>
            </w:r>
            <w:r w:rsidR="00BF4E6D" w:rsidRPr="00956E59">
              <w:rPr>
                <w:lang w:val="es-ES_tradnl"/>
              </w:rPr>
              <w:t xml:space="preserve">n consecuencia, </w:t>
            </w:r>
            <w:r w:rsidRPr="00956E59">
              <w:rPr>
                <w:lang w:val="es-ES_tradnl"/>
              </w:rPr>
              <w:t xml:space="preserve">los actores globales </w:t>
            </w:r>
            <w:r w:rsidR="00BF4E6D" w:rsidRPr="00956E59">
              <w:rPr>
                <w:lang w:val="es-ES_tradnl"/>
              </w:rPr>
              <w:t>han aumentado</w:t>
            </w:r>
            <w:r w:rsidRPr="00956E59">
              <w:rPr>
                <w:lang w:val="es-ES_tradnl"/>
              </w:rPr>
              <w:t xml:space="preserve"> sus esfuerzos para incorporar (y producir) contenidos locales. </w:t>
            </w:r>
          </w:p>
          <w:p w14:paraId="303CBDD0" w14:textId="77777777" w:rsidR="003C19DB" w:rsidRPr="00956E59" w:rsidRDefault="00186CD0">
            <w:pPr>
              <w:spacing w:after="240"/>
              <w:rPr>
                <w:lang w:val="es-ES_tradnl"/>
              </w:rPr>
            </w:pPr>
            <w:r w:rsidRPr="00956E59">
              <w:rPr>
                <w:lang w:val="es-ES_tradnl"/>
              </w:rPr>
              <w:t xml:space="preserve">Parte 2: </w:t>
            </w:r>
            <w:r w:rsidR="00BF4E6D" w:rsidRPr="00956E59">
              <w:rPr>
                <w:lang w:val="es-ES_tradnl"/>
              </w:rPr>
              <w:t>Marco jurídico del sector audiovisual en el entorno digital</w:t>
            </w:r>
            <w:r w:rsidRPr="00956E59">
              <w:rPr>
                <w:lang w:val="es-ES_tradnl"/>
              </w:rPr>
              <w:t xml:space="preserve">, disponible en: </w:t>
            </w:r>
            <w:hyperlink r:id="rId14" w:history="1">
              <w:r w:rsidRPr="00956E59">
                <w:rPr>
                  <w:rStyle w:val="Hyperlink"/>
                  <w:lang w:val="es-ES_tradnl"/>
                </w:rPr>
                <w:t>dacatalogue.wipo.int/projectfiles/DA_1_3_4_10_11_16_25_35_01/Part_2/EN/LATAM%20AV%20study_part_2_EN.</w:t>
              </w:r>
            </w:hyperlink>
            <w:r w:rsidRPr="00956E59">
              <w:rPr>
                <w:lang w:val="es-ES_tradnl"/>
              </w:rPr>
              <w:t xml:space="preserve">pdf </w:t>
            </w:r>
          </w:p>
          <w:p w14:paraId="254AACFB" w14:textId="77777777" w:rsidR="003C19DB" w:rsidRPr="00956E59" w:rsidRDefault="00665B32">
            <w:pPr>
              <w:spacing w:after="240"/>
              <w:rPr>
                <w:lang w:val="es-ES_tradnl"/>
              </w:rPr>
            </w:pPr>
            <w:r w:rsidRPr="00956E59">
              <w:rPr>
                <w:lang w:val="es-ES_tradnl"/>
              </w:rPr>
              <w:t xml:space="preserve">Anexo:  Resumen de los marcos jurídicos nacionales, disponible en: </w:t>
            </w:r>
            <w:hyperlink r:id="rId15" w:history="1">
              <w:r w:rsidRPr="00956E59">
                <w:rPr>
                  <w:rStyle w:val="Hyperlink"/>
                  <w:lang w:val="es-ES_tradnl"/>
                </w:rPr>
                <w:t>dacatalogue.wipo.int/projectfiles/DA_1_3_4_10_11_16_25_35_01/Part_2/EN/LATAM%20AV%20Annex%20to%20study_part_2_ES.</w:t>
              </w:r>
            </w:hyperlink>
            <w:r w:rsidRPr="00956E59">
              <w:rPr>
                <w:lang w:val="es-ES_tradnl"/>
              </w:rPr>
              <w:t xml:space="preserve">pdf </w:t>
            </w:r>
          </w:p>
          <w:p w14:paraId="3CDAD98C" w14:textId="508F0DA8" w:rsidR="003C19DB" w:rsidRPr="00956E59" w:rsidRDefault="00186CD0" w:rsidP="005C3EE5">
            <w:pPr>
              <w:spacing w:after="240"/>
              <w:rPr>
                <w:lang w:val="es-ES_tradnl"/>
              </w:rPr>
            </w:pPr>
            <w:r w:rsidRPr="00956E59">
              <w:rPr>
                <w:lang w:val="es-ES_tradnl"/>
              </w:rPr>
              <w:t>E</w:t>
            </w:r>
            <w:r w:rsidR="00642F33" w:rsidRPr="00956E59">
              <w:rPr>
                <w:lang w:val="es-ES_tradnl"/>
              </w:rPr>
              <w:t>n e</w:t>
            </w:r>
            <w:r w:rsidRPr="00956E59">
              <w:rPr>
                <w:lang w:val="es-ES_tradnl"/>
              </w:rPr>
              <w:t xml:space="preserve">sta parte y su anexo </w:t>
            </w:r>
            <w:r w:rsidR="00642F33" w:rsidRPr="00956E59">
              <w:rPr>
                <w:lang w:val="es-ES_tradnl"/>
              </w:rPr>
              <w:t>se ofrece</w:t>
            </w:r>
            <w:r w:rsidRPr="00956E59">
              <w:rPr>
                <w:lang w:val="es-ES_tradnl"/>
              </w:rPr>
              <w:t xml:space="preserve"> información sobre el estado actual de los marcos jurídicos nacionales y supranacionales aplicables a la explotación en línea de contenidos audiovisuales en los países participantes. El estudio </w:t>
            </w:r>
            <w:r w:rsidR="00642F33" w:rsidRPr="00956E59">
              <w:rPr>
                <w:lang w:val="es-ES_tradnl"/>
              </w:rPr>
              <w:t xml:space="preserve">pone de manifiesto las diferentes realidades de mercado que se observan en </w:t>
            </w:r>
            <w:r w:rsidRPr="00956E59">
              <w:rPr>
                <w:lang w:val="es-ES_tradnl"/>
              </w:rPr>
              <w:t xml:space="preserve">los países de América Latina </w:t>
            </w:r>
            <w:r w:rsidR="00642F33" w:rsidRPr="00956E59">
              <w:rPr>
                <w:lang w:val="es-ES_tradnl"/>
              </w:rPr>
              <w:t>en lo que atañe a la e</w:t>
            </w:r>
            <w:r w:rsidRPr="00956E59">
              <w:rPr>
                <w:lang w:val="es-ES_tradnl"/>
              </w:rPr>
              <w:t>xplotación y producción audiovisual</w:t>
            </w:r>
            <w:r w:rsidR="00642F33" w:rsidRPr="00956E59">
              <w:rPr>
                <w:lang w:val="es-ES_tradnl"/>
              </w:rPr>
              <w:t>es</w:t>
            </w:r>
            <w:r w:rsidRPr="00956E59">
              <w:rPr>
                <w:lang w:val="es-ES_tradnl"/>
              </w:rPr>
              <w:t xml:space="preserve">. El acceso a los canales de distribución en línea sigue siendo un reto para las pequeñas producciones locales. </w:t>
            </w:r>
            <w:r w:rsidR="00E6774A" w:rsidRPr="00956E59">
              <w:rPr>
                <w:lang w:val="es-ES_tradnl"/>
              </w:rPr>
              <w:t>La finalidad del documento es</w:t>
            </w:r>
            <w:r w:rsidR="005C3EE5" w:rsidRPr="00956E59">
              <w:rPr>
                <w:lang w:val="es-ES_tradnl"/>
              </w:rPr>
              <w:t xml:space="preserve"> </w:t>
            </w:r>
            <w:r w:rsidR="00E6774A" w:rsidRPr="00956E59">
              <w:rPr>
                <w:lang w:val="es-ES_tradnl"/>
              </w:rPr>
              <w:t>exponer</w:t>
            </w:r>
            <w:r w:rsidR="005C3EE5" w:rsidRPr="00956E59">
              <w:rPr>
                <w:lang w:val="es-ES_tradnl"/>
              </w:rPr>
              <w:t xml:space="preserve"> el tratamiento </w:t>
            </w:r>
            <w:r w:rsidR="0058523B" w:rsidRPr="00956E59">
              <w:rPr>
                <w:lang w:val="es-ES_tradnl"/>
              </w:rPr>
              <w:t>jurídico</w:t>
            </w:r>
            <w:r w:rsidR="005C3EE5" w:rsidRPr="00956E59">
              <w:rPr>
                <w:lang w:val="es-ES_tradnl"/>
              </w:rPr>
              <w:t xml:space="preserve"> del derecho de autor y </w:t>
            </w:r>
            <w:r w:rsidR="0058523B" w:rsidRPr="00956E59">
              <w:rPr>
                <w:lang w:val="es-ES_tradnl"/>
              </w:rPr>
              <w:t xml:space="preserve">los </w:t>
            </w:r>
            <w:r w:rsidR="005C3EE5" w:rsidRPr="00956E59">
              <w:rPr>
                <w:lang w:val="es-ES_tradnl"/>
              </w:rPr>
              <w:t xml:space="preserve">derechos conexos en el entorno digital y los sistemas de licencias aplicados, así como las ambigüedades, los retos y las oportunidades para la difusión </w:t>
            </w:r>
            <w:proofErr w:type="spellStart"/>
            <w:r w:rsidR="005C3EE5" w:rsidRPr="00956E59">
              <w:rPr>
                <w:lang w:val="es-ES_tradnl"/>
              </w:rPr>
              <w:t>mul</w:t>
            </w:r>
            <w:r w:rsidR="00FF3482" w:rsidRPr="00956E59">
              <w:rPr>
                <w:lang w:val="es-ES_tradnl"/>
              </w:rPr>
              <w:t>t</w:t>
            </w:r>
            <w:r w:rsidR="005C3EE5" w:rsidRPr="00956E59">
              <w:rPr>
                <w:lang w:val="es-ES_tradnl"/>
              </w:rPr>
              <w:t>iterritorial</w:t>
            </w:r>
            <w:proofErr w:type="spellEnd"/>
            <w:r w:rsidR="005C3EE5" w:rsidRPr="00956E59">
              <w:rPr>
                <w:lang w:val="es-ES_tradnl"/>
              </w:rPr>
              <w:t xml:space="preserve"> de contenidos en </w:t>
            </w:r>
            <w:r w:rsidRPr="00956E59">
              <w:rPr>
                <w:lang w:val="es-ES_tradnl"/>
              </w:rPr>
              <w:t>América Latina.</w:t>
            </w:r>
          </w:p>
          <w:p w14:paraId="32D8AAD3" w14:textId="77777777" w:rsidR="003C19DB" w:rsidRPr="00956E59" w:rsidRDefault="00186CD0">
            <w:pPr>
              <w:spacing w:after="240"/>
              <w:rPr>
                <w:lang w:val="es-ES_tradnl"/>
              </w:rPr>
            </w:pPr>
            <w:r w:rsidRPr="00956E59">
              <w:rPr>
                <w:lang w:val="es-ES_tradnl"/>
              </w:rPr>
              <w:t xml:space="preserve">Parte 3: </w:t>
            </w:r>
            <w:r w:rsidR="005C3EE5" w:rsidRPr="00956E59">
              <w:rPr>
                <w:lang w:val="es-ES_tradnl"/>
              </w:rPr>
              <w:t>Tratamiento jurídico de los autores extranjeros de obras audiovisuales</w:t>
            </w:r>
            <w:r w:rsidRPr="00956E59">
              <w:rPr>
                <w:lang w:val="es-ES_tradnl"/>
              </w:rPr>
              <w:t xml:space="preserve">, disponible en: </w:t>
            </w:r>
            <w:hyperlink r:id="rId16" w:history="1">
              <w:r w:rsidRPr="00956E59">
                <w:rPr>
                  <w:rStyle w:val="Hyperlink"/>
                  <w:lang w:val="es-ES_tradnl"/>
                </w:rPr>
                <w:t>dacatalogue.wipo.int/projectfiles/DA_1_3_4_10_11_16_25_35_01/Part_3/EN/LATAM%20AV%20study_part_3_EN.</w:t>
              </w:r>
            </w:hyperlink>
            <w:r w:rsidRPr="00956E59">
              <w:rPr>
                <w:lang w:val="es-ES_tradnl"/>
              </w:rPr>
              <w:t xml:space="preserve">pdf </w:t>
            </w:r>
          </w:p>
          <w:p w14:paraId="3D1E27C3" w14:textId="1FDB7118" w:rsidR="003C19DB" w:rsidRPr="00956E59" w:rsidRDefault="00CA7D01">
            <w:pPr>
              <w:spacing w:after="240"/>
              <w:rPr>
                <w:lang w:val="es-ES_tradnl"/>
              </w:rPr>
            </w:pPr>
            <w:r w:rsidRPr="00956E59">
              <w:rPr>
                <w:lang w:val="es-ES_tradnl"/>
              </w:rPr>
              <w:t xml:space="preserve">Si bien esta parte se centra en la figura del autor de </w:t>
            </w:r>
            <w:r w:rsidR="00633E90" w:rsidRPr="00956E59">
              <w:rPr>
                <w:lang w:val="es-ES_tradnl"/>
              </w:rPr>
              <w:t>un</w:t>
            </w:r>
            <w:r w:rsidRPr="00956E59">
              <w:rPr>
                <w:lang w:val="es-ES_tradnl"/>
              </w:rPr>
              <w:t xml:space="preserve">a obra audiovisual, muchas de las conclusiones </w:t>
            </w:r>
            <w:r w:rsidR="00633E90" w:rsidRPr="00956E59">
              <w:rPr>
                <w:lang w:val="es-ES_tradnl"/>
              </w:rPr>
              <w:t>alcanzadas</w:t>
            </w:r>
            <w:r w:rsidRPr="00956E59">
              <w:rPr>
                <w:lang w:val="es-ES_tradnl"/>
              </w:rPr>
              <w:t xml:space="preserve"> podrían </w:t>
            </w:r>
            <w:r w:rsidR="00633E90" w:rsidRPr="00956E59">
              <w:rPr>
                <w:lang w:val="es-ES_tradnl"/>
              </w:rPr>
              <w:t>aplicarse, por analogía, a</w:t>
            </w:r>
            <w:r w:rsidRPr="00956E59">
              <w:rPr>
                <w:lang w:val="es-ES_tradnl"/>
              </w:rPr>
              <w:t xml:space="preserve"> otros titulares de derechos, como los </w:t>
            </w:r>
            <w:r w:rsidR="00E6774A" w:rsidRPr="00956E59">
              <w:rPr>
                <w:lang w:val="es-ES_tradnl"/>
              </w:rPr>
              <w:t xml:space="preserve">artistas </w:t>
            </w:r>
            <w:r w:rsidRPr="00956E59">
              <w:rPr>
                <w:lang w:val="es-ES_tradnl"/>
              </w:rPr>
              <w:t>intérpretes</w:t>
            </w:r>
            <w:r w:rsidR="00E6774A" w:rsidRPr="00956E59">
              <w:rPr>
                <w:lang w:val="es-ES_tradnl"/>
              </w:rPr>
              <w:t xml:space="preserve"> y ejecutantes</w:t>
            </w:r>
            <w:r w:rsidRPr="00956E59">
              <w:rPr>
                <w:lang w:val="es-ES_tradnl"/>
              </w:rPr>
              <w:t>. E</w:t>
            </w:r>
            <w:r w:rsidR="00633E90" w:rsidRPr="00956E59">
              <w:rPr>
                <w:lang w:val="es-ES_tradnl"/>
              </w:rPr>
              <w:t>n e</w:t>
            </w:r>
            <w:r w:rsidRPr="00956E59">
              <w:rPr>
                <w:lang w:val="es-ES_tradnl"/>
              </w:rPr>
              <w:t xml:space="preserve">ste estudio </w:t>
            </w:r>
            <w:r w:rsidR="00633E90" w:rsidRPr="00956E59">
              <w:rPr>
                <w:lang w:val="es-ES_tradnl"/>
              </w:rPr>
              <w:t xml:space="preserve">se </w:t>
            </w:r>
            <w:r w:rsidRPr="00956E59">
              <w:rPr>
                <w:lang w:val="es-ES_tradnl"/>
              </w:rPr>
              <w:t xml:space="preserve">analiza la </w:t>
            </w:r>
            <w:r w:rsidR="00633E90" w:rsidRPr="00956E59">
              <w:rPr>
                <w:lang w:val="es-ES_tradnl"/>
              </w:rPr>
              <w:t xml:space="preserve">gestión </w:t>
            </w:r>
            <w:r w:rsidR="00A50031" w:rsidRPr="00956E59">
              <w:rPr>
                <w:lang w:val="es-ES_tradnl"/>
              </w:rPr>
              <w:t xml:space="preserve">de los derechos en relación </w:t>
            </w:r>
            <w:r w:rsidR="005D0BE0" w:rsidRPr="00956E59">
              <w:rPr>
                <w:lang w:val="es-ES_tradnl"/>
              </w:rPr>
              <w:t>con obras audiovisuales explotadas o difundidas en el extranjero,</w:t>
            </w:r>
            <w:r w:rsidRPr="00956E59">
              <w:rPr>
                <w:lang w:val="es-ES_tradnl"/>
              </w:rPr>
              <w:t xml:space="preserve"> y </w:t>
            </w:r>
            <w:r w:rsidR="00A50031" w:rsidRPr="00956E59">
              <w:rPr>
                <w:lang w:val="es-ES_tradnl"/>
              </w:rPr>
              <w:t xml:space="preserve">se </w:t>
            </w:r>
            <w:r w:rsidRPr="00956E59">
              <w:rPr>
                <w:lang w:val="es-ES_tradnl"/>
              </w:rPr>
              <w:t>examina</w:t>
            </w:r>
            <w:r w:rsidR="00A50031" w:rsidRPr="00956E59">
              <w:rPr>
                <w:lang w:val="es-ES_tradnl"/>
              </w:rPr>
              <w:t>n</w:t>
            </w:r>
            <w:r w:rsidRPr="00956E59">
              <w:rPr>
                <w:lang w:val="es-ES_tradnl"/>
              </w:rPr>
              <w:t xml:space="preserve"> las razones que dificultan la protección </w:t>
            </w:r>
            <w:r w:rsidR="0058523B" w:rsidRPr="00956E59">
              <w:rPr>
                <w:lang w:val="es-ES_tradnl"/>
              </w:rPr>
              <w:t>de los autores</w:t>
            </w:r>
            <w:r w:rsidRPr="00956E59">
              <w:rPr>
                <w:lang w:val="es-ES_tradnl"/>
              </w:rPr>
              <w:t xml:space="preserve"> de obra</w:t>
            </w:r>
            <w:r w:rsidR="0058523B" w:rsidRPr="00956E59">
              <w:rPr>
                <w:lang w:val="es-ES_tradnl"/>
              </w:rPr>
              <w:t xml:space="preserve">s </w:t>
            </w:r>
            <w:r w:rsidRPr="00956E59">
              <w:rPr>
                <w:lang w:val="es-ES_tradnl"/>
              </w:rPr>
              <w:t>audiovisual</w:t>
            </w:r>
            <w:r w:rsidR="0058523B" w:rsidRPr="00956E59">
              <w:rPr>
                <w:lang w:val="es-ES_tradnl"/>
              </w:rPr>
              <w:t>es</w:t>
            </w:r>
            <w:r w:rsidRPr="00956E59">
              <w:rPr>
                <w:lang w:val="es-ES_tradnl"/>
              </w:rPr>
              <w:t xml:space="preserve"> cuando </w:t>
            </w:r>
            <w:r w:rsidR="0058523B" w:rsidRPr="00956E59">
              <w:rPr>
                <w:lang w:val="es-ES_tradnl"/>
              </w:rPr>
              <w:t>estas últimas</w:t>
            </w:r>
            <w:r w:rsidRPr="00956E59">
              <w:rPr>
                <w:lang w:val="es-ES_tradnl"/>
              </w:rPr>
              <w:t xml:space="preserve"> se explota</w:t>
            </w:r>
            <w:r w:rsidR="0058523B" w:rsidRPr="00956E59">
              <w:rPr>
                <w:lang w:val="es-ES_tradnl"/>
              </w:rPr>
              <w:t xml:space="preserve">n a nivel </w:t>
            </w:r>
            <w:r w:rsidRPr="00956E59">
              <w:rPr>
                <w:lang w:val="es-ES_tradnl"/>
              </w:rPr>
              <w:t xml:space="preserve">internacional. </w:t>
            </w:r>
          </w:p>
          <w:p w14:paraId="48E825C7" w14:textId="75E9E9FE" w:rsidR="003C19DB" w:rsidRPr="00956E59" w:rsidRDefault="00186CD0">
            <w:pPr>
              <w:spacing w:after="240"/>
              <w:rPr>
                <w:lang w:val="es-ES_tradnl"/>
              </w:rPr>
            </w:pPr>
            <w:r w:rsidRPr="00956E59">
              <w:rPr>
                <w:lang w:val="es-ES_tradnl"/>
              </w:rPr>
              <w:t xml:space="preserve">Parte 4: </w:t>
            </w:r>
            <w:r w:rsidR="00A77D99" w:rsidRPr="00956E59">
              <w:rPr>
                <w:lang w:val="es-ES_tradnl"/>
              </w:rPr>
              <w:t xml:space="preserve">Prácticas contractuales del sector audiovisual </w:t>
            </w:r>
            <w:r w:rsidR="0058523B" w:rsidRPr="00956E59">
              <w:rPr>
                <w:lang w:val="es-ES_tradnl"/>
              </w:rPr>
              <w:t xml:space="preserve">de América Latina </w:t>
            </w:r>
            <w:r w:rsidR="00A77D99" w:rsidRPr="00956E59">
              <w:rPr>
                <w:lang w:val="es-ES_tradnl"/>
              </w:rPr>
              <w:t>en el entorno digital</w:t>
            </w:r>
            <w:r w:rsidRPr="00956E59">
              <w:rPr>
                <w:lang w:val="es-ES_tradnl"/>
              </w:rPr>
              <w:t xml:space="preserve">, disponible en: </w:t>
            </w:r>
            <w:hyperlink r:id="rId17" w:history="1">
              <w:r w:rsidRPr="00956E59">
                <w:rPr>
                  <w:rStyle w:val="Hyperlink"/>
                  <w:lang w:val="es-ES_tradnl"/>
                </w:rPr>
                <w:t>dacatalogue.wipo.int/projectfiles/DA_1_3_4_10_11_16_25_35_01/Part_4/EN/LATAM%20AV%20study_part_4_EN.</w:t>
              </w:r>
            </w:hyperlink>
            <w:r w:rsidRPr="00956E59">
              <w:rPr>
                <w:lang w:val="es-ES_tradnl"/>
              </w:rPr>
              <w:t xml:space="preserve">pdf </w:t>
            </w:r>
          </w:p>
          <w:p w14:paraId="0CFE1724" w14:textId="144E9B04" w:rsidR="003C19DB" w:rsidRPr="00956E59" w:rsidRDefault="00186CD0">
            <w:pPr>
              <w:spacing w:after="240"/>
              <w:rPr>
                <w:lang w:val="es-ES_tradnl"/>
              </w:rPr>
            </w:pPr>
            <w:r w:rsidRPr="00956E59">
              <w:rPr>
                <w:lang w:val="es-ES_tradnl"/>
              </w:rPr>
              <w:t xml:space="preserve">Los aspectos particulares de la práctica contractual del sector audiovisual </w:t>
            </w:r>
            <w:r w:rsidR="005359C2" w:rsidRPr="00956E59">
              <w:rPr>
                <w:lang w:val="es-ES_tradnl"/>
              </w:rPr>
              <w:t>en América Latina</w:t>
            </w:r>
            <w:r w:rsidRPr="00956E59">
              <w:rPr>
                <w:lang w:val="es-ES_tradnl"/>
              </w:rPr>
              <w:t xml:space="preserve"> </w:t>
            </w:r>
            <w:r w:rsidR="00A77D99" w:rsidRPr="00956E59">
              <w:rPr>
                <w:lang w:val="es-ES_tradnl"/>
              </w:rPr>
              <w:t xml:space="preserve">que se abordan en </w:t>
            </w:r>
            <w:r w:rsidRPr="00956E59">
              <w:rPr>
                <w:lang w:val="es-ES_tradnl"/>
              </w:rPr>
              <w:t>este estudio se refieren específicamente a las transacciones entre partes relativas a la transferencia/disposición/cesión de</w:t>
            </w:r>
            <w:r w:rsidR="00A77D99" w:rsidRPr="00956E59">
              <w:rPr>
                <w:lang w:val="es-ES_tradnl"/>
              </w:rPr>
              <w:t>l</w:t>
            </w:r>
            <w:r w:rsidRPr="00956E59">
              <w:rPr>
                <w:lang w:val="es-ES_tradnl"/>
              </w:rPr>
              <w:t xml:space="preserve"> </w:t>
            </w:r>
            <w:r w:rsidR="00FE33D5" w:rsidRPr="00956E59">
              <w:rPr>
                <w:lang w:val="es-ES_tradnl"/>
              </w:rPr>
              <w:t>derecho de autor</w:t>
            </w:r>
            <w:r w:rsidRPr="00956E59">
              <w:rPr>
                <w:lang w:val="es-ES_tradnl"/>
              </w:rPr>
              <w:t xml:space="preserve"> y derechos conexos y a las disposiciones relativas a honorarios, remuneración y reparto de ingresos. El estudio tiene en cuenta la evolución de las tecnologías de distribución digital, los mercados y los modelos de negocio, y examina principalmente los contratos de distribución y concesión de licencias y los contratos en los que intervienen autores</w:t>
            </w:r>
            <w:r w:rsidR="005359C2" w:rsidRPr="00956E59">
              <w:rPr>
                <w:lang w:val="es-ES_tradnl"/>
              </w:rPr>
              <w:t xml:space="preserve"> y artistas </w:t>
            </w:r>
            <w:r w:rsidRPr="00956E59">
              <w:rPr>
                <w:lang w:val="es-ES_tradnl"/>
              </w:rPr>
              <w:t>intérpretes</w:t>
            </w:r>
            <w:r w:rsidR="005359C2" w:rsidRPr="00956E59">
              <w:rPr>
                <w:lang w:val="es-ES_tradnl"/>
              </w:rPr>
              <w:t xml:space="preserve"> y ejecutantes</w:t>
            </w:r>
            <w:r w:rsidRPr="00956E59">
              <w:rPr>
                <w:lang w:val="es-ES_tradnl"/>
              </w:rPr>
              <w:t xml:space="preserve"> individuales como participantes creativos. Se centra en la dinámica cambiante provocada por l</w:t>
            </w:r>
            <w:r w:rsidR="00A77D99" w:rsidRPr="00956E59">
              <w:rPr>
                <w:lang w:val="es-ES_tradnl"/>
              </w:rPr>
              <w:t>os</w:t>
            </w:r>
            <w:r w:rsidRPr="00956E59">
              <w:rPr>
                <w:lang w:val="es-ES_tradnl"/>
              </w:rPr>
              <w:t xml:space="preserve"> nuev</w:t>
            </w:r>
            <w:r w:rsidR="00A77D99" w:rsidRPr="00956E59">
              <w:rPr>
                <w:lang w:val="es-ES_tradnl"/>
              </w:rPr>
              <w:t>os u</w:t>
            </w:r>
            <w:r w:rsidRPr="00956E59">
              <w:rPr>
                <w:lang w:val="es-ES_tradnl"/>
              </w:rPr>
              <w:t xml:space="preserve">sos </w:t>
            </w:r>
            <w:r w:rsidR="00A77D99" w:rsidRPr="00956E59">
              <w:rPr>
                <w:lang w:val="es-ES_tradnl"/>
              </w:rPr>
              <w:t xml:space="preserve">de las tecnologías </w:t>
            </w:r>
            <w:r w:rsidRPr="00956E59">
              <w:rPr>
                <w:lang w:val="es-ES_tradnl"/>
              </w:rPr>
              <w:t xml:space="preserve">digitales que han </w:t>
            </w:r>
            <w:r w:rsidR="00A77D99" w:rsidRPr="00956E59">
              <w:rPr>
                <w:lang w:val="es-ES_tradnl"/>
              </w:rPr>
              <w:t>engendrado</w:t>
            </w:r>
            <w:r w:rsidRPr="00956E59">
              <w:rPr>
                <w:lang w:val="es-ES_tradnl"/>
              </w:rPr>
              <w:t xml:space="preserve"> cadena</w:t>
            </w:r>
            <w:r w:rsidR="00A77D99" w:rsidRPr="00956E59">
              <w:rPr>
                <w:lang w:val="es-ES_tradnl"/>
              </w:rPr>
              <w:t>s</w:t>
            </w:r>
            <w:r w:rsidRPr="00956E59">
              <w:rPr>
                <w:lang w:val="es-ES_tradnl"/>
              </w:rPr>
              <w:t xml:space="preserve"> de valor audiovisual</w:t>
            </w:r>
            <w:r w:rsidR="00A77D99" w:rsidRPr="00956E59">
              <w:rPr>
                <w:lang w:val="es-ES_tradnl"/>
              </w:rPr>
              <w:t>es</w:t>
            </w:r>
            <w:r w:rsidRPr="00956E59">
              <w:rPr>
                <w:lang w:val="es-ES_tradnl"/>
              </w:rPr>
              <w:t xml:space="preserve"> sustancialmente más compleja</w:t>
            </w:r>
            <w:r w:rsidR="00A77D99" w:rsidRPr="00956E59">
              <w:rPr>
                <w:lang w:val="es-ES_tradnl"/>
              </w:rPr>
              <w:t>s</w:t>
            </w:r>
            <w:r w:rsidRPr="00956E59">
              <w:rPr>
                <w:lang w:val="es-ES_tradnl"/>
              </w:rPr>
              <w:t xml:space="preserve"> en los últimos años. E</w:t>
            </w:r>
            <w:r w:rsidR="00A77D99" w:rsidRPr="00956E59">
              <w:rPr>
                <w:lang w:val="es-ES_tradnl"/>
              </w:rPr>
              <w:t>n e</w:t>
            </w:r>
            <w:r w:rsidRPr="00956E59">
              <w:rPr>
                <w:lang w:val="es-ES_tradnl"/>
              </w:rPr>
              <w:t xml:space="preserve">l estudio </w:t>
            </w:r>
            <w:r w:rsidR="00A77D99" w:rsidRPr="00956E59">
              <w:rPr>
                <w:lang w:val="es-ES_tradnl"/>
              </w:rPr>
              <w:t xml:space="preserve">se examinan </w:t>
            </w:r>
            <w:r w:rsidRPr="00956E59">
              <w:rPr>
                <w:lang w:val="es-ES_tradnl"/>
              </w:rPr>
              <w:t xml:space="preserve">únicamente los contratos </w:t>
            </w:r>
            <w:r w:rsidR="005359C2" w:rsidRPr="00956E59">
              <w:rPr>
                <w:lang w:val="es-ES_tradnl"/>
              </w:rPr>
              <w:t>de la industria</w:t>
            </w:r>
            <w:r w:rsidRPr="00956E59">
              <w:rPr>
                <w:lang w:val="es-ES_tradnl"/>
              </w:rPr>
              <w:t xml:space="preserve"> de contenidos audiovisuales </w:t>
            </w:r>
            <w:r w:rsidR="005359C2" w:rsidRPr="00956E59">
              <w:rPr>
                <w:lang w:val="es-ES_tradnl"/>
              </w:rPr>
              <w:t xml:space="preserve">de carácter </w:t>
            </w:r>
            <w:r w:rsidRPr="00956E59">
              <w:rPr>
                <w:lang w:val="es-ES_tradnl"/>
              </w:rPr>
              <w:t>profesional.</w:t>
            </w:r>
          </w:p>
          <w:p w14:paraId="0ACA7D5F" w14:textId="77777777" w:rsidR="003C19DB" w:rsidRPr="00956E59" w:rsidRDefault="00665B32">
            <w:pPr>
              <w:spacing w:after="240"/>
              <w:rPr>
                <w:lang w:val="es-ES_tradnl"/>
              </w:rPr>
            </w:pPr>
            <w:r w:rsidRPr="00956E59">
              <w:rPr>
                <w:lang w:val="es-ES_tradnl"/>
              </w:rPr>
              <w:t xml:space="preserve">Parte 5: </w:t>
            </w:r>
            <w:r w:rsidR="00A77D99" w:rsidRPr="00956E59">
              <w:rPr>
                <w:lang w:val="es-ES_tradnl"/>
              </w:rPr>
              <w:t xml:space="preserve">La identificación y el uso de metadatos en las obras </w:t>
            </w:r>
            <w:r w:rsidRPr="00956E59">
              <w:rPr>
                <w:lang w:val="es-ES_tradnl"/>
              </w:rPr>
              <w:t xml:space="preserve">audiovisuales, disponible en: </w:t>
            </w:r>
            <w:hyperlink r:id="rId18" w:history="1">
              <w:r w:rsidR="00A77D99" w:rsidRPr="00956E59">
                <w:rPr>
                  <w:lang w:val="es-ES_tradnl"/>
                </w:rPr>
                <w:t xml:space="preserve"> </w:t>
              </w:r>
              <w:r w:rsidR="00A77D99" w:rsidRPr="00956E59">
                <w:rPr>
                  <w:rStyle w:val="Hyperlink"/>
                  <w:lang w:val="es-ES_tradnl"/>
                </w:rPr>
                <w:t>https://dacatalogue.wipo.int/projectfiles/DA_1_3_4_10_11_16_25_35_01/Part_5/ES/LATAM%20AV%20study_part_5_ES.pdf</w:t>
              </w:r>
              <w:r w:rsidRPr="00956E59">
                <w:rPr>
                  <w:rStyle w:val="Hyperlink"/>
                  <w:lang w:val="es-ES_tradnl"/>
                </w:rPr>
                <w:t>.</w:t>
              </w:r>
            </w:hyperlink>
            <w:r w:rsidRPr="00956E59">
              <w:rPr>
                <w:lang w:val="es-ES_tradnl"/>
              </w:rPr>
              <w:t xml:space="preserve">pdf </w:t>
            </w:r>
          </w:p>
          <w:p w14:paraId="15386F52" w14:textId="0CD21033" w:rsidR="003C19DB" w:rsidRPr="00956E59" w:rsidRDefault="00186CD0">
            <w:pPr>
              <w:spacing w:after="240"/>
              <w:rPr>
                <w:lang w:val="es-ES_tradnl"/>
              </w:rPr>
            </w:pPr>
            <w:r w:rsidRPr="00956E59">
              <w:rPr>
                <w:lang w:val="es-ES_tradnl"/>
              </w:rPr>
              <w:t>E</w:t>
            </w:r>
            <w:r w:rsidR="00A77D99" w:rsidRPr="00956E59">
              <w:rPr>
                <w:lang w:val="es-ES_tradnl"/>
              </w:rPr>
              <w:t>n e</w:t>
            </w:r>
            <w:r w:rsidRPr="00956E59">
              <w:rPr>
                <w:lang w:val="es-ES_tradnl"/>
              </w:rPr>
              <w:t xml:space="preserve">sta parte </w:t>
            </w:r>
            <w:r w:rsidR="00A77D99" w:rsidRPr="00956E59">
              <w:rPr>
                <w:lang w:val="es-ES_tradnl"/>
              </w:rPr>
              <w:t xml:space="preserve">se </w:t>
            </w:r>
            <w:r w:rsidRPr="00956E59">
              <w:rPr>
                <w:lang w:val="es-ES_tradnl"/>
              </w:rPr>
              <w:t>ex</w:t>
            </w:r>
            <w:r w:rsidR="00A77D99" w:rsidRPr="00956E59">
              <w:rPr>
                <w:lang w:val="es-ES_tradnl"/>
              </w:rPr>
              <w:t xml:space="preserve">aminan </w:t>
            </w:r>
            <w:r w:rsidRPr="00956E59">
              <w:rPr>
                <w:lang w:val="es-ES_tradnl"/>
              </w:rPr>
              <w:t xml:space="preserve">los cinco </w:t>
            </w:r>
            <w:r w:rsidR="00A77D99" w:rsidRPr="00956E59">
              <w:rPr>
                <w:lang w:val="es-ES_tradnl"/>
              </w:rPr>
              <w:t xml:space="preserve">principales </w:t>
            </w:r>
            <w:r w:rsidRPr="00956E59">
              <w:rPr>
                <w:lang w:val="es-ES_tradnl"/>
              </w:rPr>
              <w:t xml:space="preserve">problemas </w:t>
            </w:r>
            <w:r w:rsidR="00A77D99" w:rsidRPr="00956E59">
              <w:rPr>
                <w:lang w:val="es-ES_tradnl"/>
              </w:rPr>
              <w:t xml:space="preserve">que se plantean en relación con </w:t>
            </w:r>
            <w:r w:rsidRPr="00956E59">
              <w:rPr>
                <w:lang w:val="es-ES_tradnl"/>
              </w:rPr>
              <w:t xml:space="preserve">la información y los metadatos </w:t>
            </w:r>
            <w:r w:rsidR="00A77D99" w:rsidRPr="00956E59">
              <w:rPr>
                <w:lang w:val="es-ES_tradnl"/>
              </w:rPr>
              <w:t xml:space="preserve">en el ámbito </w:t>
            </w:r>
            <w:r w:rsidRPr="00956E59">
              <w:rPr>
                <w:lang w:val="es-ES_tradnl"/>
              </w:rPr>
              <w:t xml:space="preserve">audiovisual: a) retraso en la </w:t>
            </w:r>
            <w:r w:rsidR="00CE67F1" w:rsidRPr="00956E59">
              <w:rPr>
                <w:lang w:val="es-ES_tradnl"/>
              </w:rPr>
              <w:t>compilación</w:t>
            </w:r>
            <w:r w:rsidRPr="00956E59">
              <w:rPr>
                <w:lang w:val="es-ES_tradnl"/>
              </w:rPr>
              <w:t xml:space="preserve"> y carga de datos; b) falta de datos; c) pérdida de datos; d) contaminación e incoherencia de los datos; y e) volumen de datos. En particular, </w:t>
            </w:r>
            <w:r w:rsidR="00A77D99" w:rsidRPr="00956E59">
              <w:rPr>
                <w:lang w:val="es-ES_tradnl"/>
              </w:rPr>
              <w:t>se resalta la necesidad de simplificar l</w:t>
            </w:r>
            <w:r w:rsidRPr="00956E59">
              <w:rPr>
                <w:lang w:val="es-ES_tradnl"/>
              </w:rPr>
              <w:t>a gestión de la información para reducir los cost</w:t>
            </w:r>
            <w:r w:rsidR="00A77D99" w:rsidRPr="00956E59">
              <w:rPr>
                <w:lang w:val="es-ES_tradnl"/>
              </w:rPr>
              <w:t>o</w:t>
            </w:r>
            <w:r w:rsidRPr="00956E59">
              <w:rPr>
                <w:lang w:val="es-ES_tradnl"/>
              </w:rPr>
              <w:t xml:space="preserve">s asociados a la distribución de contenidos. La importancia de los metadatos </w:t>
            </w:r>
            <w:r w:rsidR="00A77D99" w:rsidRPr="00956E59">
              <w:rPr>
                <w:lang w:val="es-ES_tradnl"/>
              </w:rPr>
              <w:t>para</w:t>
            </w:r>
            <w:r w:rsidRPr="00956E59">
              <w:rPr>
                <w:lang w:val="es-ES_tradnl"/>
              </w:rPr>
              <w:t xml:space="preserve"> los canales de </w:t>
            </w:r>
            <w:r w:rsidR="00CE67F1" w:rsidRPr="00956E59">
              <w:rPr>
                <w:lang w:val="es-ES_tradnl"/>
              </w:rPr>
              <w:t>transmisión en continuo</w:t>
            </w:r>
            <w:r w:rsidRPr="00956E59">
              <w:rPr>
                <w:lang w:val="es-ES_tradnl"/>
              </w:rPr>
              <w:t xml:space="preserve"> </w:t>
            </w:r>
            <w:r w:rsidR="00A77D99" w:rsidRPr="00956E59">
              <w:rPr>
                <w:lang w:val="es-ES_tradnl"/>
              </w:rPr>
              <w:t xml:space="preserve">deriva de la dificultad que supone para el </w:t>
            </w:r>
            <w:r w:rsidRPr="00956E59">
              <w:rPr>
                <w:lang w:val="es-ES_tradnl"/>
              </w:rPr>
              <w:t>público acced</w:t>
            </w:r>
            <w:r w:rsidR="00A77D99" w:rsidRPr="00956E59">
              <w:rPr>
                <w:lang w:val="es-ES_tradnl"/>
              </w:rPr>
              <w:t xml:space="preserve">er </w:t>
            </w:r>
            <w:r w:rsidRPr="00956E59">
              <w:rPr>
                <w:lang w:val="es-ES_tradnl"/>
              </w:rPr>
              <w:t xml:space="preserve">a los contenidos sin la información adecuada para </w:t>
            </w:r>
            <w:r w:rsidR="00CE67F1" w:rsidRPr="00956E59">
              <w:rPr>
                <w:lang w:val="es-ES_tradnl"/>
              </w:rPr>
              <w:t>localizarlos</w:t>
            </w:r>
            <w:r w:rsidRPr="00956E59">
              <w:rPr>
                <w:lang w:val="es-ES_tradnl"/>
              </w:rPr>
              <w:t xml:space="preserve">. </w:t>
            </w:r>
          </w:p>
          <w:p w14:paraId="31134D0B" w14:textId="19783FFE" w:rsidR="003C19DB" w:rsidRPr="00956E59" w:rsidRDefault="00186CD0">
            <w:pPr>
              <w:spacing w:after="240"/>
              <w:rPr>
                <w:lang w:val="es-ES_tradnl"/>
              </w:rPr>
            </w:pPr>
            <w:r w:rsidRPr="00956E59">
              <w:rPr>
                <w:lang w:val="es-ES_tradnl"/>
              </w:rPr>
              <w:t xml:space="preserve">Parte 6: </w:t>
            </w:r>
            <w:r w:rsidR="00CE67F1" w:rsidRPr="00956E59">
              <w:rPr>
                <w:lang w:val="es-ES_tradnl"/>
              </w:rPr>
              <w:t>: Métodos alternativos de solución de controversias, de la OMPI, para los modelos de negocio OTT audiovisuales</w:t>
            </w:r>
            <w:r w:rsidRPr="00956E59">
              <w:rPr>
                <w:lang w:val="es-ES_tradnl"/>
              </w:rPr>
              <w:t xml:space="preserve">, disponible en: </w:t>
            </w:r>
            <w:hyperlink r:id="rId19" w:history="1">
              <w:r w:rsidRPr="00956E59">
                <w:rPr>
                  <w:rStyle w:val="Hyperlink"/>
                  <w:lang w:val="es-ES_tradnl"/>
                </w:rPr>
                <w:t>dacatalogue.wipo.int/projectfiles/DA_1_3_4_10_11_16_25_35_01/Part_6/EN/LATAM%20AV%20study_part_6_EN.</w:t>
              </w:r>
            </w:hyperlink>
            <w:r w:rsidRPr="00956E59">
              <w:rPr>
                <w:lang w:val="es-ES_tradnl"/>
              </w:rPr>
              <w:t xml:space="preserve">pdf </w:t>
            </w:r>
          </w:p>
          <w:p w14:paraId="4C7F77EF" w14:textId="49663E98" w:rsidR="003C19DB" w:rsidRPr="00956E59" w:rsidRDefault="00FE1B32">
            <w:pPr>
              <w:spacing w:after="240"/>
              <w:rPr>
                <w:b/>
                <w:lang w:val="es-ES_tradnl"/>
              </w:rPr>
            </w:pPr>
            <w:r w:rsidRPr="00956E59">
              <w:rPr>
                <w:lang w:val="es-ES_tradnl"/>
              </w:rPr>
              <w:t>Con el aumento en los contratos realizados para una sola producción audiovisual, algunos de ellos incluso no en forma escrita, es frecuente que surjan controversias en</w:t>
            </w:r>
            <w:r w:rsidR="00E6774A" w:rsidRPr="00956E59">
              <w:rPr>
                <w:lang w:val="es-ES_tradnl"/>
              </w:rPr>
              <w:t>tre</w:t>
            </w:r>
            <w:r w:rsidRPr="00956E59">
              <w:rPr>
                <w:lang w:val="es-ES_tradnl"/>
              </w:rPr>
              <w:t xml:space="preserve"> las diferentes partes interesadas en el sector audiovisual. </w:t>
            </w:r>
            <w:r w:rsidR="00536D59" w:rsidRPr="00956E59">
              <w:rPr>
                <w:lang w:val="es-ES_tradnl"/>
              </w:rPr>
              <w:t>Dada la creciente internacionalización de la transmisión en continuo, el Centro de Arbitraje y Mediación de la OMPI (el Centro de la OMPI) ha observa</w:t>
            </w:r>
            <w:r w:rsidR="009601B8" w:rsidRPr="00956E59">
              <w:rPr>
                <w:lang w:val="es-ES_tradnl"/>
              </w:rPr>
              <w:t>do</w:t>
            </w:r>
            <w:r w:rsidR="00536D59" w:rsidRPr="00956E59">
              <w:rPr>
                <w:lang w:val="es-ES_tradnl"/>
              </w:rPr>
              <w:t xml:space="preserve"> un número cada vez mayor de mediaciones y arbitrajes en controversias internacionales en la industria cinematográfica y de los medios de comunicación. En esta parte se presenta un panorama general del uso de mecanismos alternativos de solución de controversias para solucionar dichas controversias, la experiencia de la OMPI en este ámbito y las tendencias mundiales que se perfilan en este entorno digital. En ella se muestra que prestar más atención a la solución alternativa de controversias en el sector audiovisual podría facilitar las pequeñas producciones en América Latina</w:t>
            </w:r>
            <w:r w:rsidR="00186CD0" w:rsidRPr="00956E59">
              <w:rPr>
                <w:lang w:val="es-ES_tradnl"/>
              </w:rPr>
              <w:t>.</w:t>
            </w:r>
          </w:p>
          <w:p w14:paraId="5128FCF7" w14:textId="3F693A16" w:rsidR="003C19DB" w:rsidRPr="00956E59" w:rsidRDefault="00186CD0">
            <w:pPr>
              <w:pStyle w:val="Heading2"/>
              <w:spacing w:before="0" w:after="240"/>
              <w:rPr>
                <w:rFonts w:eastAsia="Times New Roman"/>
                <w:b/>
                <w:szCs w:val="22"/>
                <w:lang w:val="es-ES_tradnl"/>
              </w:rPr>
            </w:pPr>
            <w:r w:rsidRPr="00956E59">
              <w:rPr>
                <w:rFonts w:eastAsia="Times New Roman"/>
                <w:b/>
                <w:szCs w:val="22"/>
                <w:lang w:val="es-ES_tradnl"/>
              </w:rPr>
              <w:t xml:space="preserve">II. Estudio II: EL CONTENIDO AUDIOVISUAL EN EL DOMINIO PÚBLICO Y LAS OBRAS </w:t>
            </w:r>
            <w:r w:rsidR="00536D59" w:rsidRPr="00956E59">
              <w:rPr>
                <w:rFonts w:eastAsia="Times New Roman"/>
                <w:b/>
                <w:szCs w:val="22"/>
                <w:lang w:val="es-ES_tradnl"/>
              </w:rPr>
              <w:t>huérfana</w:t>
            </w:r>
            <w:r w:rsidRPr="00956E59">
              <w:rPr>
                <w:rFonts w:eastAsia="Times New Roman"/>
                <w:b/>
                <w:szCs w:val="22"/>
                <w:lang w:val="es-ES_tradnl"/>
              </w:rPr>
              <w:t>S</w:t>
            </w:r>
          </w:p>
          <w:p w14:paraId="2C7D7436" w14:textId="790F9887" w:rsidR="003C19DB" w:rsidRPr="00956E59" w:rsidRDefault="00186CD0">
            <w:pPr>
              <w:spacing w:after="240"/>
              <w:rPr>
                <w:lang w:val="es-ES_tradnl"/>
              </w:rPr>
            </w:pPr>
            <w:r w:rsidRPr="00956E59">
              <w:rPr>
                <w:lang w:val="es-ES_tradnl"/>
              </w:rPr>
              <w:t xml:space="preserve">Las obras audiovisuales, aunque bastante recientes en la historia, están </w:t>
            </w:r>
            <w:r w:rsidR="00A8250A" w:rsidRPr="00956E59">
              <w:rPr>
                <w:lang w:val="es-ES_tradnl"/>
              </w:rPr>
              <w:t>expuestas al</w:t>
            </w:r>
            <w:r w:rsidRPr="00956E59">
              <w:rPr>
                <w:lang w:val="es-ES_tradnl"/>
              </w:rPr>
              <w:t xml:space="preserve"> deterioro y</w:t>
            </w:r>
            <w:r w:rsidR="00A8250A" w:rsidRPr="00956E59">
              <w:rPr>
                <w:lang w:val="es-ES_tradnl"/>
              </w:rPr>
              <w:t xml:space="preserve"> la</w:t>
            </w:r>
            <w:r w:rsidRPr="00956E59">
              <w:rPr>
                <w:lang w:val="es-ES_tradnl"/>
              </w:rPr>
              <w:t xml:space="preserve"> pérdida debido a la fragilidad de los soportes en los que se fijan. E</w:t>
            </w:r>
            <w:r w:rsidR="00D655D9" w:rsidRPr="00956E59">
              <w:rPr>
                <w:lang w:val="es-ES_tradnl"/>
              </w:rPr>
              <w:t>n e</w:t>
            </w:r>
            <w:r w:rsidRPr="00956E59">
              <w:rPr>
                <w:lang w:val="es-ES_tradnl"/>
              </w:rPr>
              <w:t xml:space="preserve">ste estudio </w:t>
            </w:r>
            <w:r w:rsidR="00D655D9" w:rsidRPr="00956E59">
              <w:rPr>
                <w:lang w:val="es-ES_tradnl"/>
              </w:rPr>
              <w:t xml:space="preserve">se </w:t>
            </w:r>
            <w:r w:rsidRPr="00956E59">
              <w:rPr>
                <w:lang w:val="es-ES_tradnl"/>
              </w:rPr>
              <w:t xml:space="preserve">ofrece un análisis de las legislaciones de </w:t>
            </w:r>
            <w:r w:rsidR="00D655D9" w:rsidRPr="00956E59">
              <w:rPr>
                <w:lang w:val="es-ES_tradnl"/>
              </w:rPr>
              <w:t xml:space="preserve">la </w:t>
            </w:r>
            <w:r w:rsidRPr="00956E59">
              <w:rPr>
                <w:lang w:val="es-ES_tradnl"/>
              </w:rPr>
              <w:t xml:space="preserve">Argentina, </w:t>
            </w:r>
            <w:r w:rsidR="00D655D9" w:rsidRPr="00956E59">
              <w:rPr>
                <w:lang w:val="es-ES_tradnl"/>
              </w:rPr>
              <w:t xml:space="preserve">el </w:t>
            </w:r>
            <w:r w:rsidRPr="00956E59">
              <w:rPr>
                <w:lang w:val="es-ES_tradnl"/>
              </w:rPr>
              <w:t xml:space="preserve">Brasil, Costa Rica, </w:t>
            </w:r>
            <w:r w:rsidR="00D655D9" w:rsidRPr="00956E59">
              <w:rPr>
                <w:lang w:val="es-ES_tradnl"/>
              </w:rPr>
              <w:t xml:space="preserve">el </w:t>
            </w:r>
            <w:r w:rsidRPr="00956E59">
              <w:rPr>
                <w:lang w:val="es-ES_tradnl"/>
              </w:rPr>
              <w:t xml:space="preserve">Ecuador, </w:t>
            </w:r>
            <w:r w:rsidR="00D655D9" w:rsidRPr="00956E59">
              <w:rPr>
                <w:lang w:val="es-ES_tradnl"/>
              </w:rPr>
              <w:t xml:space="preserve">el </w:t>
            </w:r>
            <w:r w:rsidRPr="00956E59">
              <w:rPr>
                <w:lang w:val="es-ES_tradnl"/>
              </w:rPr>
              <w:t xml:space="preserve">Perú y </w:t>
            </w:r>
            <w:r w:rsidR="00D655D9" w:rsidRPr="00956E59">
              <w:rPr>
                <w:lang w:val="es-ES_tradnl"/>
              </w:rPr>
              <w:t xml:space="preserve">el </w:t>
            </w:r>
            <w:r w:rsidRPr="00956E59">
              <w:rPr>
                <w:lang w:val="es-ES_tradnl"/>
              </w:rPr>
              <w:t>Uruguay</w:t>
            </w:r>
            <w:r w:rsidR="00536D59" w:rsidRPr="00956E59">
              <w:rPr>
                <w:lang w:val="es-ES_tradnl"/>
              </w:rPr>
              <w:t xml:space="preserve"> con la finalidad de</w:t>
            </w:r>
            <w:r w:rsidRPr="00956E59">
              <w:rPr>
                <w:lang w:val="es-ES_tradnl"/>
              </w:rPr>
              <w:t xml:space="preserve"> ayudar a investigadores, inventores y empresarios a acceder y utilizar la información y los conocimientos tecnológicos y empresariales de dominio público para el desarrollo de nuevos productos y servicios innovadores en </w:t>
            </w:r>
            <w:r w:rsidR="00A8250A" w:rsidRPr="00956E59">
              <w:rPr>
                <w:lang w:val="es-ES_tradnl"/>
              </w:rPr>
              <w:t>esos países</w:t>
            </w:r>
            <w:r w:rsidRPr="00956E59">
              <w:rPr>
                <w:lang w:val="es-ES_tradnl"/>
              </w:rPr>
              <w:t xml:space="preserve">. El estudio se centra en la información y la tecnología divulgadas en los documentos de patente. El estudio está disponible en: </w:t>
            </w:r>
            <w:hyperlink r:id="rId20" w:history="1">
              <w:r w:rsidRPr="00956E59">
                <w:rPr>
                  <w:rStyle w:val="Hyperlink"/>
                  <w:lang w:val="es-ES_tradnl"/>
                </w:rPr>
                <w:t>https://dacatalogue.wipo.int/projectfiles/DA_1_3_4_10_11_16_25_35_01/Orphan_Works/EN/LATAM%20AV%20study_Public_Domain_ES.pdf</w:t>
              </w:r>
            </w:hyperlink>
          </w:p>
          <w:p w14:paraId="63E00558" w14:textId="39D84F67" w:rsidR="003C19DB" w:rsidRPr="00956E59" w:rsidRDefault="00186CD0">
            <w:pPr>
              <w:pStyle w:val="Heading2"/>
              <w:spacing w:before="0" w:after="240"/>
              <w:rPr>
                <w:rFonts w:eastAsia="Times New Roman"/>
                <w:b/>
                <w:szCs w:val="22"/>
                <w:lang w:val="es-ES_tradnl"/>
              </w:rPr>
            </w:pPr>
            <w:r w:rsidRPr="00956E59">
              <w:rPr>
                <w:rFonts w:eastAsia="Times New Roman"/>
                <w:b/>
                <w:szCs w:val="22"/>
                <w:lang w:val="es-ES_tradnl"/>
              </w:rPr>
              <w:t xml:space="preserve">III. </w:t>
            </w:r>
            <w:r w:rsidR="00A8250A" w:rsidRPr="00956E59">
              <w:rPr>
                <w:rFonts w:eastAsia="Times New Roman"/>
                <w:b/>
                <w:szCs w:val="22"/>
                <w:lang w:val="es-ES_tradnl"/>
              </w:rPr>
              <w:t>ESTUDIOS DE CASO</w:t>
            </w:r>
            <w:r w:rsidRPr="00956E59">
              <w:rPr>
                <w:rFonts w:eastAsia="Times New Roman"/>
                <w:b/>
                <w:szCs w:val="22"/>
                <w:lang w:val="es-ES_tradnl"/>
              </w:rPr>
              <w:t xml:space="preserve">: </w:t>
            </w:r>
          </w:p>
          <w:p w14:paraId="2439F6FC" w14:textId="0ED19B08" w:rsidR="003C19DB" w:rsidRPr="00956E59" w:rsidRDefault="00A8250A">
            <w:pPr>
              <w:spacing w:after="240"/>
              <w:rPr>
                <w:lang w:val="es-ES_tradnl"/>
              </w:rPr>
            </w:pPr>
            <w:r w:rsidRPr="00956E59">
              <w:rPr>
                <w:lang w:val="es-ES_tradnl"/>
              </w:rPr>
              <w:t>En l</w:t>
            </w:r>
            <w:r w:rsidR="00186CD0" w:rsidRPr="00956E59">
              <w:rPr>
                <w:lang w:val="es-ES_tradnl"/>
              </w:rPr>
              <w:t xml:space="preserve">os siete estudios de caso </w:t>
            </w:r>
            <w:r w:rsidRPr="00956E59">
              <w:rPr>
                <w:lang w:val="es-ES_tradnl"/>
              </w:rPr>
              <w:t xml:space="preserve">que se mencionan a continuación se </w:t>
            </w:r>
            <w:r w:rsidR="00186CD0" w:rsidRPr="00956E59">
              <w:rPr>
                <w:lang w:val="es-ES_tradnl"/>
              </w:rPr>
              <w:t xml:space="preserve">evalúa el proceso de distribución de contenidos </w:t>
            </w:r>
            <w:r w:rsidRPr="00956E59">
              <w:rPr>
                <w:lang w:val="es-ES_tradnl"/>
              </w:rPr>
              <w:t xml:space="preserve">por </w:t>
            </w:r>
            <w:r w:rsidR="00186CD0" w:rsidRPr="00956E59">
              <w:rPr>
                <w:lang w:val="es-ES_tradnl"/>
              </w:rPr>
              <w:t xml:space="preserve">canales digitales en determinados países. </w:t>
            </w:r>
            <w:r w:rsidRPr="00956E59">
              <w:rPr>
                <w:lang w:val="es-ES_tradnl"/>
              </w:rPr>
              <w:t>Se p</w:t>
            </w:r>
            <w:r w:rsidR="00186CD0" w:rsidRPr="00956E59">
              <w:rPr>
                <w:lang w:val="es-ES_tradnl"/>
              </w:rPr>
              <w:t xml:space="preserve">resentan ejemplos concretos de producciones locales distribuidas en línea con </w:t>
            </w:r>
            <w:r w:rsidR="009601B8" w:rsidRPr="00956E59">
              <w:rPr>
                <w:lang w:val="es-ES_tradnl"/>
              </w:rPr>
              <w:t xml:space="preserve">miras </w:t>
            </w:r>
            <w:r w:rsidR="00186CD0" w:rsidRPr="00956E59">
              <w:rPr>
                <w:lang w:val="es-ES_tradnl"/>
              </w:rPr>
              <w:t xml:space="preserve">a comprender mejor </w:t>
            </w:r>
            <w:r w:rsidRPr="00956E59">
              <w:rPr>
                <w:lang w:val="es-ES_tradnl"/>
              </w:rPr>
              <w:t>las medidas que se han adoptado para intentar llegar</w:t>
            </w:r>
            <w:r w:rsidR="00186CD0" w:rsidRPr="00956E59">
              <w:rPr>
                <w:lang w:val="es-ES_tradnl"/>
              </w:rPr>
              <w:t xml:space="preserve"> a los usuarios </w:t>
            </w:r>
            <w:r w:rsidRPr="00956E59">
              <w:rPr>
                <w:lang w:val="es-ES_tradnl"/>
              </w:rPr>
              <w:t xml:space="preserve">por </w:t>
            </w:r>
            <w:r w:rsidR="00186CD0" w:rsidRPr="00956E59">
              <w:rPr>
                <w:lang w:val="es-ES_tradnl"/>
              </w:rPr>
              <w:t>medios digitales.</w:t>
            </w:r>
          </w:p>
          <w:p w14:paraId="5EC4D83E" w14:textId="3DA32164" w:rsidR="003C19DB" w:rsidRPr="00956E59" w:rsidRDefault="00A8250A">
            <w:pPr>
              <w:pStyle w:val="Heading3"/>
              <w:spacing w:before="0" w:after="240"/>
              <w:rPr>
                <w:rFonts w:eastAsia="Times New Roman"/>
                <w:szCs w:val="22"/>
                <w:u w:val="none"/>
                <w:lang w:val="es-ES_tradnl"/>
              </w:rPr>
            </w:pPr>
            <w:r w:rsidRPr="00956E59">
              <w:rPr>
                <w:rFonts w:eastAsia="Times New Roman"/>
                <w:szCs w:val="22"/>
                <w:u w:val="none"/>
                <w:lang w:val="es-ES_tradnl"/>
              </w:rPr>
              <w:t>Estudio de ca</w:t>
            </w:r>
            <w:r w:rsidR="00F7359F" w:rsidRPr="00956E59">
              <w:rPr>
                <w:rFonts w:eastAsia="Times New Roman"/>
                <w:szCs w:val="22"/>
                <w:u w:val="none"/>
                <w:lang w:val="es-ES_tradnl"/>
              </w:rPr>
              <w:t>s</w:t>
            </w:r>
            <w:r w:rsidRPr="00956E59">
              <w:rPr>
                <w:rFonts w:eastAsia="Times New Roman"/>
                <w:szCs w:val="22"/>
                <w:u w:val="none"/>
                <w:lang w:val="es-ES_tradnl"/>
              </w:rPr>
              <w:t>o</w:t>
            </w:r>
            <w:r w:rsidR="004A1398" w:rsidRPr="00956E59">
              <w:rPr>
                <w:rFonts w:eastAsia="Times New Roman"/>
                <w:szCs w:val="22"/>
                <w:u w:val="none"/>
                <w:lang w:val="es-ES_tradnl"/>
              </w:rPr>
              <w:t xml:space="preserve"> I: Las mujeres en el sector audiovisual: Panorama de los países </w:t>
            </w:r>
            <w:r w:rsidR="00F7359F" w:rsidRPr="00956E59">
              <w:rPr>
                <w:rFonts w:eastAsia="Times New Roman"/>
                <w:szCs w:val="22"/>
                <w:u w:val="none"/>
                <w:lang w:val="es-ES_tradnl"/>
              </w:rPr>
              <w:t xml:space="preserve">de América Latina y de </w:t>
            </w:r>
            <w:r w:rsidR="004A1398" w:rsidRPr="00956E59">
              <w:rPr>
                <w:rFonts w:eastAsia="Times New Roman"/>
                <w:szCs w:val="22"/>
                <w:u w:val="none"/>
                <w:lang w:val="es-ES_tradnl"/>
              </w:rPr>
              <w:t xml:space="preserve">España, disponible en: </w:t>
            </w:r>
            <w:hyperlink r:id="rId21" w:history="1">
              <w:r w:rsidR="004A1398" w:rsidRPr="00956E59">
                <w:rPr>
                  <w:rStyle w:val="Hyperlink"/>
                  <w:rFonts w:eastAsia="Times New Roman"/>
                  <w:szCs w:val="22"/>
                  <w:lang w:val="es-ES_tradnl"/>
                </w:rPr>
                <w:t>dacatalogue.wipo.int/projectfiles/DA_1_3_4_10_11_16_25_35_01/Case_Study_I/E</w:t>
              </w:r>
              <w:r w:rsidR="00F7359F" w:rsidRPr="00956E59">
                <w:rPr>
                  <w:rStyle w:val="Hyperlink"/>
                  <w:rFonts w:eastAsia="Times New Roman"/>
                  <w:szCs w:val="22"/>
                  <w:lang w:val="es-ES_tradnl"/>
                </w:rPr>
                <w:t>S</w:t>
              </w:r>
              <w:r w:rsidR="004A1398" w:rsidRPr="00956E59">
                <w:rPr>
                  <w:rStyle w:val="Hyperlink"/>
                  <w:rFonts w:eastAsia="Times New Roman"/>
                  <w:szCs w:val="22"/>
                  <w:lang w:val="es-ES_tradnl"/>
                </w:rPr>
                <w:t>/LATAM%20AV%20case%20study%201%20E</w:t>
              </w:r>
              <w:r w:rsidR="00F7359F" w:rsidRPr="00956E59">
                <w:rPr>
                  <w:rStyle w:val="Hyperlink"/>
                  <w:rFonts w:eastAsia="Times New Roman"/>
                  <w:szCs w:val="22"/>
                  <w:lang w:val="es-ES_tradnl"/>
                </w:rPr>
                <w:t>S</w:t>
              </w:r>
              <w:r w:rsidR="004A1398" w:rsidRPr="00956E59">
                <w:rPr>
                  <w:rStyle w:val="Hyperlink"/>
                  <w:rFonts w:eastAsia="Times New Roman"/>
                  <w:szCs w:val="22"/>
                  <w:lang w:val="es-ES_tradnl"/>
                </w:rPr>
                <w:t>.</w:t>
              </w:r>
            </w:hyperlink>
            <w:r w:rsidR="004A1398" w:rsidRPr="00956E59">
              <w:rPr>
                <w:rFonts w:eastAsia="Times New Roman"/>
                <w:szCs w:val="22"/>
                <w:u w:val="none"/>
                <w:lang w:val="es-ES_tradnl"/>
              </w:rPr>
              <w:t xml:space="preserve">pdf </w:t>
            </w:r>
          </w:p>
          <w:p w14:paraId="40A8B34A" w14:textId="55C75CF4" w:rsidR="003C19DB" w:rsidRPr="00956E59" w:rsidRDefault="00F7359F">
            <w:pPr>
              <w:spacing w:after="240"/>
              <w:rPr>
                <w:lang w:val="es-ES_tradnl"/>
              </w:rPr>
            </w:pPr>
            <w:r w:rsidRPr="00956E59">
              <w:rPr>
                <w:lang w:val="es-ES_tradnl"/>
              </w:rPr>
              <w:t>En este</w:t>
            </w:r>
            <w:r w:rsidR="00186CD0" w:rsidRPr="00956E59">
              <w:rPr>
                <w:lang w:val="es-ES_tradnl"/>
              </w:rPr>
              <w:t xml:space="preserve"> estudio de caso </w:t>
            </w:r>
            <w:r w:rsidRPr="00956E59">
              <w:rPr>
                <w:lang w:val="es-ES_tradnl"/>
              </w:rPr>
              <w:t>se</w:t>
            </w:r>
            <w:r w:rsidR="00186CD0" w:rsidRPr="00956E59">
              <w:rPr>
                <w:lang w:val="es-ES_tradnl"/>
              </w:rPr>
              <w:t xml:space="preserve"> analiza la participación femenina en </w:t>
            </w:r>
            <w:r w:rsidR="00D655D9" w:rsidRPr="00956E59">
              <w:rPr>
                <w:lang w:val="es-ES_tradnl"/>
              </w:rPr>
              <w:t>el sector</w:t>
            </w:r>
            <w:r w:rsidR="00186CD0" w:rsidRPr="00956E59">
              <w:rPr>
                <w:lang w:val="es-ES_tradnl"/>
              </w:rPr>
              <w:t xml:space="preserve"> audiovisual en algunos países de América Latina y España.  Para ello, </w:t>
            </w:r>
            <w:r w:rsidRPr="00956E59">
              <w:rPr>
                <w:lang w:val="es-ES_tradnl"/>
              </w:rPr>
              <w:t xml:space="preserve">se </w:t>
            </w:r>
            <w:r w:rsidR="00186CD0" w:rsidRPr="00956E59">
              <w:rPr>
                <w:lang w:val="es-ES_tradnl"/>
              </w:rPr>
              <w:t xml:space="preserve">traza un panorama de la situación actual de la diversidad de género, destacando la proporción de mujeres en </w:t>
            </w:r>
            <w:r w:rsidRPr="00956E59">
              <w:rPr>
                <w:lang w:val="es-ES_tradnl"/>
              </w:rPr>
              <w:t xml:space="preserve">funciones </w:t>
            </w:r>
            <w:r w:rsidR="00186CD0" w:rsidRPr="00956E59">
              <w:rPr>
                <w:lang w:val="es-ES_tradnl"/>
              </w:rPr>
              <w:t>de liderazgo creativo, es decir</w:t>
            </w:r>
            <w:r w:rsidR="00186CD0" w:rsidRPr="00956E59">
              <w:rPr>
                <w:i/>
                <w:lang w:val="es-ES_tradnl"/>
              </w:rPr>
              <w:t xml:space="preserve">, </w:t>
            </w:r>
            <w:r w:rsidRPr="00956E59">
              <w:rPr>
                <w:iCs/>
                <w:lang w:val="es-ES_tradnl"/>
              </w:rPr>
              <w:t xml:space="preserve">en la titularidad de los cuadros de </w:t>
            </w:r>
            <w:r w:rsidR="00186CD0" w:rsidRPr="00956E59">
              <w:rPr>
                <w:lang w:val="es-ES_tradnl"/>
              </w:rPr>
              <w:t xml:space="preserve">dirección, </w:t>
            </w:r>
            <w:r w:rsidR="00A77D99" w:rsidRPr="00956E59">
              <w:rPr>
                <w:lang w:val="es-ES_tradnl"/>
              </w:rPr>
              <w:t>guion</w:t>
            </w:r>
            <w:r w:rsidR="00186CD0" w:rsidRPr="00956E59">
              <w:rPr>
                <w:lang w:val="es-ES_tradnl"/>
              </w:rPr>
              <w:t xml:space="preserve"> y producción. </w:t>
            </w:r>
            <w:r w:rsidRPr="00956E59">
              <w:rPr>
                <w:lang w:val="es-ES_tradnl"/>
              </w:rPr>
              <w:t>En la medida de lo</w:t>
            </w:r>
            <w:r w:rsidR="00186CD0" w:rsidRPr="00956E59">
              <w:rPr>
                <w:lang w:val="es-ES_tradnl"/>
              </w:rPr>
              <w:t xml:space="preserve"> posible, </w:t>
            </w:r>
            <w:r w:rsidRPr="00956E59">
              <w:rPr>
                <w:lang w:val="es-ES_tradnl"/>
              </w:rPr>
              <w:t xml:space="preserve">se </w:t>
            </w:r>
            <w:r w:rsidR="00186CD0" w:rsidRPr="00956E59">
              <w:rPr>
                <w:lang w:val="es-ES_tradnl"/>
              </w:rPr>
              <w:t>presenta información sobre otr</w:t>
            </w:r>
            <w:r w:rsidRPr="00956E59">
              <w:rPr>
                <w:lang w:val="es-ES_tradnl"/>
              </w:rPr>
              <w:t>a</w:t>
            </w:r>
            <w:r w:rsidR="00186CD0" w:rsidRPr="00956E59">
              <w:rPr>
                <w:lang w:val="es-ES_tradnl"/>
              </w:rPr>
              <w:t xml:space="preserve">s </w:t>
            </w:r>
            <w:r w:rsidRPr="00956E59">
              <w:rPr>
                <w:lang w:val="es-ES_tradnl"/>
              </w:rPr>
              <w:t>funciones</w:t>
            </w:r>
            <w:r w:rsidR="00186CD0" w:rsidRPr="00956E59">
              <w:rPr>
                <w:lang w:val="es-ES_tradnl"/>
              </w:rPr>
              <w:t xml:space="preserve"> técnico-artístic</w:t>
            </w:r>
            <w:r w:rsidRPr="00956E59">
              <w:rPr>
                <w:lang w:val="es-ES_tradnl"/>
              </w:rPr>
              <w:t>a</w:t>
            </w:r>
            <w:r w:rsidR="00186CD0" w:rsidRPr="00956E59">
              <w:rPr>
                <w:lang w:val="es-ES_tradnl"/>
              </w:rPr>
              <w:t>s,</w:t>
            </w:r>
            <w:r w:rsidRPr="00956E59">
              <w:rPr>
                <w:lang w:val="es-ES_tradnl"/>
              </w:rPr>
              <w:t xml:space="preserve"> de</w:t>
            </w:r>
            <w:r w:rsidR="00186CD0" w:rsidRPr="00956E59">
              <w:rPr>
                <w:lang w:val="es-ES_tradnl"/>
              </w:rPr>
              <w:t xml:space="preserve"> la </w:t>
            </w:r>
            <w:r w:rsidRPr="00956E59">
              <w:rPr>
                <w:lang w:val="es-ES_tradnl"/>
              </w:rPr>
              <w:t>fuerza laboral</w:t>
            </w:r>
            <w:r w:rsidR="00186CD0" w:rsidRPr="00956E59">
              <w:rPr>
                <w:lang w:val="es-ES_tradnl"/>
              </w:rPr>
              <w:t xml:space="preserve"> del sector en su conjunto y el </w:t>
            </w:r>
            <w:r w:rsidRPr="00956E59">
              <w:rPr>
                <w:lang w:val="es-ES_tradnl"/>
              </w:rPr>
              <w:t xml:space="preserve">elenco de las narrativas </w:t>
            </w:r>
            <w:r w:rsidR="00186CD0" w:rsidRPr="00956E59">
              <w:rPr>
                <w:lang w:val="es-ES_tradnl"/>
              </w:rPr>
              <w:t>cinematográficas. Este último conjunto de datos no está disponible para todos los países</w:t>
            </w:r>
            <w:r w:rsidR="00D655D9" w:rsidRPr="00956E59">
              <w:rPr>
                <w:lang w:val="es-ES_tradnl"/>
              </w:rPr>
              <w:t xml:space="preserve">, por lo que </w:t>
            </w:r>
            <w:r w:rsidR="00186CD0" w:rsidRPr="00956E59">
              <w:rPr>
                <w:lang w:val="es-ES_tradnl"/>
              </w:rPr>
              <w:t xml:space="preserve">no </w:t>
            </w:r>
            <w:r w:rsidR="00D655D9" w:rsidRPr="00956E59">
              <w:rPr>
                <w:lang w:val="es-ES_tradnl"/>
              </w:rPr>
              <w:t>se puede usar para fines de comparación</w:t>
            </w:r>
            <w:r w:rsidR="00186CD0" w:rsidRPr="00956E59">
              <w:rPr>
                <w:lang w:val="es-ES_tradnl"/>
              </w:rPr>
              <w:t>; no obstante, contribuye a la comprensión de l</w:t>
            </w:r>
            <w:r w:rsidRPr="00956E59">
              <w:rPr>
                <w:lang w:val="es-ES_tradnl"/>
              </w:rPr>
              <w:t>a</w:t>
            </w:r>
            <w:r w:rsidR="00186CD0" w:rsidRPr="00956E59">
              <w:rPr>
                <w:lang w:val="es-ES_tradnl"/>
              </w:rPr>
              <w:t>s distint</w:t>
            </w:r>
            <w:r w:rsidRPr="00956E59">
              <w:rPr>
                <w:lang w:val="es-ES_tradnl"/>
              </w:rPr>
              <w:t>a</w:t>
            </w:r>
            <w:r w:rsidR="00186CD0" w:rsidRPr="00956E59">
              <w:rPr>
                <w:lang w:val="es-ES_tradnl"/>
              </w:rPr>
              <w:t xml:space="preserve">s </w:t>
            </w:r>
            <w:r w:rsidRPr="00956E59">
              <w:rPr>
                <w:lang w:val="es-ES_tradnl"/>
              </w:rPr>
              <w:t xml:space="preserve">coyunturas </w:t>
            </w:r>
            <w:r w:rsidR="00186CD0" w:rsidRPr="00956E59">
              <w:rPr>
                <w:lang w:val="es-ES_tradnl"/>
              </w:rPr>
              <w:t>y, por ello, se ha incluido en las secciones correspondientes a cada país.</w:t>
            </w:r>
          </w:p>
          <w:p w14:paraId="22F305E3" w14:textId="01EEB165" w:rsidR="003C19DB" w:rsidRPr="00956E59" w:rsidRDefault="009601B8">
            <w:pPr>
              <w:pStyle w:val="Heading3"/>
              <w:spacing w:before="0" w:after="240"/>
              <w:rPr>
                <w:rFonts w:eastAsia="Times New Roman"/>
                <w:szCs w:val="22"/>
                <w:u w:val="none"/>
                <w:lang w:val="es-ES_tradnl"/>
              </w:rPr>
            </w:pPr>
            <w:r w:rsidRPr="00956E59">
              <w:rPr>
                <w:rFonts w:eastAsia="Times New Roman"/>
                <w:szCs w:val="22"/>
                <w:u w:val="none"/>
                <w:lang w:val="es-ES_tradnl"/>
              </w:rPr>
              <w:t>Estudio de caso</w:t>
            </w:r>
            <w:r w:rsidR="004A1398" w:rsidRPr="00956E59">
              <w:rPr>
                <w:rFonts w:eastAsia="Times New Roman"/>
                <w:szCs w:val="22"/>
                <w:u w:val="none"/>
                <w:lang w:val="es-ES_tradnl"/>
              </w:rPr>
              <w:t xml:space="preserve"> II: La experiencia de un</w:t>
            </w:r>
            <w:r w:rsidRPr="00956E59">
              <w:rPr>
                <w:rFonts w:eastAsia="Times New Roman"/>
                <w:szCs w:val="22"/>
                <w:u w:val="none"/>
                <w:lang w:val="es-ES_tradnl"/>
              </w:rPr>
              <w:t>a</w:t>
            </w:r>
            <w:r w:rsidR="004A1398" w:rsidRPr="00956E59">
              <w:rPr>
                <w:rFonts w:eastAsia="Times New Roman"/>
                <w:szCs w:val="22"/>
                <w:u w:val="none"/>
                <w:lang w:val="es-ES_tradnl"/>
              </w:rPr>
              <w:t xml:space="preserve"> productor</w:t>
            </w:r>
            <w:r w:rsidRPr="00956E59">
              <w:rPr>
                <w:rFonts w:eastAsia="Times New Roman"/>
                <w:szCs w:val="22"/>
                <w:u w:val="none"/>
                <w:lang w:val="es-ES_tradnl"/>
              </w:rPr>
              <w:t>a</w:t>
            </w:r>
            <w:r w:rsidR="004A1398" w:rsidRPr="00956E59">
              <w:rPr>
                <w:rFonts w:eastAsia="Times New Roman"/>
                <w:szCs w:val="22"/>
                <w:u w:val="none"/>
                <w:lang w:val="es-ES_tradnl"/>
              </w:rPr>
              <w:t xml:space="preserve"> independiente brasileñ</w:t>
            </w:r>
            <w:r w:rsidRPr="00956E59">
              <w:rPr>
                <w:rFonts w:eastAsia="Times New Roman"/>
                <w:szCs w:val="22"/>
                <w:u w:val="none"/>
                <w:lang w:val="es-ES_tradnl"/>
              </w:rPr>
              <w:t>a</w:t>
            </w:r>
            <w:r w:rsidR="004A1398" w:rsidRPr="00956E59">
              <w:rPr>
                <w:rFonts w:eastAsia="Times New Roman"/>
                <w:szCs w:val="22"/>
                <w:u w:val="none"/>
                <w:lang w:val="es-ES_tradnl"/>
              </w:rPr>
              <w:t xml:space="preserve"> con la distribución en línea de contenidos audiovisuales, disponible en: </w:t>
            </w:r>
            <w:hyperlink r:id="rId22" w:history="1">
              <w:r w:rsidR="004A1398" w:rsidRPr="00956E59">
                <w:rPr>
                  <w:rStyle w:val="Hyperlink"/>
                  <w:rFonts w:eastAsia="Times New Roman"/>
                  <w:szCs w:val="22"/>
                  <w:lang w:val="es-ES_tradnl"/>
                </w:rPr>
                <w:t>dacatalogue.wipo.int/projectfiles/DA_1_3_4_10_11_16_25_35_01/Case_Study_II/EN/LATAM%20AV%20casestudy%202%20EN.</w:t>
              </w:r>
            </w:hyperlink>
            <w:r w:rsidR="004A1398" w:rsidRPr="00956E59">
              <w:rPr>
                <w:rFonts w:eastAsia="Times New Roman"/>
                <w:szCs w:val="22"/>
                <w:u w:val="none"/>
                <w:lang w:val="es-ES_tradnl"/>
              </w:rPr>
              <w:t xml:space="preserve">pdf </w:t>
            </w:r>
          </w:p>
          <w:p w14:paraId="60358D6F" w14:textId="19DCE6CE" w:rsidR="003C19DB" w:rsidRPr="00956E59" w:rsidRDefault="00631D54">
            <w:pPr>
              <w:spacing w:after="240"/>
              <w:rPr>
                <w:lang w:val="es-ES_tradnl"/>
              </w:rPr>
            </w:pPr>
            <w:r w:rsidRPr="00956E59">
              <w:rPr>
                <w:lang w:val="es-ES_tradnl"/>
              </w:rPr>
              <w:t>En e</w:t>
            </w:r>
            <w:r w:rsidR="00186CD0" w:rsidRPr="00956E59">
              <w:rPr>
                <w:lang w:val="es-ES_tradnl"/>
              </w:rPr>
              <w:t xml:space="preserve">ste estudio de caso </w:t>
            </w:r>
            <w:r w:rsidRPr="00956E59">
              <w:rPr>
                <w:lang w:val="es-ES_tradnl"/>
              </w:rPr>
              <w:t xml:space="preserve">se </w:t>
            </w:r>
            <w:r w:rsidR="00186CD0" w:rsidRPr="00956E59">
              <w:rPr>
                <w:lang w:val="es-ES_tradnl"/>
              </w:rPr>
              <w:t>investiga</w:t>
            </w:r>
            <w:r w:rsidR="00181747" w:rsidRPr="00956E59">
              <w:rPr>
                <w:lang w:val="es-ES_tradnl"/>
              </w:rPr>
              <w:t>n</w:t>
            </w:r>
            <w:r w:rsidR="00186CD0" w:rsidRPr="00956E59">
              <w:rPr>
                <w:lang w:val="es-ES_tradnl"/>
              </w:rPr>
              <w:t xml:space="preserve"> </w:t>
            </w:r>
            <w:r w:rsidR="00181747" w:rsidRPr="00956E59">
              <w:rPr>
                <w:lang w:val="es-ES_tradnl"/>
              </w:rPr>
              <w:t xml:space="preserve">los principales cambios que se han producido en la estructura jurídica de la producción audiovisual en el Brasil como consecuencia de la distribución digital, </w:t>
            </w:r>
            <w:r w:rsidR="009601B8" w:rsidRPr="00956E59">
              <w:rPr>
                <w:lang w:val="es-ES_tradnl"/>
              </w:rPr>
              <w:t>desde</w:t>
            </w:r>
            <w:r w:rsidR="00181747" w:rsidRPr="00956E59">
              <w:rPr>
                <w:lang w:val="es-ES_tradnl"/>
              </w:rPr>
              <w:t xml:space="preserve"> la perspectiva de los derechos necesarios para garantizar una distribución eficaz de la obra audiovisual. </w:t>
            </w:r>
            <w:r w:rsidR="009601B8" w:rsidRPr="00956E59">
              <w:rPr>
                <w:lang w:val="es-ES_tradnl"/>
              </w:rPr>
              <w:t>En el estudio</w:t>
            </w:r>
            <w:r w:rsidR="00181747" w:rsidRPr="00956E59">
              <w:rPr>
                <w:lang w:val="es-ES_tradnl"/>
              </w:rPr>
              <w:t xml:space="preserve"> se señala</w:t>
            </w:r>
            <w:r w:rsidR="009601B8" w:rsidRPr="00956E59">
              <w:rPr>
                <w:lang w:val="es-ES_tradnl"/>
              </w:rPr>
              <w:t>n</w:t>
            </w:r>
            <w:r w:rsidR="00181747" w:rsidRPr="00956E59">
              <w:rPr>
                <w:lang w:val="es-ES_tradnl"/>
              </w:rPr>
              <w:t xml:space="preserve"> los principales retos y tendencias de los productores audiovisuales brasileños en este contexto.</w:t>
            </w:r>
            <w:r w:rsidR="00186CD0" w:rsidRPr="00956E59">
              <w:rPr>
                <w:lang w:val="es-ES_tradnl"/>
              </w:rPr>
              <w:t xml:space="preserve"> </w:t>
            </w:r>
            <w:r w:rsidR="00181747" w:rsidRPr="00956E59">
              <w:rPr>
                <w:lang w:val="es-ES_tradnl"/>
              </w:rPr>
              <w:t>Para entender las implicaciones prácticas, este estudio de caso se basa en la experiencia de la productora brasileña</w:t>
            </w:r>
            <w:r w:rsidR="00186CD0" w:rsidRPr="00956E59">
              <w:rPr>
                <w:lang w:val="es-ES_tradnl"/>
              </w:rPr>
              <w:t xml:space="preserve"> O2 Filmes.</w:t>
            </w:r>
          </w:p>
          <w:p w14:paraId="017FCF78" w14:textId="74ED2399" w:rsidR="003C19DB" w:rsidRPr="00956E59" w:rsidRDefault="00165449" w:rsidP="004A1398">
            <w:pPr>
              <w:spacing w:after="240"/>
              <w:rPr>
                <w:lang w:val="es-ES_tradnl"/>
              </w:rPr>
            </w:pPr>
            <w:r w:rsidRPr="00956E59">
              <w:rPr>
                <w:rFonts w:eastAsia="Times New Roman"/>
                <w:szCs w:val="22"/>
                <w:lang w:val="es-ES_tradnl"/>
              </w:rPr>
              <w:t>Estudio de c</w:t>
            </w:r>
            <w:r w:rsidR="004A1398" w:rsidRPr="00956E59">
              <w:rPr>
                <w:rFonts w:eastAsia="Times New Roman"/>
                <w:szCs w:val="22"/>
                <w:lang w:val="es-ES_tradnl"/>
              </w:rPr>
              <w:t>aso III: Desarrollo de un servicio local de transmisión de contenido audiovisual por Internet</w:t>
            </w:r>
            <w:r w:rsidR="004A1398" w:rsidRPr="00956E59">
              <w:rPr>
                <w:lang w:val="es-ES_tradnl"/>
              </w:rPr>
              <w:t xml:space="preserve">, disponible en: </w:t>
            </w:r>
            <w:hyperlink r:id="rId23" w:history="1">
              <w:r w:rsidR="004A1398" w:rsidRPr="00956E59">
                <w:rPr>
                  <w:rStyle w:val="Hyperlink"/>
                  <w:lang w:val="es-ES_tradnl"/>
                </w:rPr>
                <w:t>dacatalogue.wipo.int/projectfiles/DA_1_3_4_10_11_16_25_35_01/Case_Study_III/EN/LATAM%20AV%20case%20study%203%20EN.</w:t>
              </w:r>
            </w:hyperlink>
            <w:r w:rsidR="004A1398" w:rsidRPr="00956E59">
              <w:rPr>
                <w:lang w:val="es-ES_tradnl"/>
              </w:rPr>
              <w:t xml:space="preserve">pdf </w:t>
            </w:r>
          </w:p>
          <w:p w14:paraId="1F46D08A" w14:textId="19B49F03" w:rsidR="003C19DB" w:rsidRPr="00956E59" w:rsidRDefault="004758D7">
            <w:pPr>
              <w:spacing w:after="240"/>
              <w:rPr>
                <w:lang w:val="es-ES_tradnl"/>
              </w:rPr>
            </w:pPr>
            <w:r w:rsidRPr="00956E59">
              <w:rPr>
                <w:lang w:val="es-ES_tradnl"/>
              </w:rPr>
              <w:t>En e</w:t>
            </w:r>
            <w:r w:rsidR="00186CD0" w:rsidRPr="00956E59">
              <w:rPr>
                <w:lang w:val="es-ES_tradnl"/>
              </w:rPr>
              <w:t xml:space="preserve">ste estudio de caso </w:t>
            </w:r>
            <w:r w:rsidRPr="00956E59">
              <w:rPr>
                <w:lang w:val="es-ES_tradnl"/>
              </w:rPr>
              <w:t xml:space="preserve">se </w:t>
            </w:r>
            <w:r w:rsidR="00186CD0" w:rsidRPr="00956E59">
              <w:rPr>
                <w:lang w:val="es-ES_tradnl"/>
              </w:rPr>
              <w:t>realiza una comparación entre Netflix y Claro Video como plataformas OTT teniendo en cuenta algunos elementos clave, como el precio, la accesibilidad, la interfaz de usuario y los contenidos internacionales y latinoamericanos.</w:t>
            </w:r>
          </w:p>
          <w:p w14:paraId="7ABAFC79" w14:textId="39CD8D6E" w:rsidR="003C19DB" w:rsidRPr="00956E59" w:rsidRDefault="004758D7">
            <w:pPr>
              <w:spacing w:after="240"/>
              <w:rPr>
                <w:lang w:val="es-ES_tradnl"/>
              </w:rPr>
            </w:pPr>
            <w:r w:rsidRPr="00956E59">
              <w:rPr>
                <w:rFonts w:eastAsia="Times New Roman"/>
                <w:szCs w:val="22"/>
                <w:lang w:val="es-ES_tradnl"/>
              </w:rPr>
              <w:t>Estudio de c</w:t>
            </w:r>
            <w:r w:rsidR="004A1398" w:rsidRPr="00956E59">
              <w:rPr>
                <w:rFonts w:eastAsia="Times New Roman"/>
                <w:szCs w:val="22"/>
                <w:lang w:val="es-ES_tradnl"/>
              </w:rPr>
              <w:t xml:space="preserve">aso IV: </w:t>
            </w:r>
            <w:r w:rsidRPr="00956E59">
              <w:rPr>
                <w:rFonts w:eastAsia="Times New Roman"/>
                <w:szCs w:val="22"/>
                <w:lang w:val="es-ES_tradnl"/>
              </w:rPr>
              <w:t>La o</w:t>
            </w:r>
            <w:r w:rsidR="004A1398" w:rsidRPr="00956E59">
              <w:rPr>
                <w:rFonts w:eastAsia="Times New Roman"/>
                <w:szCs w:val="22"/>
                <w:lang w:val="es-ES_tradnl"/>
              </w:rPr>
              <w:t>btención de derechos desde la perspectiva de un</w:t>
            </w:r>
            <w:r w:rsidRPr="00956E59">
              <w:rPr>
                <w:rFonts w:eastAsia="Times New Roman"/>
                <w:szCs w:val="22"/>
                <w:lang w:val="es-ES_tradnl"/>
              </w:rPr>
              <w:t>a</w:t>
            </w:r>
            <w:r w:rsidR="004A1398" w:rsidRPr="00956E59">
              <w:rPr>
                <w:rFonts w:eastAsia="Times New Roman"/>
                <w:szCs w:val="22"/>
                <w:lang w:val="es-ES_tradnl"/>
              </w:rPr>
              <w:t xml:space="preserve"> productor</w:t>
            </w:r>
            <w:r w:rsidRPr="00956E59">
              <w:rPr>
                <w:rFonts w:eastAsia="Times New Roman"/>
                <w:szCs w:val="22"/>
                <w:lang w:val="es-ES_tradnl"/>
              </w:rPr>
              <w:t>a</w:t>
            </w:r>
            <w:r w:rsidR="004A1398" w:rsidRPr="00956E59">
              <w:rPr>
                <w:rFonts w:eastAsia="Times New Roman"/>
                <w:szCs w:val="22"/>
                <w:lang w:val="es-ES_tradnl"/>
              </w:rPr>
              <w:t xml:space="preserve"> independiente brasileñ</w:t>
            </w:r>
            <w:r w:rsidRPr="00956E59">
              <w:rPr>
                <w:rFonts w:eastAsia="Times New Roman"/>
                <w:szCs w:val="22"/>
                <w:lang w:val="es-ES_tradnl"/>
              </w:rPr>
              <w:t>a</w:t>
            </w:r>
            <w:r w:rsidR="004A1398" w:rsidRPr="00956E59">
              <w:rPr>
                <w:lang w:val="es-ES_tradnl"/>
              </w:rPr>
              <w:t xml:space="preserve">, disponible en: </w:t>
            </w:r>
            <w:hyperlink r:id="rId24" w:history="1">
              <w:r w:rsidR="004A1398" w:rsidRPr="00956E59">
                <w:rPr>
                  <w:rStyle w:val="Hyperlink"/>
                  <w:lang w:val="es-ES_tradnl"/>
                </w:rPr>
                <w:t>dacatalogue.wipo.int/projectfiles/DA_1_3_4_10_11_16_25_35_01/Case_Study_IV/EN/LATAM%20AV%20case%20study%204%20EN.</w:t>
              </w:r>
            </w:hyperlink>
            <w:r w:rsidR="004A1398" w:rsidRPr="00956E59">
              <w:rPr>
                <w:lang w:val="es-ES_tradnl"/>
              </w:rPr>
              <w:t xml:space="preserve">pdf  </w:t>
            </w:r>
          </w:p>
          <w:p w14:paraId="72749817" w14:textId="78A8EE95" w:rsidR="003C19DB" w:rsidRPr="00956E59" w:rsidRDefault="004758D7">
            <w:pPr>
              <w:spacing w:after="240"/>
              <w:rPr>
                <w:lang w:val="es-ES_tradnl"/>
              </w:rPr>
            </w:pPr>
            <w:r w:rsidRPr="00956E59">
              <w:rPr>
                <w:lang w:val="es-ES_tradnl"/>
              </w:rPr>
              <w:t>En e</w:t>
            </w:r>
            <w:r w:rsidR="00186CD0" w:rsidRPr="00956E59">
              <w:rPr>
                <w:lang w:val="es-ES_tradnl"/>
              </w:rPr>
              <w:t xml:space="preserve">ste estudio de caso </w:t>
            </w:r>
            <w:r w:rsidRPr="00956E59">
              <w:rPr>
                <w:lang w:val="es-ES_tradnl"/>
              </w:rPr>
              <w:t xml:space="preserve">se </w:t>
            </w:r>
            <w:r w:rsidR="00186CD0" w:rsidRPr="00956E59">
              <w:rPr>
                <w:lang w:val="es-ES_tradnl"/>
              </w:rPr>
              <w:t>describe</w:t>
            </w:r>
            <w:r w:rsidRPr="00956E59">
              <w:rPr>
                <w:lang w:val="es-ES_tradnl"/>
              </w:rPr>
              <w:t>n</w:t>
            </w:r>
            <w:r w:rsidR="00186CD0" w:rsidRPr="00956E59">
              <w:rPr>
                <w:lang w:val="es-ES_tradnl"/>
              </w:rPr>
              <w:t xml:space="preserve"> las prácticas</w:t>
            </w:r>
            <w:r w:rsidRPr="00956E59">
              <w:rPr>
                <w:lang w:val="es-ES_tradnl"/>
              </w:rPr>
              <w:t xml:space="preserve"> de obtención de derechos </w:t>
            </w:r>
            <w:r w:rsidR="00186CD0" w:rsidRPr="00956E59">
              <w:rPr>
                <w:lang w:val="es-ES_tradnl"/>
              </w:rPr>
              <w:t xml:space="preserve">comúnmente </w:t>
            </w:r>
            <w:r w:rsidRPr="00956E59">
              <w:rPr>
                <w:lang w:val="es-ES_tradnl"/>
              </w:rPr>
              <w:t xml:space="preserve">utilizadas </w:t>
            </w:r>
            <w:r w:rsidR="00186CD0" w:rsidRPr="00956E59">
              <w:rPr>
                <w:lang w:val="es-ES_tradnl"/>
              </w:rPr>
              <w:t xml:space="preserve">en la producción audiovisual brasileña a través de la experiencia de productores independientes, como la </w:t>
            </w:r>
            <w:r w:rsidRPr="00956E59">
              <w:rPr>
                <w:lang w:val="es-ES_tradnl"/>
              </w:rPr>
              <w:t xml:space="preserve">productora </w:t>
            </w:r>
            <w:r w:rsidR="00186CD0" w:rsidRPr="00956E59">
              <w:rPr>
                <w:lang w:val="es-ES_tradnl"/>
              </w:rPr>
              <w:t xml:space="preserve">brasileña O2 Filmes. </w:t>
            </w:r>
            <w:r w:rsidRPr="00956E59">
              <w:rPr>
                <w:lang w:val="es-ES_tradnl"/>
              </w:rPr>
              <w:t xml:space="preserve">Además, se </w:t>
            </w:r>
            <w:r w:rsidR="00186CD0" w:rsidRPr="00956E59">
              <w:rPr>
                <w:lang w:val="es-ES_tradnl"/>
              </w:rPr>
              <w:t xml:space="preserve">analiza la importancia de la </w:t>
            </w:r>
            <w:r w:rsidRPr="00956E59">
              <w:rPr>
                <w:lang w:val="es-ES_tradnl"/>
              </w:rPr>
              <w:t xml:space="preserve">obtención </w:t>
            </w:r>
            <w:r w:rsidR="00186CD0" w:rsidRPr="00956E59">
              <w:rPr>
                <w:lang w:val="es-ES_tradnl"/>
              </w:rPr>
              <w:t>de derechos, qué</w:t>
            </w:r>
            <w:r w:rsidRPr="00956E59">
              <w:rPr>
                <w:lang w:val="es-ES_tradnl"/>
              </w:rPr>
              <w:t xml:space="preserve"> </w:t>
            </w:r>
            <w:r w:rsidR="00186CD0" w:rsidRPr="00956E59">
              <w:rPr>
                <w:lang w:val="es-ES_tradnl"/>
              </w:rPr>
              <w:t>derechos preexistentes</w:t>
            </w:r>
            <w:r w:rsidRPr="00956E59">
              <w:rPr>
                <w:lang w:val="es-ES_tradnl"/>
              </w:rPr>
              <w:t xml:space="preserve"> </w:t>
            </w:r>
            <w:r w:rsidR="00186CD0" w:rsidRPr="00956E59">
              <w:rPr>
                <w:lang w:val="es-ES_tradnl"/>
              </w:rPr>
              <w:t xml:space="preserve">se evalúan habitualmente, la </w:t>
            </w:r>
            <w:r w:rsidRPr="00956E59">
              <w:rPr>
                <w:lang w:val="es-ES_tradnl"/>
              </w:rPr>
              <w:t>obtención efectiva de derechos</w:t>
            </w:r>
            <w:r w:rsidR="00186CD0" w:rsidRPr="00956E59">
              <w:rPr>
                <w:lang w:val="es-ES_tradnl"/>
              </w:rPr>
              <w:t xml:space="preserve"> en las distintas </w:t>
            </w:r>
            <w:r w:rsidRPr="00956E59">
              <w:rPr>
                <w:lang w:val="es-ES_tradnl"/>
              </w:rPr>
              <w:t xml:space="preserve">etapas </w:t>
            </w:r>
            <w:r w:rsidR="00186CD0" w:rsidRPr="00956E59">
              <w:rPr>
                <w:lang w:val="es-ES_tradnl"/>
              </w:rPr>
              <w:t xml:space="preserve">de la producción y si la </w:t>
            </w:r>
            <w:r w:rsidRPr="00956E59">
              <w:rPr>
                <w:lang w:val="es-ES_tradnl"/>
              </w:rPr>
              <w:t xml:space="preserve">obtención de derechos </w:t>
            </w:r>
            <w:r w:rsidR="00186CD0" w:rsidRPr="00956E59">
              <w:rPr>
                <w:lang w:val="es-ES_tradnl"/>
              </w:rPr>
              <w:t xml:space="preserve">se </w:t>
            </w:r>
            <w:r w:rsidRPr="00956E59">
              <w:rPr>
                <w:lang w:val="es-ES_tradnl"/>
              </w:rPr>
              <w:t>ve</w:t>
            </w:r>
            <w:r w:rsidR="00186CD0" w:rsidRPr="00956E59">
              <w:rPr>
                <w:lang w:val="es-ES_tradnl"/>
              </w:rPr>
              <w:t xml:space="preserve"> afectada por el aumento de la distribución digital.</w:t>
            </w:r>
          </w:p>
          <w:p w14:paraId="7DFBA2C3" w14:textId="6F1757DA" w:rsidR="003C19DB" w:rsidRPr="00956E59" w:rsidRDefault="004758D7">
            <w:pPr>
              <w:spacing w:after="240"/>
              <w:rPr>
                <w:lang w:val="es-ES_tradnl"/>
              </w:rPr>
            </w:pPr>
            <w:r w:rsidRPr="00956E59">
              <w:rPr>
                <w:lang w:val="es-ES_tradnl"/>
              </w:rPr>
              <w:t>Estudio de c</w:t>
            </w:r>
            <w:r w:rsidR="004A1398" w:rsidRPr="00956E59">
              <w:rPr>
                <w:lang w:val="es-ES_tradnl"/>
              </w:rPr>
              <w:t>aso V: El papel de un servicio de distribución de v</w:t>
            </w:r>
            <w:r w:rsidRPr="00956E59">
              <w:rPr>
                <w:lang w:val="es-ES_tradnl"/>
              </w:rPr>
              <w:t>i</w:t>
            </w:r>
            <w:r w:rsidR="004A1398" w:rsidRPr="00956E59">
              <w:rPr>
                <w:lang w:val="es-ES_tradnl"/>
              </w:rPr>
              <w:t xml:space="preserve">deo a la carta en el Brasil y América Latina: La experiencia de Sofá Digital, disponible en: </w:t>
            </w:r>
            <w:hyperlink r:id="rId25" w:history="1">
              <w:r w:rsidR="004A1398" w:rsidRPr="00956E59">
                <w:rPr>
                  <w:rStyle w:val="Hyperlink"/>
                  <w:lang w:val="es-ES_tradnl"/>
                </w:rPr>
                <w:t>dacatalogue.wipo.int/projectfiles/DA_1_3_4_10_11_16_25_35_01/Case_Study_V/EN/LATAM%20AV%20case%20study%205%20EN.</w:t>
              </w:r>
            </w:hyperlink>
            <w:r w:rsidR="004A1398" w:rsidRPr="00956E59">
              <w:rPr>
                <w:lang w:val="es-ES_tradnl"/>
              </w:rPr>
              <w:t xml:space="preserve">pdf   </w:t>
            </w:r>
          </w:p>
          <w:p w14:paraId="39A00F26" w14:textId="528FEC8D" w:rsidR="003C19DB" w:rsidRPr="00956E59" w:rsidRDefault="0087693C">
            <w:pPr>
              <w:spacing w:after="240"/>
              <w:rPr>
                <w:lang w:val="es-ES_tradnl"/>
              </w:rPr>
            </w:pPr>
            <w:r w:rsidRPr="00956E59">
              <w:rPr>
                <w:lang w:val="es-ES_tradnl"/>
              </w:rPr>
              <w:t>En e</w:t>
            </w:r>
            <w:r w:rsidR="00186CD0" w:rsidRPr="00956E59">
              <w:rPr>
                <w:lang w:val="es-ES_tradnl"/>
              </w:rPr>
              <w:t xml:space="preserve">ste estudio de caso </w:t>
            </w:r>
            <w:r w:rsidRPr="00956E59">
              <w:rPr>
                <w:lang w:val="es-ES_tradnl"/>
              </w:rPr>
              <w:t xml:space="preserve">se analiza </w:t>
            </w:r>
            <w:r w:rsidR="00186CD0" w:rsidRPr="00956E59">
              <w:rPr>
                <w:lang w:val="es-ES_tradnl"/>
              </w:rPr>
              <w:t xml:space="preserve">el papel de un agregador con sede en </w:t>
            </w:r>
            <w:r w:rsidR="00D655D9" w:rsidRPr="00956E59">
              <w:rPr>
                <w:lang w:val="es-ES_tradnl"/>
              </w:rPr>
              <w:t xml:space="preserve">el </w:t>
            </w:r>
            <w:r w:rsidR="00186CD0" w:rsidRPr="00956E59">
              <w:rPr>
                <w:lang w:val="es-ES_tradnl"/>
              </w:rPr>
              <w:t xml:space="preserve">Brasil, Sofá Digital, en </w:t>
            </w:r>
            <w:r w:rsidRPr="00956E59">
              <w:rPr>
                <w:lang w:val="es-ES_tradnl"/>
              </w:rPr>
              <w:t xml:space="preserve">el mercado en plena evolución </w:t>
            </w:r>
            <w:r w:rsidR="00186CD0" w:rsidRPr="00956E59">
              <w:rPr>
                <w:lang w:val="es-ES_tradnl"/>
              </w:rPr>
              <w:t xml:space="preserve">de </w:t>
            </w:r>
            <w:r w:rsidRPr="00956E59">
              <w:rPr>
                <w:lang w:val="es-ES_tradnl"/>
              </w:rPr>
              <w:t xml:space="preserve">la </w:t>
            </w:r>
            <w:r w:rsidR="00186CD0" w:rsidRPr="00956E59">
              <w:rPr>
                <w:lang w:val="es-ES_tradnl"/>
              </w:rPr>
              <w:t>distribución de v</w:t>
            </w:r>
            <w:r w:rsidRPr="00956E59">
              <w:rPr>
                <w:lang w:val="es-ES_tradnl"/>
              </w:rPr>
              <w:t>i</w:t>
            </w:r>
            <w:r w:rsidR="00186CD0" w:rsidRPr="00956E59">
              <w:rPr>
                <w:lang w:val="es-ES_tradnl"/>
              </w:rPr>
              <w:t xml:space="preserve">deo a la carta en América Latina. La metodología de este trabajo fue una </w:t>
            </w:r>
            <w:r w:rsidR="00186CD0" w:rsidRPr="00956E59">
              <w:rPr>
                <w:lang w:val="es-ES_tradnl"/>
              </w:rPr>
              <w:noBreakHyphen/>
              <w:t>entrevista semiestructurada</w:t>
            </w:r>
            <w:r w:rsidR="00186CD0" w:rsidRPr="00956E59">
              <w:rPr>
                <w:lang w:val="es-ES_tradnl"/>
              </w:rPr>
              <w:noBreakHyphen/>
              <w:t xml:space="preserve">, mantenida por teleconferencia con Fabio Lima, socio ejecutivo de Sofá Digital. Los agregadores </w:t>
            </w:r>
            <w:r w:rsidR="004B4186" w:rsidRPr="00956E59">
              <w:rPr>
                <w:lang w:val="es-ES_tradnl"/>
              </w:rPr>
              <w:t>vienen a ser</w:t>
            </w:r>
            <w:r w:rsidR="00186CD0" w:rsidRPr="00956E59">
              <w:rPr>
                <w:lang w:val="es-ES_tradnl"/>
              </w:rPr>
              <w:t xml:space="preserve"> intermediarios en la distribución de obras audiovisuales, </w:t>
            </w:r>
            <w:r w:rsidR="004B4186" w:rsidRPr="00956E59">
              <w:rPr>
                <w:lang w:val="es-ES_tradnl"/>
              </w:rPr>
              <w:t xml:space="preserve">aportando </w:t>
            </w:r>
            <w:r w:rsidR="00186CD0" w:rsidRPr="00956E59">
              <w:rPr>
                <w:lang w:val="es-ES_tradnl"/>
              </w:rPr>
              <w:t xml:space="preserve">conocimientos técnicos, comerciales y de marketing y actuando como </w:t>
            </w:r>
            <w:r w:rsidR="004B4186" w:rsidRPr="00956E59">
              <w:rPr>
                <w:lang w:val="es-ES_tradnl"/>
              </w:rPr>
              <w:t>interfaz</w:t>
            </w:r>
            <w:r w:rsidR="00186CD0" w:rsidRPr="00956E59">
              <w:rPr>
                <w:lang w:val="es-ES_tradnl"/>
              </w:rPr>
              <w:t xml:space="preserve"> entre los productores individuales y los distribuidores locales, por un lado, y las plataformas digitales, por otro.</w:t>
            </w:r>
          </w:p>
          <w:p w14:paraId="4C71E578" w14:textId="3282FA61" w:rsidR="003C19DB" w:rsidRPr="00956E59" w:rsidRDefault="004B4186">
            <w:pPr>
              <w:spacing w:after="240"/>
              <w:rPr>
                <w:lang w:val="es-ES_tradnl"/>
              </w:rPr>
            </w:pPr>
            <w:r w:rsidRPr="00956E59">
              <w:rPr>
                <w:lang w:val="es-ES_tradnl"/>
              </w:rPr>
              <w:t>Estudio de caso</w:t>
            </w:r>
            <w:r w:rsidR="004A1398" w:rsidRPr="00956E59">
              <w:rPr>
                <w:lang w:val="es-ES_tradnl"/>
              </w:rPr>
              <w:t xml:space="preserve"> VI: Los datos en el sector audiovisual: Tendencias y oportunidades, disponible en: </w:t>
            </w:r>
            <w:hyperlink r:id="rId26" w:history="1">
              <w:r w:rsidR="004A1398" w:rsidRPr="00956E59">
                <w:rPr>
                  <w:rStyle w:val="Hyperlink"/>
                  <w:lang w:val="es-ES_tradnl"/>
                </w:rPr>
                <w:t>dacatalogue.wipo.int/projectfiles/DA_1_3_4_10_11_16_25_35_01/Case_Study_VI/EN/LATAM%20AV%20case%20study%206%20EN.</w:t>
              </w:r>
            </w:hyperlink>
            <w:r w:rsidR="004A1398" w:rsidRPr="00956E59">
              <w:rPr>
                <w:lang w:val="es-ES_tradnl"/>
              </w:rPr>
              <w:t xml:space="preserve">pdf   </w:t>
            </w:r>
          </w:p>
          <w:p w14:paraId="487CFD11" w14:textId="0D5D5913" w:rsidR="003C19DB" w:rsidRPr="00956E59" w:rsidRDefault="00186CD0">
            <w:pPr>
              <w:spacing w:after="240"/>
              <w:rPr>
                <w:lang w:val="es-ES_tradnl"/>
              </w:rPr>
            </w:pPr>
            <w:r w:rsidRPr="00956E59">
              <w:rPr>
                <w:lang w:val="es-ES_tradnl"/>
              </w:rPr>
              <w:t xml:space="preserve">Las tecnologías implicadas en la Cuarta Revolución Industrial están directamente relacionadas con la recopilación, el </w:t>
            </w:r>
            <w:r w:rsidR="004B4186" w:rsidRPr="00956E59">
              <w:rPr>
                <w:lang w:val="es-ES_tradnl"/>
              </w:rPr>
              <w:t>procesamiento</w:t>
            </w:r>
            <w:r w:rsidRPr="00956E59">
              <w:rPr>
                <w:lang w:val="es-ES_tradnl"/>
              </w:rPr>
              <w:t xml:space="preserve"> y el análisis de datos. La industria creativa también es una parte importante de esta revolución. Dado que las plataformas OTT prestan servicios directamente a los consumidores, pueden recopilar, gestionar y </w:t>
            </w:r>
            <w:r w:rsidR="008E2A30" w:rsidRPr="00956E59">
              <w:rPr>
                <w:lang w:val="es-ES_tradnl"/>
              </w:rPr>
              <w:t>analizar</w:t>
            </w:r>
            <w:r w:rsidRPr="00956E59">
              <w:rPr>
                <w:lang w:val="es-ES_tradnl"/>
              </w:rPr>
              <w:t xml:space="preserve"> datos relacionados con sus catálogos y usuarios concretos. </w:t>
            </w:r>
            <w:r w:rsidR="008E2A30" w:rsidRPr="00956E59">
              <w:rPr>
                <w:lang w:val="es-ES_tradnl"/>
              </w:rPr>
              <w:t>En e</w:t>
            </w:r>
            <w:r w:rsidRPr="00956E59">
              <w:rPr>
                <w:lang w:val="es-ES_tradnl"/>
              </w:rPr>
              <w:t xml:space="preserve">ste estudio de caso </w:t>
            </w:r>
            <w:r w:rsidR="008E2A30" w:rsidRPr="00956E59">
              <w:rPr>
                <w:lang w:val="es-ES_tradnl"/>
              </w:rPr>
              <w:t xml:space="preserve">se </w:t>
            </w:r>
            <w:r w:rsidRPr="00956E59">
              <w:rPr>
                <w:lang w:val="es-ES_tradnl"/>
              </w:rPr>
              <w:t>analiza</w:t>
            </w:r>
            <w:r w:rsidR="008E2A30" w:rsidRPr="00956E59">
              <w:rPr>
                <w:lang w:val="es-ES_tradnl"/>
              </w:rPr>
              <w:t>n las</w:t>
            </w:r>
            <w:r w:rsidRPr="00956E59">
              <w:rPr>
                <w:lang w:val="es-ES_tradnl"/>
              </w:rPr>
              <w:t xml:space="preserve"> tendencias y oportunidades más importantes relacionadas con los datos en los modelos de negocio OTT.</w:t>
            </w:r>
          </w:p>
          <w:p w14:paraId="7E055229" w14:textId="0D357CEF" w:rsidR="003C19DB" w:rsidRPr="00956E59" w:rsidRDefault="004A1398">
            <w:pPr>
              <w:spacing w:after="240"/>
              <w:rPr>
                <w:lang w:val="es-ES_tradnl"/>
              </w:rPr>
            </w:pPr>
            <w:r w:rsidRPr="00956E59">
              <w:rPr>
                <w:lang w:val="es-ES_tradnl"/>
              </w:rPr>
              <w:t xml:space="preserve">Estudio de </w:t>
            </w:r>
            <w:r w:rsidR="008E2A30" w:rsidRPr="00956E59">
              <w:rPr>
                <w:lang w:val="es-ES_tradnl"/>
              </w:rPr>
              <w:t>c</w:t>
            </w:r>
            <w:r w:rsidRPr="00956E59">
              <w:rPr>
                <w:lang w:val="es-ES_tradnl"/>
              </w:rPr>
              <w:t xml:space="preserve">aso VII: Las Plataformas </w:t>
            </w:r>
            <w:proofErr w:type="spellStart"/>
            <w:r w:rsidRPr="00956E59">
              <w:rPr>
                <w:lang w:val="es-ES_tradnl"/>
              </w:rPr>
              <w:t>Cine.Ar</w:t>
            </w:r>
            <w:proofErr w:type="spellEnd"/>
            <w:r w:rsidRPr="00956E59">
              <w:rPr>
                <w:lang w:val="es-ES_tradnl"/>
              </w:rPr>
              <w:t xml:space="preserve"> y </w:t>
            </w:r>
            <w:proofErr w:type="spellStart"/>
            <w:r w:rsidRPr="00956E59">
              <w:rPr>
                <w:lang w:val="es-ES_tradnl"/>
              </w:rPr>
              <w:t>Cine.Ar.Play</w:t>
            </w:r>
            <w:proofErr w:type="spellEnd"/>
            <w:r w:rsidRPr="00956E59">
              <w:rPr>
                <w:lang w:val="es-ES_tradnl"/>
              </w:rPr>
              <w:t xml:space="preserve">, disponible en: </w:t>
            </w:r>
            <w:hyperlink r:id="rId27" w:history="1">
              <w:r w:rsidRPr="00956E59">
                <w:rPr>
                  <w:rStyle w:val="Hyperlink"/>
                  <w:lang w:val="es-ES_tradnl"/>
                </w:rPr>
                <w:t>dacatalogue.wipo.int/projectfiles/DA_1_3_4_10_11_16_25_35_01/Case_Study_VII/EN/LATAM%20AV%20case%20study%207%20ES.</w:t>
              </w:r>
            </w:hyperlink>
            <w:r w:rsidRPr="00956E59">
              <w:rPr>
                <w:lang w:val="es-ES_tradnl"/>
              </w:rPr>
              <w:t xml:space="preserve">pdf   </w:t>
            </w:r>
          </w:p>
          <w:p w14:paraId="2D2DD8B2" w14:textId="2167D540" w:rsidR="003C19DB" w:rsidRPr="00956E59" w:rsidRDefault="008E2A30">
            <w:pPr>
              <w:spacing w:after="240"/>
              <w:rPr>
                <w:lang w:val="es-ES_tradnl"/>
              </w:rPr>
            </w:pPr>
            <w:r w:rsidRPr="00956E59">
              <w:rPr>
                <w:lang w:val="es-ES_tradnl"/>
              </w:rPr>
              <w:t>En e</w:t>
            </w:r>
            <w:r w:rsidR="00186CD0" w:rsidRPr="00956E59">
              <w:rPr>
                <w:lang w:val="es-ES_tradnl"/>
              </w:rPr>
              <w:t xml:space="preserve">ste estudio de caso </w:t>
            </w:r>
            <w:r w:rsidRPr="00956E59">
              <w:rPr>
                <w:lang w:val="es-ES_tradnl"/>
              </w:rPr>
              <w:t xml:space="preserve">se </w:t>
            </w:r>
            <w:r w:rsidR="00186CD0" w:rsidRPr="00956E59">
              <w:rPr>
                <w:lang w:val="es-ES_tradnl"/>
              </w:rPr>
              <w:t>presenta</w:t>
            </w:r>
            <w:r w:rsidRPr="00956E59">
              <w:rPr>
                <w:lang w:val="es-ES_tradnl"/>
              </w:rPr>
              <w:t>n</w:t>
            </w:r>
            <w:r w:rsidR="00186CD0" w:rsidRPr="00956E59">
              <w:rPr>
                <w:lang w:val="es-ES_tradnl"/>
              </w:rPr>
              <w:t xml:space="preserve"> dos iniciativas para que los contenidos locales estén disponibles a través de plataformas locales. </w:t>
            </w:r>
          </w:p>
          <w:p w14:paraId="52DEEA6C" w14:textId="77777777" w:rsidR="003C19DB" w:rsidRPr="00956E59" w:rsidRDefault="00186CD0">
            <w:pPr>
              <w:spacing w:after="240"/>
              <w:rPr>
                <w:b/>
                <w:lang w:val="es-ES_tradnl"/>
              </w:rPr>
            </w:pPr>
            <w:r w:rsidRPr="00956E59">
              <w:rPr>
                <w:b/>
                <w:lang w:val="es-ES_tradnl"/>
              </w:rPr>
              <w:t>IV. NOTA SOBRE ECONOMÍA CREATIVA</w:t>
            </w:r>
          </w:p>
          <w:p w14:paraId="4CD40F32" w14:textId="4A40CBC6" w:rsidR="003C19DB" w:rsidRPr="00956E59" w:rsidRDefault="00186CD0">
            <w:pPr>
              <w:spacing w:after="240"/>
              <w:rPr>
                <w:lang w:val="es-ES_tradnl"/>
              </w:rPr>
            </w:pPr>
            <w:r w:rsidRPr="00956E59">
              <w:rPr>
                <w:lang w:val="es-ES_tradnl"/>
              </w:rPr>
              <w:t xml:space="preserve">Las plataformas </w:t>
            </w:r>
            <w:r w:rsidR="00D01704" w:rsidRPr="00956E59">
              <w:rPr>
                <w:lang w:val="es-ES_tradnl"/>
              </w:rPr>
              <w:t xml:space="preserve">de medios </w:t>
            </w:r>
            <w:r w:rsidR="00B67426" w:rsidRPr="00956E59">
              <w:rPr>
                <w:lang w:val="es-ES_tradnl"/>
              </w:rPr>
              <w:t>de transmisión en continuo</w:t>
            </w:r>
            <w:r w:rsidRPr="00956E59">
              <w:rPr>
                <w:lang w:val="es-ES_tradnl"/>
              </w:rPr>
              <w:t xml:space="preserve"> intentan cada vez más captar nuevos abonados. </w:t>
            </w:r>
            <w:r w:rsidR="00111C32" w:rsidRPr="00956E59">
              <w:rPr>
                <w:lang w:val="es-ES_tradnl"/>
              </w:rPr>
              <w:t>Así sucede en los mercados grandes y ha sido una particularidad del confinamiento que se vivió en todo el mundo pues los consumidores se centraron, inevitablemente, en los contenidos distribuidos por medios digitales.</w:t>
            </w:r>
            <w:r w:rsidRPr="00956E59">
              <w:rPr>
                <w:lang w:val="es-ES_tradnl"/>
              </w:rPr>
              <w:t xml:space="preserve"> </w:t>
            </w:r>
            <w:r w:rsidR="00111C32" w:rsidRPr="00956E59">
              <w:rPr>
                <w:lang w:val="es-ES_tradnl"/>
              </w:rPr>
              <w:t>En las plataformas en línea, l</w:t>
            </w:r>
            <w:r w:rsidRPr="00956E59">
              <w:rPr>
                <w:lang w:val="es-ES_tradnl"/>
              </w:rPr>
              <w:t xml:space="preserve">a competencia es muy reñida. Para diferenciarse en el mercado, las plataformas en línea adoptan diversas estrategias, incluida la oferta de contenidos exclusivos, </w:t>
            </w:r>
            <w:r w:rsidR="00111C32" w:rsidRPr="00956E59">
              <w:rPr>
                <w:lang w:val="es-ES_tradnl"/>
              </w:rPr>
              <w:t>que en algunos casos</w:t>
            </w:r>
            <w:r w:rsidRPr="00956E59">
              <w:rPr>
                <w:lang w:val="es-ES_tradnl"/>
              </w:rPr>
              <w:t xml:space="preserve"> </w:t>
            </w:r>
            <w:r w:rsidR="00111C32" w:rsidRPr="00956E59">
              <w:rPr>
                <w:lang w:val="es-ES_tradnl"/>
              </w:rPr>
              <w:t>producen ellas mismas</w:t>
            </w:r>
            <w:r w:rsidRPr="00956E59">
              <w:rPr>
                <w:lang w:val="es-ES_tradnl"/>
              </w:rPr>
              <w:t xml:space="preserve">. </w:t>
            </w:r>
            <w:r w:rsidR="00111C32" w:rsidRPr="00956E59">
              <w:rPr>
                <w:lang w:val="es-ES_tradnl"/>
              </w:rPr>
              <w:t>E</w:t>
            </w:r>
            <w:r w:rsidRPr="00956E59">
              <w:rPr>
                <w:lang w:val="es-ES_tradnl"/>
              </w:rPr>
              <w:t>sta investigación</w:t>
            </w:r>
            <w:r w:rsidR="00111C32" w:rsidRPr="00956E59">
              <w:rPr>
                <w:lang w:val="es-ES_tradnl"/>
              </w:rPr>
              <w:t xml:space="preserve"> pone de manifiesto</w:t>
            </w:r>
            <w:r w:rsidRPr="00956E59">
              <w:rPr>
                <w:lang w:val="es-ES_tradnl"/>
              </w:rPr>
              <w:t xml:space="preserve"> los posibles inconvenientes de este panorama y puede consultarse en: </w:t>
            </w:r>
            <w:r w:rsidRPr="00956E59" w:rsidDel="009F3D41">
              <w:rPr>
                <w:lang w:val="es-ES_tradnl"/>
              </w:rPr>
              <w:t xml:space="preserve">www.wipo.int/edocs/infogdocs/creative_industries/en/streaming-wars/#streaming-wars.  </w:t>
            </w:r>
          </w:p>
          <w:p w14:paraId="7E57C275" w14:textId="77777777" w:rsidR="003C19DB" w:rsidRPr="00956E59" w:rsidRDefault="00186CD0">
            <w:pPr>
              <w:spacing w:after="240"/>
              <w:rPr>
                <w:b/>
                <w:lang w:val="es-ES_tradnl"/>
              </w:rPr>
            </w:pPr>
            <w:r w:rsidRPr="00956E59">
              <w:rPr>
                <w:b/>
                <w:lang w:val="es-ES_tradnl"/>
              </w:rPr>
              <w:t xml:space="preserve">V. SEMINARIOS </w:t>
            </w:r>
          </w:p>
          <w:p w14:paraId="07CC05C8" w14:textId="77777777" w:rsidR="003C19DB" w:rsidRPr="00956E59" w:rsidRDefault="00186CD0">
            <w:pPr>
              <w:spacing w:after="240"/>
              <w:rPr>
                <w:lang w:val="es-ES_tradnl"/>
              </w:rPr>
            </w:pPr>
            <w:r w:rsidRPr="00956E59">
              <w:rPr>
                <w:lang w:val="es-ES_tradnl"/>
              </w:rPr>
              <w:t xml:space="preserve">En el transcurso del proyecto se organizaron los siguientes seminarios: </w:t>
            </w:r>
          </w:p>
          <w:p w14:paraId="39068620" w14:textId="2F92C736" w:rsidR="003C19DB" w:rsidRPr="00956E59" w:rsidRDefault="00186CD0">
            <w:pPr>
              <w:spacing w:after="240"/>
              <w:rPr>
                <w:lang w:val="es-ES_tradnl"/>
              </w:rPr>
            </w:pPr>
            <w:r w:rsidRPr="00956E59">
              <w:rPr>
                <w:lang w:val="es-ES_tradnl"/>
              </w:rPr>
              <w:t xml:space="preserve">El </w:t>
            </w:r>
            <w:r w:rsidR="0042689D" w:rsidRPr="00956E59">
              <w:rPr>
                <w:lang w:val="es-ES_tradnl"/>
              </w:rPr>
              <w:t>p</w:t>
            </w:r>
            <w:r w:rsidRPr="00956E59">
              <w:rPr>
                <w:lang w:val="es-ES_tradnl"/>
              </w:rPr>
              <w:t xml:space="preserve">rimer </w:t>
            </w:r>
            <w:r w:rsidR="0042689D" w:rsidRPr="00956E59">
              <w:rPr>
                <w:lang w:val="es-ES_tradnl"/>
              </w:rPr>
              <w:t>s</w:t>
            </w:r>
            <w:r w:rsidRPr="00956E59">
              <w:rPr>
                <w:lang w:val="es-ES_tradnl"/>
              </w:rPr>
              <w:t xml:space="preserve">eminario </w:t>
            </w:r>
            <w:r w:rsidR="0042689D" w:rsidRPr="00956E59">
              <w:rPr>
                <w:lang w:val="es-ES_tradnl"/>
              </w:rPr>
              <w:t>s</w:t>
            </w:r>
            <w:r w:rsidRPr="00956E59">
              <w:rPr>
                <w:lang w:val="es-ES_tradnl"/>
              </w:rPr>
              <w:t xml:space="preserve">ubregional se celebró el 20 de septiembre de 2022 en Lima </w:t>
            </w:r>
            <w:r w:rsidR="0042689D" w:rsidRPr="00956E59">
              <w:rPr>
                <w:lang w:val="es-ES_tradnl"/>
              </w:rPr>
              <w:t>(</w:t>
            </w:r>
            <w:r w:rsidRPr="00956E59">
              <w:rPr>
                <w:lang w:val="es-ES_tradnl"/>
              </w:rPr>
              <w:t>Perú</w:t>
            </w:r>
            <w:r w:rsidR="0042689D" w:rsidRPr="00956E59">
              <w:rPr>
                <w:lang w:val="es-ES_tradnl"/>
              </w:rPr>
              <w:t>)</w:t>
            </w:r>
            <w:r w:rsidRPr="00956E59">
              <w:rPr>
                <w:lang w:val="es-ES_tradnl"/>
              </w:rPr>
              <w:t xml:space="preserve">. </w:t>
            </w:r>
            <w:r w:rsidR="0042689D" w:rsidRPr="00956E59">
              <w:rPr>
                <w:lang w:val="es-ES_tradnl"/>
              </w:rPr>
              <w:t>En él participaron</w:t>
            </w:r>
            <w:r w:rsidRPr="00956E59">
              <w:rPr>
                <w:lang w:val="es-ES_tradnl"/>
              </w:rPr>
              <w:t xml:space="preserve"> representantes gubernamentales de</w:t>
            </w:r>
            <w:r w:rsidR="0042689D" w:rsidRPr="00956E59">
              <w:rPr>
                <w:lang w:val="es-ES_tradnl"/>
              </w:rPr>
              <w:t>l</w:t>
            </w:r>
            <w:r w:rsidRPr="00956E59">
              <w:rPr>
                <w:lang w:val="es-ES_tradnl"/>
              </w:rPr>
              <w:t xml:space="preserve"> Perú, Costa Rica y </w:t>
            </w:r>
            <w:r w:rsidR="0042689D" w:rsidRPr="00956E59">
              <w:rPr>
                <w:lang w:val="es-ES_tradnl"/>
              </w:rPr>
              <w:t xml:space="preserve">el </w:t>
            </w:r>
            <w:r w:rsidRPr="00956E59">
              <w:rPr>
                <w:lang w:val="es-ES_tradnl"/>
              </w:rPr>
              <w:t xml:space="preserve">Ecuador y </w:t>
            </w:r>
            <w:r w:rsidR="0042689D" w:rsidRPr="00956E59">
              <w:rPr>
                <w:lang w:val="es-ES_tradnl"/>
              </w:rPr>
              <w:t xml:space="preserve">otras partes interesadas </w:t>
            </w:r>
            <w:r w:rsidRPr="00956E59">
              <w:rPr>
                <w:lang w:val="es-ES_tradnl"/>
              </w:rPr>
              <w:t>de</w:t>
            </w:r>
            <w:r w:rsidR="0042689D" w:rsidRPr="00956E59">
              <w:rPr>
                <w:lang w:val="es-ES_tradnl"/>
              </w:rPr>
              <w:t>l</w:t>
            </w:r>
            <w:r w:rsidRPr="00956E59">
              <w:rPr>
                <w:lang w:val="es-ES_tradnl"/>
              </w:rPr>
              <w:t xml:space="preserve"> Perú, quienes debatieron sobre la realidad de los mercados audiovisuales más pequeños en el contexto post-COVID-19 en el entorno digital. </w:t>
            </w:r>
          </w:p>
          <w:p w14:paraId="4A544381" w14:textId="36ED877B" w:rsidR="003C19DB" w:rsidRPr="00956E59" w:rsidRDefault="00186CD0">
            <w:pPr>
              <w:spacing w:after="120"/>
              <w:rPr>
                <w:lang w:val="es-ES_tradnl"/>
              </w:rPr>
            </w:pPr>
            <w:r w:rsidRPr="00956E59">
              <w:rPr>
                <w:lang w:val="es-ES_tradnl"/>
              </w:rPr>
              <w:t xml:space="preserve">El </w:t>
            </w:r>
            <w:r w:rsidR="0042689D" w:rsidRPr="00956E59">
              <w:rPr>
                <w:lang w:val="es-ES_tradnl"/>
              </w:rPr>
              <w:t>s</w:t>
            </w:r>
            <w:r w:rsidRPr="00956E59">
              <w:rPr>
                <w:lang w:val="es-ES_tradnl"/>
              </w:rPr>
              <w:t xml:space="preserve">egundo </w:t>
            </w:r>
            <w:r w:rsidR="0042689D" w:rsidRPr="00956E59">
              <w:rPr>
                <w:lang w:val="es-ES_tradnl"/>
              </w:rPr>
              <w:t>s</w:t>
            </w:r>
            <w:r w:rsidRPr="00956E59">
              <w:rPr>
                <w:lang w:val="es-ES_tradnl"/>
              </w:rPr>
              <w:t xml:space="preserve">eminario </w:t>
            </w:r>
            <w:r w:rsidR="0042689D" w:rsidRPr="00956E59">
              <w:rPr>
                <w:lang w:val="es-ES_tradnl"/>
              </w:rPr>
              <w:t>s</w:t>
            </w:r>
            <w:r w:rsidRPr="00956E59">
              <w:rPr>
                <w:lang w:val="es-ES_tradnl"/>
              </w:rPr>
              <w:t xml:space="preserve">ubregional se celebró del 28 de noviembre al 2 de diciembre de 2022 en Buenos Aires </w:t>
            </w:r>
            <w:r w:rsidR="00DC3A89" w:rsidRPr="00956E59">
              <w:rPr>
                <w:lang w:val="es-ES_tradnl"/>
              </w:rPr>
              <w:t>(</w:t>
            </w:r>
            <w:r w:rsidRPr="00956E59">
              <w:rPr>
                <w:lang w:val="es-ES_tradnl"/>
              </w:rPr>
              <w:t>Argentina</w:t>
            </w:r>
            <w:r w:rsidR="00DC3A89" w:rsidRPr="00956E59">
              <w:rPr>
                <w:lang w:val="es-ES_tradnl"/>
              </w:rPr>
              <w:t>)</w:t>
            </w:r>
            <w:r w:rsidRPr="00956E59">
              <w:rPr>
                <w:lang w:val="es-ES_tradnl"/>
              </w:rPr>
              <w:t xml:space="preserve">. Asistieron representantes gubernamentales de </w:t>
            </w:r>
            <w:r w:rsidR="00D655D9" w:rsidRPr="00956E59">
              <w:rPr>
                <w:lang w:val="es-ES_tradnl"/>
              </w:rPr>
              <w:t xml:space="preserve">la </w:t>
            </w:r>
            <w:r w:rsidRPr="00956E59">
              <w:rPr>
                <w:lang w:val="es-ES_tradnl"/>
              </w:rPr>
              <w:t xml:space="preserve">Argentina, </w:t>
            </w:r>
            <w:r w:rsidR="00D655D9" w:rsidRPr="00956E59">
              <w:rPr>
                <w:lang w:val="es-ES_tradnl"/>
              </w:rPr>
              <w:t xml:space="preserve">el </w:t>
            </w:r>
            <w:r w:rsidRPr="00956E59">
              <w:rPr>
                <w:lang w:val="es-ES_tradnl"/>
              </w:rPr>
              <w:t xml:space="preserve">Brasil y </w:t>
            </w:r>
            <w:r w:rsidR="00D655D9" w:rsidRPr="00956E59">
              <w:rPr>
                <w:lang w:val="es-ES_tradnl"/>
              </w:rPr>
              <w:t xml:space="preserve">el </w:t>
            </w:r>
            <w:r w:rsidRPr="00956E59">
              <w:rPr>
                <w:lang w:val="es-ES_tradnl"/>
              </w:rPr>
              <w:t xml:space="preserve">Uruguay. </w:t>
            </w:r>
            <w:r w:rsidR="00DC3A89" w:rsidRPr="00956E59">
              <w:rPr>
                <w:lang w:val="es-ES_tradnl"/>
              </w:rPr>
              <w:t>Comprendió también un acto aislado y presentaciones durante uno de los mercados audiovisuales más destacados de América Latina: Ventana Sur</w:t>
            </w:r>
            <w:r w:rsidRPr="00956E59">
              <w:rPr>
                <w:lang w:val="es-ES_tradnl"/>
              </w:rPr>
              <w:t xml:space="preserve">. Esto permitió llegar a los profesionales de la industria audiovisual y proporcionarles información útil para sus actividades diarias. </w:t>
            </w:r>
          </w:p>
          <w:p w14:paraId="1DAE8973" w14:textId="21630A2A" w:rsidR="003C19DB" w:rsidRPr="00956E59" w:rsidRDefault="00186CD0">
            <w:pPr>
              <w:spacing w:after="120"/>
              <w:rPr>
                <w:lang w:val="es-ES_tradnl"/>
              </w:rPr>
            </w:pPr>
            <w:r w:rsidRPr="00956E59">
              <w:rPr>
                <w:lang w:val="es-ES_tradnl"/>
              </w:rPr>
              <w:t xml:space="preserve">El Seminario Regional sobre la Industria Audiovisual Latinoamericana en la </w:t>
            </w:r>
            <w:r w:rsidR="00D655D9" w:rsidRPr="00956E59">
              <w:rPr>
                <w:lang w:val="es-ES_tradnl"/>
              </w:rPr>
              <w:t>e</w:t>
            </w:r>
            <w:r w:rsidRPr="00956E59">
              <w:rPr>
                <w:lang w:val="es-ES_tradnl"/>
              </w:rPr>
              <w:t xml:space="preserve">ra del </w:t>
            </w:r>
            <w:proofErr w:type="spellStart"/>
            <w:r w:rsidR="00D655D9" w:rsidRPr="00956E59">
              <w:rPr>
                <w:i/>
                <w:iCs/>
                <w:lang w:val="es-ES_tradnl"/>
              </w:rPr>
              <w:t>s</w:t>
            </w:r>
            <w:r w:rsidRPr="00956E59">
              <w:rPr>
                <w:i/>
                <w:iCs/>
                <w:lang w:val="es-ES_tradnl"/>
              </w:rPr>
              <w:t>treaming</w:t>
            </w:r>
            <w:proofErr w:type="spellEnd"/>
            <w:r w:rsidRPr="00956E59">
              <w:rPr>
                <w:lang w:val="es-ES_tradnl"/>
              </w:rPr>
              <w:t xml:space="preserve"> se celebró en Brasilia </w:t>
            </w:r>
            <w:r w:rsidR="00DC3A89" w:rsidRPr="00956E59">
              <w:rPr>
                <w:lang w:val="es-ES_tradnl"/>
              </w:rPr>
              <w:t>(</w:t>
            </w:r>
            <w:r w:rsidRPr="00956E59">
              <w:rPr>
                <w:lang w:val="es-ES_tradnl"/>
              </w:rPr>
              <w:t>Brasil</w:t>
            </w:r>
            <w:r w:rsidR="00DC3A89" w:rsidRPr="00956E59">
              <w:rPr>
                <w:lang w:val="es-ES_tradnl"/>
              </w:rPr>
              <w:t>)</w:t>
            </w:r>
            <w:r w:rsidRPr="00956E59">
              <w:rPr>
                <w:lang w:val="es-ES_tradnl"/>
              </w:rPr>
              <w:t xml:space="preserve">, </w:t>
            </w:r>
            <w:r w:rsidR="00DC3A89" w:rsidRPr="00956E59">
              <w:rPr>
                <w:lang w:val="es-ES_tradnl"/>
              </w:rPr>
              <w:t>los días</w:t>
            </w:r>
            <w:r w:rsidRPr="00956E59">
              <w:rPr>
                <w:lang w:val="es-ES_tradnl"/>
              </w:rPr>
              <w:t xml:space="preserve"> 12 </w:t>
            </w:r>
            <w:r w:rsidR="00DC3A89" w:rsidRPr="00956E59">
              <w:rPr>
                <w:lang w:val="es-ES_tradnl"/>
              </w:rPr>
              <w:t>y</w:t>
            </w:r>
            <w:r w:rsidRPr="00956E59">
              <w:rPr>
                <w:lang w:val="es-ES_tradnl"/>
              </w:rPr>
              <w:t xml:space="preserve"> 13 de junio de 2023. Entre los participantes </w:t>
            </w:r>
            <w:r w:rsidR="00DC3A89" w:rsidRPr="00956E59">
              <w:rPr>
                <w:lang w:val="es-ES_tradnl"/>
              </w:rPr>
              <w:t xml:space="preserve">en </w:t>
            </w:r>
            <w:r w:rsidRPr="00956E59">
              <w:rPr>
                <w:lang w:val="es-ES_tradnl"/>
              </w:rPr>
              <w:t xml:space="preserve">el </w:t>
            </w:r>
            <w:r w:rsidR="00DC3A89" w:rsidRPr="00956E59">
              <w:rPr>
                <w:lang w:val="es-ES_tradnl"/>
              </w:rPr>
              <w:t>s</w:t>
            </w:r>
            <w:r w:rsidRPr="00956E59">
              <w:rPr>
                <w:lang w:val="es-ES_tradnl"/>
              </w:rPr>
              <w:t xml:space="preserve">eminario se encontraban representantes de los gobiernos de 19 países latinoamericanos, así como expertos del sector audiovisual. El seminario </w:t>
            </w:r>
            <w:r w:rsidR="006B2520" w:rsidRPr="00956E59">
              <w:rPr>
                <w:lang w:val="es-ES_tradnl"/>
              </w:rPr>
              <w:t xml:space="preserve">fue una </w:t>
            </w:r>
            <w:r w:rsidRPr="00956E59">
              <w:rPr>
                <w:lang w:val="es-ES_tradnl"/>
              </w:rPr>
              <w:t xml:space="preserve">oportunidad </w:t>
            </w:r>
            <w:r w:rsidR="006B2520" w:rsidRPr="00956E59">
              <w:rPr>
                <w:lang w:val="es-ES_tradnl"/>
              </w:rPr>
              <w:t xml:space="preserve">para </w:t>
            </w:r>
            <w:r w:rsidRPr="00956E59">
              <w:rPr>
                <w:lang w:val="es-ES_tradnl"/>
              </w:rPr>
              <w:t>evaluar y debatir enfoques sobre cómo fomentar el mercado audiovisual local y regional</w:t>
            </w:r>
            <w:r w:rsidR="006B2520" w:rsidRPr="00956E59">
              <w:rPr>
                <w:lang w:val="es-ES_tradnl"/>
              </w:rPr>
              <w:t xml:space="preserve">, habida cuenta de </w:t>
            </w:r>
            <w:r w:rsidRPr="00956E59">
              <w:rPr>
                <w:lang w:val="es-ES_tradnl"/>
              </w:rPr>
              <w:t xml:space="preserve">los problemas que </w:t>
            </w:r>
            <w:r w:rsidR="00DC3A89" w:rsidRPr="00956E59">
              <w:rPr>
                <w:lang w:val="es-ES_tradnl"/>
              </w:rPr>
              <w:t xml:space="preserve">se plantean </w:t>
            </w:r>
            <w:r w:rsidRPr="00956E59">
              <w:rPr>
                <w:lang w:val="es-ES_tradnl"/>
              </w:rPr>
              <w:t xml:space="preserve">en muchos países de América Latina. Una de las principales conclusiones del seminario fue la falta de oportunidades para disponer de información precisa y explorar soluciones como región.   </w:t>
            </w:r>
          </w:p>
        </w:tc>
      </w:tr>
      <w:tr w:rsidR="00DE072E" w:rsidRPr="00956E59" w14:paraId="34FC8E22" w14:textId="77777777" w:rsidTr="00265875">
        <w:trPr>
          <w:trHeight w:val="801"/>
        </w:trPr>
        <w:tc>
          <w:tcPr>
            <w:tcW w:w="2377" w:type="dxa"/>
            <w:shd w:val="clear" w:color="auto" w:fill="8DB3E1"/>
          </w:tcPr>
          <w:p w14:paraId="4B9E19BC" w14:textId="77777777" w:rsidR="003C19DB" w:rsidRPr="00956E59" w:rsidRDefault="00186CD0">
            <w:pPr>
              <w:pStyle w:val="TableParagraph"/>
              <w:spacing w:line="242" w:lineRule="auto"/>
              <w:ind w:left="110" w:right="235"/>
              <w:rPr>
                <w:lang w:val="es-ES_tradnl"/>
              </w:rPr>
            </w:pPr>
            <w:r w:rsidRPr="00956E59">
              <w:rPr>
                <w:u w:val="single"/>
                <w:lang w:val="es-ES_tradnl"/>
              </w:rPr>
              <w:t>Principales resultados e impacto del proyecto</w:t>
            </w:r>
          </w:p>
        </w:tc>
        <w:tc>
          <w:tcPr>
            <w:tcW w:w="6913" w:type="dxa"/>
          </w:tcPr>
          <w:p w14:paraId="6FDE8F0F" w14:textId="0E161BE7" w:rsidR="00CD7ED4" w:rsidRPr="00956E59" w:rsidRDefault="00CD7ED4" w:rsidP="00CD7ED4">
            <w:pPr>
              <w:pStyle w:val="ListParagraph"/>
              <w:numPr>
                <w:ilvl w:val="0"/>
                <w:numId w:val="12"/>
              </w:numPr>
              <w:rPr>
                <w:lang w:val="es-ES_tradnl"/>
              </w:rPr>
            </w:pPr>
            <w:r w:rsidRPr="00956E59">
              <w:rPr>
                <w:lang w:val="es-ES_tradnl"/>
              </w:rPr>
              <w:t>Inventario</w:t>
            </w:r>
            <w:r w:rsidR="00D655D9" w:rsidRPr="00956E59">
              <w:rPr>
                <w:lang w:val="es-ES_tradnl"/>
              </w:rPr>
              <w:t xml:space="preserve"> de legislaciones aplicables a la distribución de obras audiovisuales </w:t>
            </w:r>
            <w:r w:rsidRPr="00956E59">
              <w:rPr>
                <w:lang w:val="es-ES_tradnl"/>
              </w:rPr>
              <w:t>mediante la transmisión de contenido audiovisual por Internet en América Latina.</w:t>
            </w:r>
          </w:p>
          <w:p w14:paraId="4F84F31A" w14:textId="50DFE236" w:rsidR="003C19DB" w:rsidRPr="00956E59" w:rsidRDefault="00B67426" w:rsidP="00CD7ED4">
            <w:pPr>
              <w:pStyle w:val="ListParagraph"/>
              <w:numPr>
                <w:ilvl w:val="0"/>
                <w:numId w:val="12"/>
              </w:numPr>
              <w:rPr>
                <w:lang w:val="es-ES_tradnl"/>
              </w:rPr>
            </w:pPr>
            <w:r w:rsidRPr="00956E59">
              <w:rPr>
                <w:lang w:val="es-ES_tradnl"/>
              </w:rPr>
              <w:t>Determinación</w:t>
            </w:r>
            <w:r w:rsidR="00186CD0" w:rsidRPr="00956E59">
              <w:rPr>
                <w:lang w:val="es-ES_tradnl"/>
              </w:rPr>
              <w:t xml:space="preserve"> de los problemas actuales que afectan al mercado digital latinoamericano.</w:t>
            </w:r>
          </w:p>
          <w:p w14:paraId="3A6EFDF8" w14:textId="29256176" w:rsidR="003C19DB" w:rsidRPr="00956E59" w:rsidRDefault="00B67426" w:rsidP="00CD7ED4">
            <w:pPr>
              <w:pStyle w:val="ListParagraph"/>
              <w:numPr>
                <w:ilvl w:val="0"/>
                <w:numId w:val="12"/>
              </w:numPr>
              <w:rPr>
                <w:lang w:val="es-ES_tradnl"/>
              </w:rPr>
            </w:pPr>
            <w:r w:rsidRPr="00956E59">
              <w:rPr>
                <w:lang w:val="es-ES_tradnl"/>
              </w:rPr>
              <w:t xml:space="preserve">Determinación </w:t>
            </w:r>
            <w:r w:rsidR="00186CD0" w:rsidRPr="00956E59">
              <w:rPr>
                <w:lang w:val="es-ES_tradnl"/>
              </w:rPr>
              <w:t xml:space="preserve">de ejemplos y experiencias dentro del mercado digital actual en América Latina.  </w:t>
            </w:r>
          </w:p>
          <w:p w14:paraId="4F11DE8C" w14:textId="4AF43045" w:rsidR="003C19DB" w:rsidRPr="00956E59" w:rsidRDefault="00CD7ED4">
            <w:pPr>
              <w:pStyle w:val="TableParagraph"/>
              <w:numPr>
                <w:ilvl w:val="0"/>
                <w:numId w:val="11"/>
              </w:numPr>
              <w:spacing w:after="240"/>
              <w:ind w:left="475" w:right="806"/>
              <w:rPr>
                <w:lang w:val="es-ES_tradnl"/>
              </w:rPr>
            </w:pPr>
            <w:r w:rsidRPr="00956E59">
              <w:rPr>
                <w:lang w:val="es-ES_tradnl"/>
              </w:rPr>
              <w:t>Incidencia de la pandemia de COVID-19 en el mercado de transmisión de contenido audiovisual por Internet en América Latina.</w:t>
            </w:r>
          </w:p>
          <w:p w14:paraId="7B937753" w14:textId="77777777" w:rsidR="003C19DB" w:rsidRPr="00956E59" w:rsidRDefault="00186CD0">
            <w:pPr>
              <w:pStyle w:val="TableParagraph"/>
              <w:numPr>
                <w:ilvl w:val="0"/>
                <w:numId w:val="11"/>
              </w:numPr>
              <w:spacing w:after="240"/>
              <w:ind w:left="475" w:right="806"/>
              <w:rPr>
                <w:lang w:val="es-ES_tradnl"/>
              </w:rPr>
            </w:pPr>
            <w:r w:rsidRPr="00956E59">
              <w:rPr>
                <w:lang w:val="es-ES_tradnl"/>
              </w:rPr>
              <w:t>Información a los gobiernos latinoamericanos sobre la situación actual del sector audiovisual en la región.</w:t>
            </w:r>
          </w:p>
          <w:p w14:paraId="63559C84" w14:textId="2E956C6A" w:rsidR="003C19DB" w:rsidRPr="00956E59" w:rsidRDefault="00186CD0">
            <w:pPr>
              <w:pStyle w:val="TableParagraph"/>
              <w:numPr>
                <w:ilvl w:val="0"/>
                <w:numId w:val="11"/>
              </w:numPr>
              <w:spacing w:after="240"/>
              <w:ind w:left="475" w:right="806"/>
              <w:rPr>
                <w:lang w:val="es-ES_tradnl"/>
              </w:rPr>
            </w:pPr>
            <w:r w:rsidRPr="00956E59">
              <w:rPr>
                <w:lang w:val="es-ES_tradnl"/>
              </w:rPr>
              <w:t xml:space="preserve">Primera aproximación entre los países participantes sobre </w:t>
            </w:r>
            <w:r w:rsidR="00CD7ED4" w:rsidRPr="00956E59">
              <w:rPr>
                <w:lang w:val="es-ES_tradnl"/>
              </w:rPr>
              <w:t>posibles</w:t>
            </w:r>
            <w:r w:rsidRPr="00956E59">
              <w:rPr>
                <w:lang w:val="es-ES_tradnl"/>
              </w:rPr>
              <w:t xml:space="preserve"> iniciativas conjuntas en el ámbito audiovisual. </w:t>
            </w:r>
          </w:p>
          <w:p w14:paraId="66626D69" w14:textId="75A6E1D2" w:rsidR="003C19DB" w:rsidRPr="00956E59" w:rsidRDefault="00CD7ED4">
            <w:pPr>
              <w:pStyle w:val="TableParagraph"/>
              <w:numPr>
                <w:ilvl w:val="0"/>
                <w:numId w:val="11"/>
              </w:numPr>
              <w:spacing w:after="240"/>
              <w:ind w:left="475" w:right="806"/>
              <w:rPr>
                <w:lang w:val="es-ES_tradnl"/>
              </w:rPr>
            </w:pPr>
            <w:r w:rsidRPr="00956E59">
              <w:rPr>
                <w:lang w:val="es-ES_tradnl"/>
              </w:rPr>
              <w:t>Determinación</w:t>
            </w:r>
            <w:r w:rsidR="00186CD0" w:rsidRPr="00956E59">
              <w:rPr>
                <w:lang w:val="es-ES_tradnl"/>
              </w:rPr>
              <w:t xml:space="preserve"> de las necesidades tanto de la industria como de los representantes gubernamentales para comprender el uso de la PI como elemento clave en el desarrollo de la industria audiovisual local y, en particular, </w:t>
            </w:r>
            <w:r w:rsidRPr="00956E59">
              <w:rPr>
                <w:lang w:val="es-ES_tradnl"/>
              </w:rPr>
              <w:t>las necesidades de</w:t>
            </w:r>
            <w:r w:rsidR="00186CD0" w:rsidRPr="00956E59">
              <w:rPr>
                <w:lang w:val="es-ES_tradnl"/>
              </w:rPr>
              <w:t xml:space="preserve"> las micro, pequeñas y medianas empresas (</w:t>
            </w:r>
            <w:r w:rsidRPr="00956E59">
              <w:rPr>
                <w:lang w:val="es-ES_tradnl"/>
              </w:rPr>
              <w:t>pymes</w:t>
            </w:r>
            <w:r w:rsidR="00186CD0" w:rsidRPr="00956E59">
              <w:rPr>
                <w:lang w:val="es-ES_tradnl"/>
              </w:rPr>
              <w:t xml:space="preserve">). </w:t>
            </w:r>
          </w:p>
          <w:p w14:paraId="690C3FD7" w14:textId="383E5163" w:rsidR="003C19DB" w:rsidRPr="00956E59" w:rsidRDefault="00CD7ED4">
            <w:pPr>
              <w:pStyle w:val="TableParagraph"/>
              <w:numPr>
                <w:ilvl w:val="0"/>
                <w:numId w:val="11"/>
              </w:numPr>
              <w:spacing w:after="240"/>
              <w:ind w:left="475" w:right="806"/>
              <w:rPr>
                <w:lang w:val="es-ES_tradnl"/>
              </w:rPr>
            </w:pPr>
            <w:r w:rsidRPr="00956E59">
              <w:rPr>
                <w:lang w:val="es-ES_tradnl"/>
              </w:rPr>
              <w:t>Compilación de iniciativas para evaluar la participación de las mujeres en puestos clave de la industria audiovisual</w:t>
            </w:r>
            <w:r w:rsidR="00186CD0" w:rsidRPr="00956E59">
              <w:rPr>
                <w:lang w:val="es-ES_tradnl"/>
              </w:rPr>
              <w:t xml:space="preserve">. </w:t>
            </w:r>
          </w:p>
          <w:p w14:paraId="15FA0E20" w14:textId="66310812" w:rsidR="003C19DB" w:rsidRPr="00956E59" w:rsidRDefault="00CD7ED4">
            <w:pPr>
              <w:pStyle w:val="TableParagraph"/>
              <w:numPr>
                <w:ilvl w:val="0"/>
                <w:numId w:val="11"/>
              </w:numPr>
              <w:spacing w:after="120"/>
              <w:ind w:left="475" w:right="806"/>
              <w:rPr>
                <w:lang w:val="es-ES_tradnl"/>
              </w:rPr>
            </w:pPr>
            <w:r w:rsidRPr="00956E59">
              <w:rPr>
                <w:lang w:val="es-ES_tradnl"/>
              </w:rPr>
              <w:t>Suministro de información a los profesionales del sector audiovisual, en particular, a las pequeñas y medianas productoras audiovisuales latinoamericanas, sobre los retos que plantea el marco de los derechos de autor y derechos conexos en el sector audiovisual.</w:t>
            </w:r>
          </w:p>
        </w:tc>
      </w:tr>
      <w:tr w:rsidR="00DE072E" w:rsidRPr="00956E59" w14:paraId="4BF1EF02" w14:textId="77777777" w:rsidTr="00265875">
        <w:trPr>
          <w:trHeight w:val="711"/>
        </w:trPr>
        <w:tc>
          <w:tcPr>
            <w:tcW w:w="2377" w:type="dxa"/>
            <w:shd w:val="clear" w:color="auto" w:fill="8DB3E1"/>
          </w:tcPr>
          <w:p w14:paraId="57E58425" w14:textId="77777777" w:rsidR="003C19DB" w:rsidRPr="00956E59" w:rsidRDefault="00186CD0">
            <w:pPr>
              <w:pStyle w:val="TableParagraph"/>
              <w:spacing w:before="1"/>
              <w:ind w:left="110" w:right="279"/>
              <w:rPr>
                <w:lang w:val="es-ES_tradnl"/>
              </w:rPr>
            </w:pPr>
            <w:r w:rsidRPr="00956E59">
              <w:rPr>
                <w:u w:val="single"/>
                <w:lang w:val="es-ES_tradnl"/>
              </w:rPr>
              <w:t>Experiencia adquirida y enseñanzas extraídas</w:t>
            </w:r>
          </w:p>
        </w:tc>
        <w:tc>
          <w:tcPr>
            <w:tcW w:w="6913" w:type="dxa"/>
          </w:tcPr>
          <w:p w14:paraId="65BB6EA9" w14:textId="1A18B021" w:rsidR="006718B6" w:rsidRPr="00956E59" w:rsidRDefault="006718B6" w:rsidP="006718B6">
            <w:pPr>
              <w:pStyle w:val="TableParagraph"/>
              <w:numPr>
                <w:ilvl w:val="0"/>
                <w:numId w:val="10"/>
              </w:numPr>
              <w:spacing w:after="240"/>
              <w:ind w:right="84"/>
              <w:rPr>
                <w:lang w:val="es-ES_tradnl"/>
              </w:rPr>
            </w:pPr>
            <w:r w:rsidRPr="00956E59">
              <w:rPr>
                <w:lang w:val="es-ES_tradnl"/>
              </w:rPr>
              <w:t xml:space="preserve">Facilitar el acceso al conocimiento y la experiencia de los principales mercados audiovisuales (por ejemplo, Estados Unidos, Corea del Sur y España) no solo ha proporcionado información que antes no estaba disponible de forma detallada, sino que también ha abierto la puerta a una serie de estrategias que los países de la región latinoamericana desconocían. Esto hace pensar que la cooperación internacional podría enriquecer aún más el diálogo entre gobiernos. </w:t>
            </w:r>
          </w:p>
          <w:p w14:paraId="690A51D3" w14:textId="4029A7AC" w:rsidR="003C19DB" w:rsidRPr="00956E59" w:rsidRDefault="006718B6" w:rsidP="006718B6">
            <w:pPr>
              <w:pStyle w:val="TableParagraph"/>
              <w:numPr>
                <w:ilvl w:val="0"/>
                <w:numId w:val="10"/>
              </w:numPr>
              <w:spacing w:after="240"/>
              <w:ind w:right="84"/>
              <w:rPr>
                <w:lang w:val="es-ES_tradnl"/>
              </w:rPr>
            </w:pPr>
            <w:r w:rsidRPr="00956E59">
              <w:rPr>
                <w:lang w:val="es-ES_tradnl"/>
              </w:rPr>
              <w:t>La conjunción entre los sectores público y privado es fundamental a la hora de hablar de industrias creativas. La presencia de ambos no solo ha propiciado debates con preguntas y respuestas por ambas partes, sino también un enriquecedor proceso de aprendizaje sobre los retos y objetivos desde perspectivas diferentes, pero siempre en el mismo ámbito.</w:t>
            </w:r>
          </w:p>
        </w:tc>
      </w:tr>
      <w:tr w:rsidR="00DE072E" w:rsidRPr="00956E59" w14:paraId="35333FD7" w14:textId="77777777" w:rsidTr="00265875">
        <w:trPr>
          <w:trHeight w:val="631"/>
        </w:trPr>
        <w:tc>
          <w:tcPr>
            <w:tcW w:w="2377" w:type="dxa"/>
            <w:shd w:val="clear" w:color="auto" w:fill="8DB3E1"/>
          </w:tcPr>
          <w:p w14:paraId="1B6AF406" w14:textId="77777777" w:rsidR="003C19DB" w:rsidRPr="00956E59" w:rsidRDefault="00186CD0">
            <w:pPr>
              <w:pStyle w:val="TableParagraph"/>
              <w:spacing w:before="1"/>
              <w:ind w:left="110"/>
              <w:rPr>
                <w:lang w:val="es-ES_tradnl"/>
              </w:rPr>
            </w:pPr>
            <w:r w:rsidRPr="00956E59">
              <w:rPr>
                <w:u w:val="single"/>
                <w:lang w:val="es-ES_tradnl"/>
              </w:rPr>
              <w:t>Riesgos y mitigación</w:t>
            </w:r>
          </w:p>
        </w:tc>
        <w:tc>
          <w:tcPr>
            <w:tcW w:w="6913" w:type="dxa"/>
          </w:tcPr>
          <w:p w14:paraId="71204AEA" w14:textId="77777777" w:rsidR="003C19DB" w:rsidRPr="00956E59" w:rsidRDefault="00186CD0">
            <w:pPr>
              <w:pStyle w:val="TableParagraph"/>
              <w:spacing w:after="240"/>
              <w:ind w:left="115" w:right="720"/>
              <w:rPr>
                <w:lang w:val="es-ES_tradnl"/>
              </w:rPr>
            </w:pPr>
            <w:r w:rsidRPr="00956E59">
              <w:rPr>
                <w:u w:val="single"/>
                <w:lang w:val="es-ES_tradnl"/>
              </w:rPr>
              <w:t>Riesgos</w:t>
            </w:r>
            <w:r w:rsidRPr="00956E59">
              <w:rPr>
                <w:lang w:val="es-ES_tradnl"/>
              </w:rPr>
              <w:t>:</w:t>
            </w:r>
          </w:p>
          <w:p w14:paraId="6C170036" w14:textId="67721271" w:rsidR="00D57301" w:rsidRPr="00956E59" w:rsidRDefault="00D57301" w:rsidP="00D57301">
            <w:pPr>
              <w:pStyle w:val="TableParagraph"/>
              <w:spacing w:after="240"/>
              <w:ind w:left="115" w:right="720"/>
              <w:rPr>
                <w:lang w:val="es-ES_tradnl"/>
              </w:rPr>
            </w:pPr>
            <w:r w:rsidRPr="00956E59">
              <w:rPr>
                <w:lang w:val="es-ES_tradnl"/>
              </w:rPr>
              <w:t xml:space="preserve">La pandemia de COVID-19 hizo imposible organizar a su debido tiempo los eventos incluidos en el proyecto aprobado (resultado 2, actividades 3 y 4). Se estudió la posibilidad de organizar webinarios en línea, pero de las conversaciones iniciales con las partes interesadas se desprendió que la participación de la industria sería escasa, sobre todo porque una parte significativa de los profesionales y las empresas pertinentes estaba sufriendo los efectos </w:t>
            </w:r>
            <w:r w:rsidR="00947721" w:rsidRPr="00956E59">
              <w:rPr>
                <w:lang w:val="es-ES_tradnl"/>
              </w:rPr>
              <w:t>perjudiciales</w:t>
            </w:r>
            <w:r w:rsidRPr="00956E59">
              <w:rPr>
                <w:lang w:val="es-ES_tradnl"/>
              </w:rPr>
              <w:t xml:space="preserve"> de la pandemia. De organizarse las actividades a distancia durante los primeros años de la pandemia COVID-19, no se habrían alcanzado los objetivos del proyecto.</w:t>
            </w:r>
          </w:p>
          <w:p w14:paraId="7CB13480" w14:textId="4557D941" w:rsidR="003C19DB" w:rsidRPr="00956E59" w:rsidRDefault="00D57301" w:rsidP="00D57301">
            <w:pPr>
              <w:pStyle w:val="TableParagraph"/>
              <w:spacing w:after="240"/>
              <w:ind w:left="115" w:right="720"/>
              <w:rPr>
                <w:lang w:val="es-ES_tradnl"/>
              </w:rPr>
            </w:pPr>
            <w:r w:rsidRPr="00956E59">
              <w:rPr>
                <w:lang w:val="es-ES_tradnl"/>
              </w:rPr>
              <w:t xml:space="preserve">Teniendo en cuenta las circunstancias económicas del mercado audiovisual, los </w:t>
            </w:r>
            <w:r w:rsidR="00B7652C" w:rsidRPr="00956E59">
              <w:rPr>
                <w:lang w:val="es-ES_tradnl"/>
              </w:rPr>
              <w:t xml:space="preserve">productos </w:t>
            </w:r>
            <w:r w:rsidRPr="00956E59">
              <w:rPr>
                <w:lang w:val="es-ES_tradnl"/>
              </w:rPr>
              <w:t xml:space="preserve">del proyecto piloto podrían </w:t>
            </w:r>
            <w:r w:rsidR="00947721" w:rsidRPr="00956E59">
              <w:rPr>
                <w:lang w:val="es-ES_tradnl"/>
              </w:rPr>
              <w:t>ser un valioso</w:t>
            </w:r>
            <w:r w:rsidRPr="00956E59">
              <w:rPr>
                <w:lang w:val="es-ES_tradnl"/>
              </w:rPr>
              <w:t xml:space="preserve"> punto de partida para colaborar con las partes interesadas en la consecución de los objetivos del proyecto. En este sentido, en el nuevo calendario se han tenido en cuenta grandes eventos que tienen lugar en América Latina, en los que los </w:t>
            </w:r>
            <w:r w:rsidR="00947721" w:rsidRPr="00956E59">
              <w:rPr>
                <w:lang w:val="es-ES_tradnl"/>
              </w:rPr>
              <w:t xml:space="preserve">productos </w:t>
            </w:r>
            <w:r w:rsidRPr="00956E59">
              <w:rPr>
                <w:lang w:val="es-ES_tradnl"/>
              </w:rPr>
              <w:t>del proyecto podrían ponerse a disposición de un público más amplio.</w:t>
            </w:r>
          </w:p>
          <w:p w14:paraId="353803B8" w14:textId="77777777" w:rsidR="003C19DB" w:rsidRPr="00956E59" w:rsidRDefault="00186CD0">
            <w:pPr>
              <w:pStyle w:val="TableParagraph"/>
              <w:spacing w:after="240"/>
              <w:ind w:left="115" w:right="720"/>
              <w:rPr>
                <w:lang w:val="es-ES_tradnl"/>
              </w:rPr>
            </w:pPr>
            <w:r w:rsidRPr="00956E59">
              <w:rPr>
                <w:u w:val="single"/>
                <w:lang w:val="es-ES_tradnl"/>
              </w:rPr>
              <w:t>Mitigación:</w:t>
            </w:r>
          </w:p>
          <w:p w14:paraId="40F36F01" w14:textId="234052FE" w:rsidR="003C19DB" w:rsidRPr="00956E59" w:rsidRDefault="00947721">
            <w:pPr>
              <w:pStyle w:val="TableParagraph"/>
              <w:spacing w:after="240"/>
              <w:ind w:left="115" w:right="720"/>
              <w:rPr>
                <w:lang w:val="es-ES_tradnl"/>
              </w:rPr>
            </w:pPr>
            <w:r w:rsidRPr="00956E59">
              <w:rPr>
                <w:lang w:val="es-ES_tradnl"/>
              </w:rPr>
              <w:t xml:space="preserve">Entre las estrategias </w:t>
            </w:r>
            <w:r w:rsidR="00186CD0" w:rsidRPr="00956E59">
              <w:rPr>
                <w:lang w:val="es-ES_tradnl"/>
              </w:rPr>
              <w:t>de mitigación adoptada</w:t>
            </w:r>
            <w:r w:rsidRPr="00956E59">
              <w:rPr>
                <w:lang w:val="es-ES_tradnl"/>
              </w:rPr>
              <w:t>s están</w:t>
            </w:r>
            <w:r w:rsidR="00186CD0" w:rsidRPr="00956E59">
              <w:rPr>
                <w:lang w:val="es-ES_tradnl"/>
              </w:rPr>
              <w:t xml:space="preserve">: </w:t>
            </w:r>
          </w:p>
          <w:p w14:paraId="55F645F0" w14:textId="0B6BC8AA" w:rsidR="003C19DB" w:rsidRPr="00956E59" w:rsidRDefault="00034AFE">
            <w:pPr>
              <w:pStyle w:val="TableParagraph"/>
              <w:numPr>
                <w:ilvl w:val="0"/>
                <w:numId w:val="10"/>
              </w:numPr>
              <w:spacing w:after="240" w:line="252" w:lineRule="exact"/>
              <w:ind w:left="475" w:right="720"/>
              <w:rPr>
                <w:lang w:val="es-ES_tradnl"/>
              </w:rPr>
            </w:pPr>
            <w:r w:rsidRPr="00956E59">
              <w:rPr>
                <w:lang w:val="es-ES_tradnl"/>
              </w:rPr>
              <w:t>aplazamiento de las actividades previstas hasta que la industria audiovisual volviera a la actividad y transformación de los eventos presenciales en reuniones híbridas;</w:t>
            </w:r>
            <w:r w:rsidR="00186CD0" w:rsidRPr="00956E59">
              <w:rPr>
                <w:lang w:val="es-ES_tradnl"/>
              </w:rPr>
              <w:t xml:space="preserve"> </w:t>
            </w:r>
          </w:p>
          <w:p w14:paraId="63E5FA74" w14:textId="65CA6661" w:rsidR="003C19DB" w:rsidRPr="00956E59" w:rsidRDefault="00034AFE">
            <w:pPr>
              <w:pStyle w:val="TableParagraph"/>
              <w:numPr>
                <w:ilvl w:val="0"/>
                <w:numId w:val="10"/>
              </w:numPr>
              <w:spacing w:after="240"/>
              <w:ind w:right="720"/>
              <w:rPr>
                <w:lang w:val="es-ES_tradnl"/>
              </w:rPr>
            </w:pPr>
            <w:r w:rsidRPr="00956E59">
              <w:rPr>
                <w:lang w:val="es-ES_tradnl"/>
              </w:rPr>
              <w:t>actualización de la información sobre el mercado OTT latinoamericano para reflejar el impacto de la pandemia COVID-19;</w:t>
            </w:r>
            <w:r w:rsidR="00186CD0" w:rsidRPr="00956E59">
              <w:rPr>
                <w:lang w:val="es-ES_tradnl"/>
              </w:rPr>
              <w:t xml:space="preserve"> </w:t>
            </w:r>
          </w:p>
          <w:p w14:paraId="08C60E0F" w14:textId="7B6DB596" w:rsidR="003C19DB" w:rsidRPr="00956E59" w:rsidRDefault="00034AFE">
            <w:pPr>
              <w:pStyle w:val="TableParagraph"/>
              <w:numPr>
                <w:ilvl w:val="0"/>
                <w:numId w:val="10"/>
              </w:numPr>
              <w:spacing w:after="240"/>
              <w:ind w:right="720"/>
              <w:rPr>
                <w:lang w:val="es-ES_tradnl"/>
              </w:rPr>
            </w:pPr>
            <w:r w:rsidRPr="00956E59">
              <w:rPr>
                <w:lang w:val="es-ES_tradnl"/>
              </w:rPr>
              <w:t>refuerzo del contacto con las principales partes interesadas con el fin de incluir la temática de la PI al reactivarse el mercado audiovisual tras la pandemia;</w:t>
            </w:r>
          </w:p>
          <w:p w14:paraId="311607BA" w14:textId="75BC8FB2" w:rsidR="003C19DB" w:rsidRPr="00956E59" w:rsidRDefault="00034AFE">
            <w:pPr>
              <w:pStyle w:val="TableParagraph"/>
              <w:numPr>
                <w:ilvl w:val="0"/>
                <w:numId w:val="10"/>
              </w:numPr>
              <w:spacing w:after="240"/>
              <w:ind w:right="720"/>
              <w:rPr>
                <w:lang w:val="es-ES_tradnl"/>
              </w:rPr>
            </w:pPr>
            <w:r w:rsidRPr="00956E59">
              <w:rPr>
                <w:lang w:val="es-ES_tradnl"/>
              </w:rPr>
              <w:t>establecer contactos con las partes interesadas locales a fin de combinar las principales actividades existentes con los productos del proyecto. Por ejemplo, combinar los eventos de la OMPI con los mercados audiovisuales internacionales para captar así la atención de los profesionales del sector audiovisual de la región</w:t>
            </w:r>
            <w:r w:rsidR="00186CD0" w:rsidRPr="00956E59">
              <w:rPr>
                <w:lang w:val="es-ES_tradnl"/>
              </w:rPr>
              <w:t xml:space="preserve">.   </w:t>
            </w:r>
          </w:p>
        </w:tc>
      </w:tr>
      <w:tr w:rsidR="00DE072E" w:rsidRPr="00956E59" w14:paraId="72FB7D48" w14:textId="77777777" w:rsidTr="00265875">
        <w:trPr>
          <w:trHeight w:val="703"/>
        </w:trPr>
        <w:tc>
          <w:tcPr>
            <w:tcW w:w="2377" w:type="dxa"/>
            <w:shd w:val="clear" w:color="auto" w:fill="8DB3E1"/>
          </w:tcPr>
          <w:p w14:paraId="0A24E9B5" w14:textId="77777777" w:rsidR="003C19DB" w:rsidRPr="00956E59" w:rsidRDefault="00186CD0">
            <w:pPr>
              <w:pStyle w:val="TableParagraph"/>
              <w:ind w:left="110" w:right="212"/>
              <w:rPr>
                <w:lang w:val="es-ES_tradnl"/>
              </w:rPr>
            </w:pPr>
            <w:r w:rsidRPr="00956E59">
              <w:rPr>
                <w:u w:val="single"/>
                <w:lang w:val="es-ES_tradnl"/>
              </w:rPr>
              <w:t>Porcentaje de ejecución del proyecto</w:t>
            </w:r>
          </w:p>
        </w:tc>
        <w:tc>
          <w:tcPr>
            <w:tcW w:w="6913" w:type="dxa"/>
          </w:tcPr>
          <w:p w14:paraId="45268CFC" w14:textId="457A7C8A" w:rsidR="003C19DB" w:rsidRPr="00956E59" w:rsidRDefault="00186CD0">
            <w:pPr>
              <w:pStyle w:val="TableParagraph"/>
              <w:ind w:left="109" w:right="683"/>
              <w:rPr>
                <w:lang w:val="es-ES_tradnl"/>
              </w:rPr>
            </w:pPr>
            <w:r w:rsidRPr="00956E59">
              <w:rPr>
                <w:lang w:val="es-ES_tradnl"/>
              </w:rPr>
              <w:t xml:space="preserve">El porcentaje de utilización del presupuesto a finales de julio de 2023, respecto del presupuesto total asignado al proyecto, es del </w:t>
            </w:r>
            <w:r w:rsidR="00DE072E" w:rsidRPr="00956E59">
              <w:rPr>
                <w:lang w:val="es-ES_tradnl"/>
              </w:rPr>
              <w:t>54</w:t>
            </w:r>
            <w:r w:rsidR="00D24FF8" w:rsidRPr="00956E59">
              <w:rPr>
                <w:lang w:val="es-ES_tradnl"/>
              </w:rPr>
              <w:t> </w:t>
            </w:r>
            <w:r w:rsidR="00DE072E" w:rsidRPr="00956E59">
              <w:rPr>
                <w:lang w:val="es-ES_tradnl"/>
              </w:rPr>
              <w:t xml:space="preserve">%. </w:t>
            </w:r>
            <w:r w:rsidR="00D24FF8" w:rsidRPr="00956E59">
              <w:rPr>
                <w:lang w:val="es-ES_tradnl"/>
              </w:rPr>
              <w:t>Para m</w:t>
            </w:r>
            <w:r w:rsidR="00DE072E" w:rsidRPr="00956E59">
              <w:rPr>
                <w:lang w:val="es-ES_tradnl"/>
              </w:rPr>
              <w:t xml:space="preserve">ás </w:t>
            </w:r>
            <w:r w:rsidR="00D24FF8" w:rsidRPr="00956E59">
              <w:rPr>
                <w:lang w:val="es-ES_tradnl"/>
              </w:rPr>
              <w:t>información, cabe remitirse al</w:t>
            </w:r>
            <w:r w:rsidR="00DE072E" w:rsidRPr="00956E59">
              <w:rPr>
                <w:lang w:val="es-ES_tradnl"/>
              </w:rPr>
              <w:t xml:space="preserve"> Anexo II de</w:t>
            </w:r>
            <w:r w:rsidR="00D24FF8" w:rsidRPr="00956E59">
              <w:rPr>
                <w:lang w:val="es-ES_tradnl"/>
              </w:rPr>
              <w:t>l presente</w:t>
            </w:r>
            <w:r w:rsidR="00DE072E" w:rsidRPr="00956E59">
              <w:rPr>
                <w:lang w:val="es-ES_tradnl"/>
              </w:rPr>
              <w:t xml:space="preserve"> documento.</w:t>
            </w:r>
          </w:p>
        </w:tc>
      </w:tr>
      <w:tr w:rsidR="00DE072E" w:rsidRPr="00956E59" w14:paraId="5CF84132" w14:textId="77777777" w:rsidTr="00265875">
        <w:trPr>
          <w:trHeight w:val="631"/>
        </w:trPr>
        <w:tc>
          <w:tcPr>
            <w:tcW w:w="2377" w:type="dxa"/>
            <w:shd w:val="clear" w:color="auto" w:fill="8DB3E1"/>
          </w:tcPr>
          <w:p w14:paraId="350215EA" w14:textId="77777777" w:rsidR="003C19DB" w:rsidRPr="00956E59" w:rsidRDefault="00186CD0">
            <w:pPr>
              <w:pStyle w:val="TableParagraph"/>
              <w:ind w:left="110"/>
              <w:rPr>
                <w:lang w:val="es-ES_tradnl"/>
              </w:rPr>
            </w:pPr>
            <w:r w:rsidRPr="00956E59">
              <w:rPr>
                <w:u w:val="single"/>
                <w:lang w:val="es-ES_tradnl"/>
              </w:rPr>
              <w:t>Informes previos</w:t>
            </w:r>
          </w:p>
        </w:tc>
        <w:tc>
          <w:tcPr>
            <w:tcW w:w="6913" w:type="dxa"/>
          </w:tcPr>
          <w:p w14:paraId="2C0F7512" w14:textId="77777777" w:rsidR="003C19DB" w:rsidRPr="00956E59" w:rsidRDefault="00186CD0">
            <w:pPr>
              <w:pStyle w:val="TableParagraph"/>
              <w:spacing w:after="80"/>
              <w:ind w:left="115" w:right="255"/>
              <w:rPr>
                <w:lang w:val="es-ES_tradnl"/>
              </w:rPr>
            </w:pPr>
            <w:r w:rsidRPr="00956E59">
              <w:rPr>
                <w:lang w:val="es-ES_tradnl"/>
              </w:rPr>
              <w:t>1. El primer informe de situación figura en el Anexo V del documento CDIP/24/2;</w:t>
            </w:r>
          </w:p>
          <w:p w14:paraId="680AFCD1" w14:textId="77777777" w:rsidR="003C19DB" w:rsidRPr="00956E59" w:rsidRDefault="00186CD0">
            <w:pPr>
              <w:pStyle w:val="TableParagraph"/>
              <w:spacing w:after="80"/>
              <w:ind w:left="115"/>
              <w:rPr>
                <w:lang w:val="es-ES_tradnl"/>
              </w:rPr>
            </w:pPr>
            <w:r w:rsidRPr="00956E59">
              <w:rPr>
                <w:lang w:val="es-ES_tradnl"/>
              </w:rPr>
              <w:t>2. El segundo informe de situación figura en el Anexo VI del documento CDIP/26/2;</w:t>
            </w:r>
          </w:p>
          <w:p w14:paraId="0891D07F" w14:textId="77777777" w:rsidR="003C19DB" w:rsidRPr="00956E59" w:rsidRDefault="00186CD0">
            <w:pPr>
              <w:pStyle w:val="TableParagraph"/>
              <w:spacing w:after="80"/>
              <w:ind w:left="115" w:right="892"/>
              <w:rPr>
                <w:lang w:val="es-ES_tradnl"/>
              </w:rPr>
            </w:pPr>
            <w:r w:rsidRPr="00956E59">
              <w:rPr>
                <w:lang w:val="es-ES_tradnl"/>
              </w:rPr>
              <w:t>3. El tercer informe de situación figura en el Anexo I del documento CDIP/29/2.</w:t>
            </w:r>
          </w:p>
        </w:tc>
      </w:tr>
      <w:tr w:rsidR="00DE072E" w:rsidRPr="00956E59" w14:paraId="0D1F90E4" w14:textId="77777777" w:rsidTr="00265875">
        <w:trPr>
          <w:trHeight w:val="846"/>
        </w:trPr>
        <w:tc>
          <w:tcPr>
            <w:tcW w:w="2377" w:type="dxa"/>
            <w:shd w:val="clear" w:color="auto" w:fill="8DB3E1"/>
          </w:tcPr>
          <w:p w14:paraId="3AEA09AF" w14:textId="77777777" w:rsidR="003C19DB" w:rsidRPr="00956E59" w:rsidRDefault="00186CD0">
            <w:pPr>
              <w:pStyle w:val="TableParagraph"/>
              <w:ind w:left="110" w:right="855"/>
              <w:rPr>
                <w:lang w:val="es-ES_tradnl"/>
              </w:rPr>
            </w:pPr>
            <w:r w:rsidRPr="00956E59">
              <w:rPr>
                <w:u w:val="single"/>
                <w:lang w:val="es-ES_tradnl"/>
              </w:rPr>
              <w:t>Seguimiento y difusión</w:t>
            </w:r>
          </w:p>
        </w:tc>
        <w:tc>
          <w:tcPr>
            <w:tcW w:w="6913" w:type="dxa"/>
          </w:tcPr>
          <w:p w14:paraId="3F825557" w14:textId="77777777" w:rsidR="003C19DB" w:rsidRPr="00956E59" w:rsidRDefault="00186CD0">
            <w:pPr>
              <w:pStyle w:val="TableParagraph"/>
              <w:spacing w:after="240"/>
              <w:ind w:left="115"/>
              <w:rPr>
                <w:lang w:val="es-ES_tradnl"/>
              </w:rPr>
            </w:pPr>
            <w:r w:rsidRPr="00956E59">
              <w:rPr>
                <w:u w:val="single"/>
                <w:lang w:val="es-ES_tradnl"/>
              </w:rPr>
              <w:t>Seguimiento</w:t>
            </w:r>
            <w:r w:rsidRPr="00956E59">
              <w:rPr>
                <w:lang w:val="es-ES_tradnl"/>
              </w:rPr>
              <w:t xml:space="preserve">: </w:t>
            </w:r>
          </w:p>
          <w:p w14:paraId="0610D17C" w14:textId="48247133" w:rsidR="003C19DB" w:rsidRPr="00956E59" w:rsidRDefault="00F14B15">
            <w:pPr>
              <w:pStyle w:val="TableParagraph"/>
              <w:spacing w:after="240"/>
              <w:ind w:left="115"/>
              <w:rPr>
                <w:lang w:val="es-ES_tradnl"/>
              </w:rPr>
            </w:pPr>
            <w:r w:rsidRPr="00956E59">
              <w:rPr>
                <w:lang w:val="es-ES_tradnl"/>
              </w:rPr>
              <w:t xml:space="preserve">Se insta a los Estados miembros a que aprovechen los conocimientos y recursos generados por este proyecto para poner en marcha iniciativas prácticas que puedan beneficiar a los gobiernos y partes interesadas locales. Entre las posibles medidas que podrían adoptarse figura la posibilidad de ampliar el material de referencia para abarcar otros territorios, organizar talleres prácticos, crear material didáctico para ayudar a las microempresas y las pequeñas empresas a desenvolverse en los intrincados procesos de </w:t>
            </w:r>
            <w:r w:rsidR="00947721" w:rsidRPr="00956E59">
              <w:rPr>
                <w:lang w:val="es-ES_tradnl"/>
              </w:rPr>
              <w:t xml:space="preserve">negociación </w:t>
            </w:r>
            <w:r w:rsidRPr="00956E59">
              <w:rPr>
                <w:lang w:val="es-ES_tradnl"/>
              </w:rPr>
              <w:t>de licencias del mercado audiovisual, impartir cursos en línea y fomentar la colaboración entre los gobiernos para evaluar el mercado audiovisual.</w:t>
            </w:r>
          </w:p>
          <w:p w14:paraId="4E414495" w14:textId="77777777" w:rsidR="003C19DB" w:rsidRPr="00956E59" w:rsidRDefault="00186CD0">
            <w:pPr>
              <w:pStyle w:val="TableParagraph"/>
              <w:spacing w:after="240"/>
              <w:ind w:left="115"/>
              <w:rPr>
                <w:lang w:val="es-ES_tradnl"/>
              </w:rPr>
            </w:pPr>
            <w:r w:rsidRPr="00956E59">
              <w:rPr>
                <w:u w:val="single"/>
                <w:lang w:val="es-ES_tradnl"/>
              </w:rPr>
              <w:t>Difusión</w:t>
            </w:r>
            <w:r w:rsidRPr="00956E59">
              <w:rPr>
                <w:lang w:val="es-ES_tradnl"/>
              </w:rPr>
              <w:t xml:space="preserve">: </w:t>
            </w:r>
          </w:p>
          <w:p w14:paraId="20397AB6" w14:textId="1AB76ABC" w:rsidR="008F06BC" w:rsidRPr="00956E59" w:rsidRDefault="008F06BC" w:rsidP="008F06BC">
            <w:pPr>
              <w:pStyle w:val="TableParagraph"/>
              <w:spacing w:after="240"/>
              <w:ind w:left="115"/>
              <w:rPr>
                <w:lang w:val="es-ES_tradnl"/>
              </w:rPr>
            </w:pPr>
            <w:r w:rsidRPr="00956E59">
              <w:rPr>
                <w:lang w:val="es-ES_tradnl"/>
              </w:rPr>
              <w:t>La OMPI podría potenciar y extender los beneficios del proyecto a través de diferentes iniciativas, a saber:</w:t>
            </w:r>
          </w:p>
          <w:p w14:paraId="58256BE3" w14:textId="2EE6F949" w:rsidR="008F06BC" w:rsidRPr="00956E59" w:rsidRDefault="008F06BC" w:rsidP="008F06BC">
            <w:pPr>
              <w:pStyle w:val="TableParagraph"/>
              <w:spacing w:after="240"/>
              <w:ind w:left="115"/>
              <w:rPr>
                <w:lang w:val="es-ES_tradnl"/>
              </w:rPr>
            </w:pPr>
            <w:r w:rsidRPr="00956E59">
              <w:rPr>
                <w:lang w:val="es-ES_tradnl"/>
              </w:rPr>
              <w:t xml:space="preserve">- Estudiar la posibilidad de colaborar con las partes interesadas durante las ferias </w:t>
            </w:r>
            <w:r w:rsidR="00E21DBD" w:rsidRPr="00956E59">
              <w:rPr>
                <w:lang w:val="es-ES_tradnl"/>
              </w:rPr>
              <w:t xml:space="preserve">y los mercados </w:t>
            </w:r>
            <w:r w:rsidRPr="00956E59">
              <w:rPr>
                <w:lang w:val="es-ES_tradnl"/>
              </w:rPr>
              <w:t>audiovisuales y otros eventos de interés para la industria audiovisual con el fin de proporcionar información personalizada sobre la comercialización de la PI.</w:t>
            </w:r>
          </w:p>
          <w:p w14:paraId="2EA8C027" w14:textId="77777777" w:rsidR="008F06BC" w:rsidRPr="00956E59" w:rsidRDefault="008F06BC" w:rsidP="008F06BC">
            <w:pPr>
              <w:pStyle w:val="TableParagraph"/>
              <w:spacing w:after="240"/>
              <w:ind w:left="115"/>
              <w:rPr>
                <w:lang w:val="es-ES_tradnl"/>
              </w:rPr>
            </w:pPr>
            <w:r w:rsidRPr="00956E59">
              <w:rPr>
                <w:lang w:val="es-ES_tradnl"/>
              </w:rPr>
              <w:t xml:space="preserve">- Organizar talleres a medida que ofrezcan a las pymes la oportunidad de conocer en detalle la negociación de licencias en el entorno audiovisual y aprender de profesionales experimentados en este ámbito. </w:t>
            </w:r>
          </w:p>
          <w:p w14:paraId="1AE06619" w14:textId="77777777" w:rsidR="008F06BC" w:rsidRPr="00956E59" w:rsidRDefault="008F06BC" w:rsidP="008F06BC">
            <w:pPr>
              <w:pStyle w:val="TableParagraph"/>
              <w:spacing w:after="240"/>
              <w:ind w:left="115"/>
              <w:rPr>
                <w:lang w:val="es-ES_tradnl"/>
              </w:rPr>
            </w:pPr>
            <w:r w:rsidRPr="00956E59">
              <w:rPr>
                <w:lang w:val="es-ES_tradnl"/>
              </w:rPr>
              <w:t>- Organizar foros para que los funcionarios gubernamentales intercambien experiencias y prácticas sobre el derecho de autor y los derechos conexos en el sector audiovisual.</w:t>
            </w:r>
          </w:p>
          <w:p w14:paraId="2DB97CF6" w14:textId="77777777" w:rsidR="008F06BC" w:rsidRPr="00956E59" w:rsidRDefault="008F06BC" w:rsidP="008F06BC">
            <w:pPr>
              <w:pStyle w:val="TableParagraph"/>
              <w:spacing w:after="240"/>
              <w:ind w:left="115"/>
              <w:rPr>
                <w:lang w:val="es-ES_tradnl"/>
              </w:rPr>
            </w:pPr>
            <w:r w:rsidRPr="00956E59">
              <w:rPr>
                <w:lang w:val="es-ES_tradnl"/>
              </w:rPr>
              <w:t xml:space="preserve">- Estudiar el ámbito de las coproducciones y el papel que desempeñan el derecho de autor y los derechos conexos en las condiciones impuestas por las herramientas de financiación internacional. </w:t>
            </w:r>
          </w:p>
          <w:p w14:paraId="05970175" w14:textId="38E13566" w:rsidR="003C19DB" w:rsidRPr="00956E59" w:rsidRDefault="008F06BC" w:rsidP="008F06BC">
            <w:pPr>
              <w:pStyle w:val="TableParagraph"/>
              <w:spacing w:after="120"/>
              <w:ind w:left="115"/>
              <w:rPr>
                <w:lang w:val="es-ES_tradnl"/>
              </w:rPr>
            </w:pPr>
            <w:r w:rsidRPr="00956E59">
              <w:rPr>
                <w:lang w:val="es-ES_tradnl"/>
              </w:rPr>
              <w:t>- Realizar un análisis económico de la financiación privada y pública del sector audiovisual y del papel que desempeñan en este ámbito el derecho de autor y los derechos conexos.</w:t>
            </w:r>
            <w:r w:rsidR="00186CD0" w:rsidRPr="00956E59">
              <w:rPr>
                <w:lang w:val="es-ES_tradnl"/>
              </w:rPr>
              <w:t xml:space="preserve">  </w:t>
            </w:r>
          </w:p>
        </w:tc>
      </w:tr>
    </w:tbl>
    <w:p w14:paraId="0F0634D3" w14:textId="77777777" w:rsidR="00DE072E" w:rsidRPr="00956E59" w:rsidRDefault="00DE072E" w:rsidP="00DE072E">
      <w:pPr>
        <w:pStyle w:val="BodyText"/>
        <w:spacing w:after="240"/>
        <w:ind w:left="130"/>
        <w:rPr>
          <w:szCs w:val="22"/>
          <w:lang w:val="es-ES_tradnl"/>
        </w:rPr>
      </w:pPr>
      <w:r w:rsidRPr="00956E59">
        <w:rPr>
          <w:szCs w:val="22"/>
          <w:lang w:val="es-ES_tradnl"/>
        </w:rPr>
        <w:br w:type="page"/>
      </w:r>
    </w:p>
    <w:p w14:paraId="7C254CC1" w14:textId="0E6167B1" w:rsidR="003C19DB" w:rsidRPr="00956E59" w:rsidRDefault="0035670A">
      <w:pPr>
        <w:pStyle w:val="BodyText"/>
        <w:spacing w:after="240"/>
        <w:ind w:left="130"/>
        <w:rPr>
          <w:szCs w:val="22"/>
          <w:lang w:val="es-ES_tradnl"/>
        </w:rPr>
      </w:pPr>
      <w:r w:rsidRPr="00956E59">
        <w:rPr>
          <w:szCs w:val="22"/>
          <w:lang w:val="es-ES_tradnl"/>
        </w:rPr>
        <w:t>E</w:t>
      </w:r>
      <w:r w:rsidR="00186CD0" w:rsidRPr="00956E59">
        <w:rPr>
          <w:szCs w:val="22"/>
          <w:lang w:val="es-ES_tradnl"/>
        </w:rPr>
        <w:t xml:space="preserve">VALUACIÓN </w:t>
      </w:r>
      <w:r w:rsidR="00DA15F9" w:rsidRPr="00956E59">
        <w:rPr>
          <w:szCs w:val="22"/>
          <w:lang w:val="es-ES_tradnl"/>
        </w:rPr>
        <w:t xml:space="preserve">INTERNA </w:t>
      </w:r>
      <w:r w:rsidR="00186CD0" w:rsidRPr="00956E59">
        <w:rPr>
          <w:szCs w:val="22"/>
          <w:lang w:val="es-ES_tradnl"/>
        </w:rPr>
        <w:t>DEL PROYECTO</w:t>
      </w:r>
    </w:p>
    <w:p w14:paraId="3DFE7A9B" w14:textId="77777777" w:rsidR="003C19DB" w:rsidRPr="00956E59" w:rsidRDefault="00186CD0">
      <w:pPr>
        <w:pStyle w:val="BodyText"/>
        <w:ind w:left="136"/>
        <w:rPr>
          <w:lang w:val="es-ES_tradnl"/>
        </w:rPr>
      </w:pPr>
      <w:r w:rsidRPr="00956E59">
        <w:rPr>
          <w:rFonts w:eastAsia="Arial"/>
          <w:szCs w:val="22"/>
          <w:lang w:val="es-ES_tradnl"/>
        </w:rPr>
        <w:t>Clave de colores: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99"/>
        <w:gridCol w:w="1559"/>
        <w:gridCol w:w="1634"/>
        <w:gridCol w:w="2194"/>
        <w:gridCol w:w="2264"/>
      </w:tblGrid>
      <w:tr w:rsidR="0050699A" w:rsidRPr="00956E59" w14:paraId="6AAFCBE3" w14:textId="77777777" w:rsidTr="00445DBA">
        <w:trPr>
          <w:trHeight w:val="470"/>
        </w:trPr>
        <w:tc>
          <w:tcPr>
            <w:tcW w:w="1699" w:type="dxa"/>
            <w:shd w:val="clear" w:color="auto" w:fill="7BBEDA"/>
            <w:vAlign w:val="center"/>
          </w:tcPr>
          <w:p w14:paraId="66B254C3" w14:textId="77777777" w:rsidR="003C19DB" w:rsidRPr="00956E59" w:rsidRDefault="00186CD0">
            <w:pPr>
              <w:pStyle w:val="TableParagraph"/>
              <w:spacing w:before="105"/>
              <w:ind w:left="110"/>
              <w:rPr>
                <w:lang w:val="es-ES_tradnl"/>
              </w:rPr>
            </w:pPr>
            <w:r w:rsidRPr="00956E59">
              <w:rPr>
                <w:lang w:val="es-ES_tradnl"/>
              </w:rPr>
              <w:t>****</w:t>
            </w:r>
          </w:p>
        </w:tc>
        <w:tc>
          <w:tcPr>
            <w:tcW w:w="1559" w:type="dxa"/>
            <w:shd w:val="clear" w:color="auto" w:fill="7BBEDA"/>
            <w:vAlign w:val="center"/>
          </w:tcPr>
          <w:p w14:paraId="626AAF7A" w14:textId="77777777" w:rsidR="003C19DB" w:rsidRPr="00956E59" w:rsidRDefault="00186CD0">
            <w:pPr>
              <w:pStyle w:val="TableParagraph"/>
              <w:spacing w:before="105"/>
              <w:ind w:left="110"/>
              <w:rPr>
                <w:lang w:val="es-ES_tradnl"/>
              </w:rPr>
            </w:pPr>
            <w:r w:rsidRPr="00956E59">
              <w:rPr>
                <w:lang w:val="es-ES_tradnl"/>
              </w:rPr>
              <w:t>***</w:t>
            </w:r>
          </w:p>
        </w:tc>
        <w:tc>
          <w:tcPr>
            <w:tcW w:w="1634" w:type="dxa"/>
            <w:shd w:val="clear" w:color="auto" w:fill="7BBEDA"/>
            <w:vAlign w:val="center"/>
          </w:tcPr>
          <w:p w14:paraId="31DAD814" w14:textId="77777777" w:rsidR="003C19DB" w:rsidRPr="00956E59" w:rsidRDefault="00186CD0">
            <w:pPr>
              <w:pStyle w:val="TableParagraph"/>
              <w:spacing w:before="105"/>
              <w:ind w:left="108"/>
              <w:rPr>
                <w:lang w:val="es-ES_tradnl"/>
              </w:rPr>
            </w:pPr>
            <w:r w:rsidRPr="00956E59">
              <w:rPr>
                <w:lang w:val="es-ES_tradnl"/>
              </w:rPr>
              <w:t>**</w:t>
            </w:r>
          </w:p>
        </w:tc>
        <w:tc>
          <w:tcPr>
            <w:tcW w:w="2194" w:type="dxa"/>
            <w:shd w:val="clear" w:color="auto" w:fill="7BBEDA"/>
            <w:vAlign w:val="center"/>
          </w:tcPr>
          <w:p w14:paraId="33A03B4D" w14:textId="77777777" w:rsidR="003C19DB" w:rsidRPr="00956E59" w:rsidRDefault="00186CD0">
            <w:pPr>
              <w:pStyle w:val="TableParagraph"/>
              <w:spacing w:before="105"/>
              <w:ind w:left="108"/>
              <w:rPr>
                <w:lang w:val="es-ES_tradnl"/>
              </w:rPr>
            </w:pPr>
            <w:r w:rsidRPr="00956E59">
              <w:rPr>
                <w:lang w:val="es-ES_tradnl"/>
              </w:rPr>
              <w:t>SA</w:t>
            </w:r>
          </w:p>
        </w:tc>
        <w:tc>
          <w:tcPr>
            <w:tcW w:w="2264" w:type="dxa"/>
            <w:shd w:val="clear" w:color="auto" w:fill="7BBEDA"/>
            <w:vAlign w:val="center"/>
          </w:tcPr>
          <w:p w14:paraId="250FD01E" w14:textId="77777777" w:rsidR="003C19DB" w:rsidRPr="00956E59" w:rsidRDefault="00186CD0">
            <w:pPr>
              <w:pStyle w:val="TableParagraph"/>
              <w:spacing w:before="105"/>
              <w:ind w:left="110"/>
              <w:rPr>
                <w:lang w:val="es-ES_tradnl"/>
              </w:rPr>
            </w:pPr>
            <w:r w:rsidRPr="00956E59">
              <w:rPr>
                <w:lang w:val="es-ES_tradnl"/>
              </w:rPr>
              <w:t>ND</w:t>
            </w:r>
          </w:p>
        </w:tc>
      </w:tr>
      <w:tr w:rsidR="0050699A" w:rsidRPr="00956E59" w14:paraId="5E5CC120" w14:textId="77777777" w:rsidTr="00445DBA">
        <w:trPr>
          <w:trHeight w:val="506"/>
        </w:trPr>
        <w:tc>
          <w:tcPr>
            <w:tcW w:w="1699" w:type="dxa"/>
            <w:shd w:val="clear" w:color="auto" w:fill="7BBEDA"/>
            <w:vAlign w:val="center"/>
          </w:tcPr>
          <w:p w14:paraId="752DBE1F" w14:textId="77777777" w:rsidR="003C19DB" w:rsidRPr="00956E59" w:rsidRDefault="00186CD0">
            <w:pPr>
              <w:pStyle w:val="TableParagraph"/>
              <w:spacing w:line="252" w:lineRule="exact"/>
              <w:ind w:left="110" w:right="408"/>
              <w:rPr>
                <w:sz w:val="20"/>
                <w:szCs w:val="20"/>
                <w:lang w:val="es-ES_tradnl"/>
              </w:rPr>
            </w:pPr>
            <w:r w:rsidRPr="00956E59">
              <w:rPr>
                <w:sz w:val="20"/>
                <w:szCs w:val="20"/>
                <w:lang w:val="es-ES_tradnl"/>
              </w:rPr>
              <w:t>Plenamente logrado</w:t>
            </w:r>
          </w:p>
        </w:tc>
        <w:tc>
          <w:tcPr>
            <w:tcW w:w="1559" w:type="dxa"/>
            <w:shd w:val="clear" w:color="auto" w:fill="7BBEDA"/>
            <w:vAlign w:val="center"/>
          </w:tcPr>
          <w:p w14:paraId="76E3925C" w14:textId="77777777" w:rsidR="003C19DB" w:rsidRPr="00956E59" w:rsidRDefault="00186CD0">
            <w:pPr>
              <w:pStyle w:val="TableParagraph"/>
              <w:spacing w:line="252" w:lineRule="exact"/>
              <w:ind w:left="110" w:right="687"/>
              <w:rPr>
                <w:lang w:val="es-ES_tradnl"/>
              </w:rPr>
            </w:pPr>
            <w:r w:rsidRPr="00956E59">
              <w:rPr>
                <w:lang w:val="es-ES_tradnl"/>
              </w:rPr>
              <w:t>Avance notable</w:t>
            </w:r>
          </w:p>
        </w:tc>
        <w:tc>
          <w:tcPr>
            <w:tcW w:w="1634" w:type="dxa"/>
            <w:shd w:val="clear" w:color="auto" w:fill="7BBEDA"/>
            <w:vAlign w:val="center"/>
          </w:tcPr>
          <w:p w14:paraId="1372D13B" w14:textId="77777777" w:rsidR="003C19DB" w:rsidRPr="00956E59" w:rsidRDefault="00186CD0">
            <w:pPr>
              <w:pStyle w:val="TableParagraph"/>
              <w:spacing w:line="251" w:lineRule="exact"/>
              <w:ind w:left="108"/>
              <w:rPr>
                <w:lang w:val="es-ES_tradnl"/>
              </w:rPr>
            </w:pPr>
            <w:r w:rsidRPr="00956E59">
              <w:rPr>
                <w:lang w:val="es-ES_tradnl"/>
              </w:rPr>
              <w:t>Avance parcial</w:t>
            </w:r>
          </w:p>
        </w:tc>
        <w:tc>
          <w:tcPr>
            <w:tcW w:w="2194" w:type="dxa"/>
            <w:shd w:val="clear" w:color="auto" w:fill="7BBEDA"/>
            <w:vAlign w:val="center"/>
          </w:tcPr>
          <w:p w14:paraId="36D17703" w14:textId="77777777" w:rsidR="003C19DB" w:rsidRPr="00956E59" w:rsidRDefault="00186CD0">
            <w:pPr>
              <w:pStyle w:val="TableParagraph"/>
              <w:spacing w:line="251" w:lineRule="exact"/>
              <w:ind w:left="108"/>
              <w:rPr>
                <w:lang w:val="es-ES_tradnl"/>
              </w:rPr>
            </w:pPr>
            <w:r w:rsidRPr="00956E59">
              <w:rPr>
                <w:lang w:val="es-ES_tradnl"/>
              </w:rPr>
              <w:t>Ningún avance</w:t>
            </w:r>
          </w:p>
        </w:tc>
        <w:tc>
          <w:tcPr>
            <w:tcW w:w="2264" w:type="dxa"/>
            <w:shd w:val="clear" w:color="auto" w:fill="7BBEDA"/>
            <w:vAlign w:val="center"/>
          </w:tcPr>
          <w:p w14:paraId="1CCF78DF" w14:textId="77777777" w:rsidR="003C19DB" w:rsidRPr="00956E59" w:rsidRDefault="00186CD0">
            <w:pPr>
              <w:pStyle w:val="TableParagraph"/>
              <w:spacing w:line="252" w:lineRule="exact"/>
              <w:ind w:left="110" w:right="203"/>
              <w:rPr>
                <w:lang w:val="es-ES_tradnl"/>
              </w:rPr>
            </w:pPr>
            <w:r w:rsidRPr="00956E59">
              <w:rPr>
                <w:lang w:val="es-ES_tradnl"/>
              </w:rPr>
              <w:t>Sin evaluar/actividad interrumpida</w:t>
            </w:r>
          </w:p>
        </w:tc>
      </w:tr>
    </w:tbl>
    <w:p w14:paraId="2769D8B8" w14:textId="77777777" w:rsidR="00DE072E" w:rsidRPr="00956E59" w:rsidRDefault="00DE072E" w:rsidP="00DE072E">
      <w:pPr>
        <w:pStyle w:val="BodyText"/>
        <w:spacing w:before="10"/>
        <w:rPr>
          <w:szCs w:val="22"/>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0699A" w:rsidRPr="00956E59" w14:paraId="6CD54577" w14:textId="77777777" w:rsidTr="00065D80">
        <w:trPr>
          <w:trHeight w:val="1265"/>
        </w:trPr>
        <w:tc>
          <w:tcPr>
            <w:tcW w:w="2410" w:type="dxa"/>
            <w:shd w:val="clear" w:color="auto" w:fill="68E089"/>
          </w:tcPr>
          <w:p w14:paraId="22ABDA7F" w14:textId="77777777" w:rsidR="0050699A" w:rsidRPr="00956E59" w:rsidRDefault="0050699A" w:rsidP="0050699A">
            <w:pPr>
              <w:pStyle w:val="TableParagraph"/>
              <w:spacing w:before="10"/>
              <w:rPr>
                <w:lang w:val="es-ES_tradnl"/>
              </w:rPr>
            </w:pPr>
          </w:p>
          <w:p w14:paraId="35E9F0D6" w14:textId="77777777" w:rsidR="003C19DB" w:rsidRPr="00956E59" w:rsidRDefault="00186CD0">
            <w:pPr>
              <w:pStyle w:val="TableParagraph"/>
              <w:ind w:left="110" w:right="624"/>
              <w:rPr>
                <w:lang w:val="es-ES_tradnl"/>
              </w:rPr>
            </w:pPr>
            <w:r w:rsidRPr="00956E59">
              <w:rPr>
                <w:u w:val="single"/>
                <w:lang w:val="es-ES_tradnl"/>
              </w:rPr>
              <w:t>Productos del proyecto</w:t>
            </w:r>
            <w:r w:rsidRPr="00956E59">
              <w:rPr>
                <w:vertAlign w:val="superscript"/>
                <w:lang w:val="es-ES_tradnl"/>
              </w:rPr>
              <w:t>3</w:t>
            </w:r>
            <w:r w:rsidRPr="00956E59">
              <w:rPr>
                <w:lang w:val="es-ES_tradnl"/>
              </w:rPr>
              <w:t xml:space="preserve"> (resultado previsto)</w:t>
            </w:r>
          </w:p>
        </w:tc>
        <w:tc>
          <w:tcPr>
            <w:tcW w:w="2695" w:type="dxa"/>
            <w:shd w:val="clear" w:color="auto" w:fill="68E089"/>
          </w:tcPr>
          <w:p w14:paraId="6AC90C25" w14:textId="77777777" w:rsidR="0050699A" w:rsidRPr="00956E59" w:rsidRDefault="0050699A" w:rsidP="0050699A">
            <w:pPr>
              <w:pStyle w:val="TableParagraph"/>
              <w:spacing w:before="10"/>
              <w:rPr>
                <w:lang w:val="es-ES_tradnl"/>
              </w:rPr>
            </w:pPr>
          </w:p>
          <w:p w14:paraId="3DE3CF71" w14:textId="77777777" w:rsidR="003C19DB" w:rsidRPr="00956E59" w:rsidRDefault="00186CD0">
            <w:pPr>
              <w:pStyle w:val="TableParagraph"/>
              <w:ind w:left="110" w:right="236"/>
              <w:rPr>
                <w:lang w:val="es-ES_tradnl"/>
              </w:rPr>
            </w:pPr>
            <w:r w:rsidRPr="00956E59">
              <w:rPr>
                <w:u w:val="single"/>
                <w:lang w:val="es-ES_tradnl"/>
              </w:rPr>
              <w:t>Indicadores de obtención de resultados</w:t>
            </w:r>
          </w:p>
          <w:p w14:paraId="679A0062" w14:textId="77777777" w:rsidR="003C19DB" w:rsidRPr="00956E59" w:rsidRDefault="00186CD0">
            <w:pPr>
              <w:pStyle w:val="TableParagraph"/>
              <w:spacing w:line="252" w:lineRule="exact"/>
              <w:ind w:left="110"/>
              <w:rPr>
                <w:lang w:val="es-ES_tradnl"/>
              </w:rPr>
            </w:pPr>
            <w:r w:rsidRPr="00956E59">
              <w:rPr>
                <w:lang w:val="es-ES_tradnl"/>
              </w:rPr>
              <w:t>(indicadores de productos)</w:t>
            </w:r>
          </w:p>
        </w:tc>
        <w:tc>
          <w:tcPr>
            <w:tcW w:w="3401" w:type="dxa"/>
            <w:shd w:val="clear" w:color="auto" w:fill="68E089"/>
          </w:tcPr>
          <w:p w14:paraId="1A0DA3BE" w14:textId="77777777" w:rsidR="0050699A" w:rsidRPr="00956E59" w:rsidRDefault="0050699A" w:rsidP="0050699A">
            <w:pPr>
              <w:pStyle w:val="TableParagraph"/>
              <w:spacing w:before="10"/>
              <w:rPr>
                <w:lang w:val="es-ES_tradnl"/>
              </w:rPr>
            </w:pPr>
          </w:p>
          <w:p w14:paraId="184F7855" w14:textId="77777777" w:rsidR="003C19DB" w:rsidRPr="00956E59" w:rsidRDefault="00186CD0">
            <w:pPr>
              <w:pStyle w:val="TableParagraph"/>
              <w:ind w:left="108"/>
              <w:rPr>
                <w:lang w:val="es-ES_tradnl"/>
              </w:rPr>
            </w:pPr>
            <w:r w:rsidRPr="00956E59">
              <w:rPr>
                <w:u w:val="single"/>
                <w:lang w:val="es-ES_tradnl"/>
              </w:rPr>
              <w:t>Datos sobre el rendimiento</w:t>
            </w:r>
          </w:p>
        </w:tc>
        <w:tc>
          <w:tcPr>
            <w:tcW w:w="876" w:type="dxa"/>
            <w:shd w:val="clear" w:color="auto" w:fill="68E089"/>
          </w:tcPr>
          <w:p w14:paraId="3BC81338" w14:textId="77777777" w:rsidR="0050699A" w:rsidRPr="00956E59" w:rsidRDefault="0050699A" w:rsidP="0050699A">
            <w:pPr>
              <w:pStyle w:val="TableParagraph"/>
              <w:spacing w:before="10"/>
              <w:rPr>
                <w:lang w:val="es-ES_tradnl"/>
              </w:rPr>
            </w:pPr>
          </w:p>
          <w:p w14:paraId="059629FB" w14:textId="77777777" w:rsidR="003C19DB" w:rsidRPr="00956E59" w:rsidRDefault="00186CD0">
            <w:pPr>
              <w:pStyle w:val="TableParagraph"/>
              <w:ind w:left="111"/>
              <w:rPr>
                <w:lang w:val="es-ES_tradnl"/>
              </w:rPr>
            </w:pPr>
            <w:r w:rsidRPr="00956E59">
              <w:rPr>
                <w:u w:val="single"/>
                <w:lang w:val="es-ES_tradnl"/>
              </w:rPr>
              <w:t>Clave de colores</w:t>
            </w:r>
          </w:p>
        </w:tc>
      </w:tr>
      <w:tr w:rsidR="00DE072E" w:rsidRPr="00956E59" w14:paraId="58EFAC27" w14:textId="77777777" w:rsidTr="00265875">
        <w:trPr>
          <w:trHeight w:val="508"/>
        </w:trPr>
        <w:tc>
          <w:tcPr>
            <w:tcW w:w="2410" w:type="dxa"/>
            <w:tcBorders>
              <w:right w:val="single" w:sz="6" w:space="0" w:color="000000"/>
            </w:tcBorders>
            <w:vAlign w:val="center"/>
          </w:tcPr>
          <w:p w14:paraId="4CD6EAC7" w14:textId="3D73B154" w:rsidR="003C19DB" w:rsidRPr="00956E59" w:rsidRDefault="00E21DBD">
            <w:pPr>
              <w:rPr>
                <w:bCs/>
                <w:lang w:val="es-ES_tradnl"/>
              </w:rPr>
            </w:pPr>
            <w:r w:rsidRPr="00956E59">
              <w:rPr>
                <w:bCs/>
                <w:lang w:val="es-ES_tradnl"/>
              </w:rPr>
              <w:t>Producto</w:t>
            </w:r>
            <w:r w:rsidR="00186CD0" w:rsidRPr="00956E59">
              <w:rPr>
                <w:bCs/>
                <w:lang w:val="es-ES_tradnl"/>
              </w:rPr>
              <w:t xml:space="preserve"> 1: </w:t>
            </w:r>
            <w:r w:rsidR="00B7652C" w:rsidRPr="00956E59">
              <w:rPr>
                <w:bCs/>
                <w:lang w:val="es-ES_tradnl"/>
              </w:rPr>
              <w:t>Aumentar la conciencia sobre la función del derecho de autor y los derechos conexos en la distribución de contenidos audiovisuales en línea</w:t>
            </w:r>
          </w:p>
        </w:tc>
        <w:tc>
          <w:tcPr>
            <w:tcW w:w="2695" w:type="dxa"/>
            <w:tcBorders>
              <w:left w:val="single" w:sz="6" w:space="0" w:color="000000"/>
              <w:bottom w:val="single" w:sz="6" w:space="0" w:color="000000"/>
            </w:tcBorders>
            <w:vAlign w:val="center"/>
          </w:tcPr>
          <w:p w14:paraId="6BF9BA91" w14:textId="47D42F57" w:rsidR="003C19DB" w:rsidRPr="00956E59" w:rsidRDefault="00186CD0">
            <w:pPr>
              <w:spacing w:after="240"/>
              <w:rPr>
                <w:lang w:val="es-ES_tradnl"/>
              </w:rPr>
            </w:pPr>
            <w:r w:rsidRPr="00956E59">
              <w:rPr>
                <w:lang w:val="es-ES_tradnl"/>
              </w:rPr>
              <w:t xml:space="preserve">Actividad 1. </w:t>
            </w:r>
            <w:r w:rsidR="00E21DBD" w:rsidRPr="00956E59">
              <w:rPr>
                <w:lang w:val="es-ES_tradnl"/>
              </w:rPr>
              <w:t>Realización de un estudio sobre el marco jurídico del derecho de autor y la concesión de licencias sobre obras digitales en el entorno digital</w:t>
            </w:r>
            <w:r w:rsidRPr="00956E59">
              <w:rPr>
                <w:lang w:val="es-ES_tradnl"/>
              </w:rPr>
              <w:t>.</w:t>
            </w:r>
          </w:p>
          <w:p w14:paraId="66774A8E" w14:textId="4AB98BA4" w:rsidR="003C19DB" w:rsidRPr="00956E59" w:rsidRDefault="00186CD0">
            <w:pPr>
              <w:spacing w:after="240"/>
              <w:rPr>
                <w:lang w:val="es-ES_tradnl"/>
              </w:rPr>
            </w:pPr>
            <w:r w:rsidRPr="00956E59">
              <w:rPr>
                <w:lang w:val="es-ES_tradnl"/>
              </w:rPr>
              <w:t xml:space="preserve">Actividad 2. </w:t>
            </w:r>
            <w:r w:rsidR="00E21DBD" w:rsidRPr="00956E59">
              <w:rPr>
                <w:lang w:val="es-ES_tradnl"/>
              </w:rPr>
              <w:t>Realización de un resumen de los derechos de autor y los derechos conexos que se aplican a nivel nacional para la concesión de licencias sobre los contenidos audiovisuales en línea</w:t>
            </w:r>
            <w:r w:rsidRPr="00956E59">
              <w:rPr>
                <w:lang w:val="es-ES_tradnl"/>
              </w:rPr>
              <w:t>.</w:t>
            </w:r>
          </w:p>
          <w:p w14:paraId="0974096C" w14:textId="752042C2" w:rsidR="003C19DB" w:rsidRPr="00956E59" w:rsidRDefault="00186CD0">
            <w:pPr>
              <w:spacing w:after="240"/>
              <w:rPr>
                <w:lang w:val="es-ES_tradnl"/>
              </w:rPr>
            </w:pPr>
            <w:r w:rsidRPr="00956E59">
              <w:rPr>
                <w:lang w:val="es-ES_tradnl"/>
              </w:rPr>
              <w:t xml:space="preserve">Actividad 3. </w:t>
            </w:r>
            <w:r w:rsidR="00E21DBD" w:rsidRPr="00956E59">
              <w:rPr>
                <w:lang w:val="es-ES_tradnl"/>
              </w:rPr>
              <w:t>Realización de un estudio sobre las obras audiovisuales del dominio público en los países participantes</w:t>
            </w:r>
            <w:r w:rsidRPr="00956E59">
              <w:rPr>
                <w:lang w:val="es-ES_tradnl"/>
              </w:rPr>
              <w:t>.</w:t>
            </w:r>
          </w:p>
          <w:p w14:paraId="439A33EC" w14:textId="77777777" w:rsidR="00DE072E" w:rsidRPr="00956E59" w:rsidRDefault="00DE072E" w:rsidP="00265875">
            <w:pPr>
              <w:rPr>
                <w:lang w:val="es-ES_tradnl"/>
              </w:rPr>
            </w:pPr>
          </w:p>
        </w:tc>
        <w:tc>
          <w:tcPr>
            <w:tcW w:w="3401" w:type="dxa"/>
            <w:vAlign w:val="center"/>
          </w:tcPr>
          <w:p w14:paraId="0DC6CDB6" w14:textId="77777777" w:rsidR="003C19DB" w:rsidRPr="00956E59" w:rsidRDefault="00186CD0">
            <w:pPr>
              <w:spacing w:after="480"/>
              <w:rPr>
                <w:lang w:val="es-ES_tradnl"/>
              </w:rPr>
            </w:pPr>
            <w:r w:rsidRPr="00956E59">
              <w:rPr>
                <w:lang w:val="es-ES_tradnl"/>
              </w:rPr>
              <w:t>Realizado en el marco del Estudio I del proyecto.</w:t>
            </w:r>
          </w:p>
          <w:p w14:paraId="1ECE84F4" w14:textId="77777777" w:rsidR="00DE072E" w:rsidRPr="00956E59" w:rsidRDefault="00DE072E" w:rsidP="00265875">
            <w:pPr>
              <w:rPr>
                <w:lang w:val="es-ES_tradnl"/>
              </w:rPr>
            </w:pPr>
          </w:p>
          <w:p w14:paraId="73CF4334" w14:textId="77777777" w:rsidR="003C19DB" w:rsidRPr="00956E59" w:rsidRDefault="00186CD0">
            <w:pPr>
              <w:spacing w:before="240" w:after="480"/>
              <w:rPr>
                <w:lang w:val="es-ES_tradnl"/>
              </w:rPr>
            </w:pPr>
            <w:r w:rsidRPr="00956E59">
              <w:rPr>
                <w:lang w:val="es-ES_tradnl"/>
              </w:rPr>
              <w:t xml:space="preserve">Realizado en el marco del Estudio I, Parte 2, Anexo del proyecto. </w:t>
            </w:r>
          </w:p>
          <w:p w14:paraId="7152156D" w14:textId="77777777" w:rsidR="00DE072E" w:rsidRPr="00956E59" w:rsidRDefault="00DE072E" w:rsidP="00265875">
            <w:pPr>
              <w:rPr>
                <w:lang w:val="es-ES_tradnl"/>
              </w:rPr>
            </w:pPr>
          </w:p>
          <w:p w14:paraId="750CFA65" w14:textId="77777777" w:rsidR="00DE072E" w:rsidRPr="00956E59" w:rsidRDefault="00DE072E" w:rsidP="00265875">
            <w:pPr>
              <w:rPr>
                <w:lang w:val="es-ES_tradnl"/>
              </w:rPr>
            </w:pPr>
          </w:p>
          <w:p w14:paraId="0DEEE204" w14:textId="77777777" w:rsidR="00DE072E" w:rsidRPr="00956E59" w:rsidRDefault="00DE072E" w:rsidP="00265875">
            <w:pPr>
              <w:rPr>
                <w:lang w:val="es-ES_tradnl"/>
              </w:rPr>
            </w:pPr>
          </w:p>
          <w:p w14:paraId="20616788" w14:textId="77777777" w:rsidR="003C19DB" w:rsidRPr="00956E59" w:rsidRDefault="00186CD0">
            <w:pPr>
              <w:spacing w:after="480"/>
              <w:rPr>
                <w:lang w:val="es-ES_tradnl"/>
              </w:rPr>
            </w:pPr>
            <w:r w:rsidRPr="00956E59">
              <w:rPr>
                <w:lang w:val="es-ES_tradnl"/>
              </w:rPr>
              <w:t xml:space="preserve">Realizado en el marco del Estudio II del proyecto. </w:t>
            </w:r>
          </w:p>
        </w:tc>
        <w:tc>
          <w:tcPr>
            <w:tcW w:w="876" w:type="dxa"/>
          </w:tcPr>
          <w:p w14:paraId="53CD8919" w14:textId="77777777" w:rsidR="003C19DB" w:rsidRPr="00956E59" w:rsidRDefault="00186CD0">
            <w:pPr>
              <w:pStyle w:val="TableParagraph"/>
              <w:rPr>
                <w:lang w:val="es-ES_tradnl"/>
              </w:rPr>
            </w:pPr>
            <w:r w:rsidRPr="00956E59">
              <w:rPr>
                <w:lang w:val="es-ES_tradnl"/>
              </w:rPr>
              <w:t>****</w:t>
            </w:r>
          </w:p>
          <w:p w14:paraId="0F1162DF" w14:textId="77777777" w:rsidR="00DE072E" w:rsidRPr="00956E59" w:rsidRDefault="00DE072E" w:rsidP="00265875">
            <w:pPr>
              <w:pStyle w:val="TableParagraph"/>
              <w:rPr>
                <w:lang w:val="es-ES_tradnl"/>
              </w:rPr>
            </w:pPr>
          </w:p>
          <w:p w14:paraId="290AAFDF" w14:textId="77777777" w:rsidR="00DE072E" w:rsidRPr="00956E59" w:rsidRDefault="00DE072E" w:rsidP="00265875">
            <w:pPr>
              <w:pStyle w:val="TableParagraph"/>
              <w:rPr>
                <w:lang w:val="es-ES_tradnl"/>
              </w:rPr>
            </w:pPr>
          </w:p>
          <w:p w14:paraId="1A09D3F5" w14:textId="77777777" w:rsidR="00DE072E" w:rsidRPr="00956E59" w:rsidRDefault="00DE072E" w:rsidP="00265875">
            <w:pPr>
              <w:pStyle w:val="TableParagraph"/>
              <w:rPr>
                <w:lang w:val="es-ES_tradnl"/>
              </w:rPr>
            </w:pPr>
          </w:p>
          <w:p w14:paraId="06151E99" w14:textId="77777777" w:rsidR="00DE072E" w:rsidRPr="00956E59" w:rsidRDefault="00DE072E" w:rsidP="00265875">
            <w:pPr>
              <w:pStyle w:val="TableParagraph"/>
              <w:rPr>
                <w:lang w:val="es-ES_tradnl"/>
              </w:rPr>
            </w:pPr>
          </w:p>
          <w:p w14:paraId="734376B8" w14:textId="77777777" w:rsidR="00DE072E" w:rsidRPr="00956E59" w:rsidRDefault="00DE072E" w:rsidP="00265875">
            <w:pPr>
              <w:pStyle w:val="TableParagraph"/>
              <w:rPr>
                <w:lang w:val="es-ES_tradnl"/>
              </w:rPr>
            </w:pPr>
          </w:p>
          <w:p w14:paraId="7E2E7850" w14:textId="77777777" w:rsidR="003C19DB" w:rsidRPr="00956E59" w:rsidRDefault="00186CD0">
            <w:pPr>
              <w:pStyle w:val="TableParagraph"/>
              <w:rPr>
                <w:lang w:val="es-ES_tradnl"/>
              </w:rPr>
            </w:pPr>
            <w:r w:rsidRPr="00956E59">
              <w:rPr>
                <w:lang w:val="es-ES_tradnl"/>
              </w:rPr>
              <w:t>****</w:t>
            </w:r>
          </w:p>
          <w:p w14:paraId="57CA7E7C" w14:textId="77777777" w:rsidR="00DE072E" w:rsidRPr="00956E59" w:rsidRDefault="00DE072E" w:rsidP="00265875">
            <w:pPr>
              <w:pStyle w:val="TableParagraph"/>
              <w:rPr>
                <w:lang w:val="es-ES_tradnl"/>
              </w:rPr>
            </w:pPr>
          </w:p>
          <w:p w14:paraId="0E634AC5" w14:textId="77777777" w:rsidR="00DE072E" w:rsidRPr="00956E59" w:rsidRDefault="00DE072E" w:rsidP="00265875">
            <w:pPr>
              <w:pStyle w:val="TableParagraph"/>
              <w:rPr>
                <w:lang w:val="es-ES_tradnl"/>
              </w:rPr>
            </w:pPr>
          </w:p>
          <w:p w14:paraId="12381460" w14:textId="77777777" w:rsidR="00DE072E" w:rsidRPr="00956E59" w:rsidRDefault="00DE072E" w:rsidP="00265875">
            <w:pPr>
              <w:pStyle w:val="TableParagraph"/>
              <w:rPr>
                <w:lang w:val="es-ES_tradnl"/>
              </w:rPr>
            </w:pPr>
          </w:p>
          <w:p w14:paraId="0C72722E" w14:textId="77777777" w:rsidR="00DE072E" w:rsidRPr="00956E59" w:rsidRDefault="00DE072E" w:rsidP="00265875">
            <w:pPr>
              <w:pStyle w:val="TableParagraph"/>
              <w:rPr>
                <w:lang w:val="es-ES_tradnl"/>
              </w:rPr>
            </w:pPr>
          </w:p>
          <w:p w14:paraId="1D93173E" w14:textId="77777777" w:rsidR="00DE072E" w:rsidRPr="00956E59" w:rsidRDefault="00DE072E" w:rsidP="00265875">
            <w:pPr>
              <w:pStyle w:val="TableParagraph"/>
              <w:rPr>
                <w:lang w:val="es-ES_tradnl"/>
              </w:rPr>
            </w:pPr>
          </w:p>
          <w:p w14:paraId="2EEF78C5" w14:textId="77777777" w:rsidR="00DE072E" w:rsidRPr="00956E59" w:rsidRDefault="00DE072E" w:rsidP="00265875">
            <w:pPr>
              <w:pStyle w:val="TableParagraph"/>
              <w:rPr>
                <w:lang w:val="es-ES_tradnl"/>
              </w:rPr>
            </w:pPr>
          </w:p>
          <w:p w14:paraId="33F8EFD7" w14:textId="77777777" w:rsidR="003C19DB" w:rsidRPr="00956E59" w:rsidRDefault="00186CD0">
            <w:pPr>
              <w:pStyle w:val="TableParagraph"/>
              <w:rPr>
                <w:lang w:val="es-ES_tradnl"/>
              </w:rPr>
            </w:pPr>
            <w:r w:rsidRPr="00956E59">
              <w:rPr>
                <w:lang w:val="es-ES_tradnl"/>
              </w:rPr>
              <w:t>****</w:t>
            </w:r>
          </w:p>
          <w:p w14:paraId="7015CF83" w14:textId="77777777" w:rsidR="00DE072E" w:rsidRPr="00956E59" w:rsidRDefault="00DE072E" w:rsidP="00265875">
            <w:pPr>
              <w:pStyle w:val="TableParagraph"/>
              <w:rPr>
                <w:lang w:val="es-ES_tradnl"/>
              </w:rPr>
            </w:pPr>
          </w:p>
          <w:p w14:paraId="0FC6CE94" w14:textId="77777777" w:rsidR="00DE072E" w:rsidRPr="00956E59" w:rsidRDefault="00DE072E" w:rsidP="00265875">
            <w:pPr>
              <w:pStyle w:val="TableParagraph"/>
              <w:rPr>
                <w:lang w:val="es-ES_tradnl"/>
              </w:rPr>
            </w:pPr>
          </w:p>
        </w:tc>
      </w:tr>
      <w:tr w:rsidR="00DE072E" w:rsidRPr="00956E59" w14:paraId="495A6736" w14:textId="77777777" w:rsidTr="00265875">
        <w:trPr>
          <w:trHeight w:val="510"/>
        </w:trPr>
        <w:tc>
          <w:tcPr>
            <w:tcW w:w="2410" w:type="dxa"/>
            <w:tcBorders>
              <w:right w:val="single" w:sz="6" w:space="0" w:color="000000"/>
            </w:tcBorders>
            <w:vAlign w:val="center"/>
          </w:tcPr>
          <w:p w14:paraId="7DAC2A55" w14:textId="2BC2E0AA" w:rsidR="003C19DB" w:rsidRPr="00956E59" w:rsidRDefault="00B7652C">
            <w:pPr>
              <w:rPr>
                <w:bCs/>
                <w:lang w:val="es-ES_tradnl"/>
              </w:rPr>
            </w:pPr>
            <w:r w:rsidRPr="00956E59">
              <w:rPr>
                <w:bCs/>
                <w:lang w:val="es-ES_tradnl"/>
              </w:rPr>
              <w:t>Producto</w:t>
            </w:r>
            <w:r w:rsidR="00186CD0" w:rsidRPr="00956E59">
              <w:rPr>
                <w:bCs/>
                <w:lang w:val="es-ES_tradnl"/>
              </w:rPr>
              <w:t xml:space="preserve"> 2: </w:t>
            </w:r>
            <w:r w:rsidRPr="00956E59">
              <w:rPr>
                <w:bCs/>
                <w:lang w:val="es-ES_tradnl"/>
              </w:rPr>
              <w:t>Mejorar el conocimiento de la situación actual de la concesión de licencias en el entorno digital</w:t>
            </w:r>
          </w:p>
        </w:tc>
        <w:tc>
          <w:tcPr>
            <w:tcW w:w="2695" w:type="dxa"/>
            <w:tcBorders>
              <w:top w:val="single" w:sz="6" w:space="0" w:color="000000"/>
              <w:left w:val="single" w:sz="6" w:space="0" w:color="000000"/>
              <w:bottom w:val="single" w:sz="6" w:space="0" w:color="000000"/>
            </w:tcBorders>
          </w:tcPr>
          <w:p w14:paraId="50E0FABC" w14:textId="3AD12C37" w:rsidR="003C19DB" w:rsidRPr="00956E59" w:rsidRDefault="00186CD0">
            <w:pPr>
              <w:rPr>
                <w:lang w:val="es-ES_tradnl"/>
              </w:rPr>
            </w:pPr>
            <w:r w:rsidRPr="00956E59">
              <w:rPr>
                <w:lang w:val="es-ES_tradnl"/>
              </w:rPr>
              <w:t xml:space="preserve">Actividad 1. </w:t>
            </w:r>
            <w:r w:rsidR="00B7652C" w:rsidRPr="00956E59">
              <w:rPr>
                <w:lang w:val="es-ES_tradnl"/>
              </w:rPr>
              <w:t>Realización de una evaluación del proceso de distribución de contenidos por canales digitales en determinados países</w:t>
            </w:r>
            <w:r w:rsidRPr="00956E59">
              <w:rPr>
                <w:lang w:val="es-ES_tradnl"/>
              </w:rPr>
              <w:t>.</w:t>
            </w:r>
          </w:p>
          <w:p w14:paraId="61FFE1E0" w14:textId="77777777" w:rsidR="00DE072E" w:rsidRPr="00956E59" w:rsidRDefault="00DE072E" w:rsidP="00265875">
            <w:pPr>
              <w:rPr>
                <w:lang w:val="es-ES_tradnl"/>
              </w:rPr>
            </w:pPr>
          </w:p>
          <w:p w14:paraId="30893793" w14:textId="704603EB" w:rsidR="003C19DB" w:rsidRPr="00956E59" w:rsidRDefault="00186CD0" w:rsidP="00B7652C">
            <w:pPr>
              <w:spacing w:after="240"/>
              <w:rPr>
                <w:lang w:val="es-ES_tradnl"/>
              </w:rPr>
            </w:pPr>
            <w:r w:rsidRPr="00956E59">
              <w:rPr>
                <w:lang w:val="es-ES_tradnl"/>
              </w:rPr>
              <w:t xml:space="preserve">Actividad 2. </w:t>
            </w:r>
            <w:r w:rsidR="00B7652C" w:rsidRPr="00956E59">
              <w:rPr>
                <w:lang w:val="es-ES_tradnl"/>
              </w:rPr>
              <w:t>Realización de un estudio económico sobre el mercado audiovisual digital</w:t>
            </w:r>
            <w:r w:rsidRPr="00956E59">
              <w:rPr>
                <w:lang w:val="es-ES_tradnl"/>
              </w:rPr>
              <w:t>.</w:t>
            </w:r>
          </w:p>
          <w:p w14:paraId="1B25DD25" w14:textId="77777777" w:rsidR="00DE072E" w:rsidRPr="00956E59" w:rsidRDefault="00DE072E" w:rsidP="00265875">
            <w:pPr>
              <w:spacing w:after="240"/>
              <w:rPr>
                <w:lang w:val="es-ES_tradnl"/>
              </w:rPr>
            </w:pPr>
          </w:p>
          <w:p w14:paraId="16A186A5" w14:textId="1ABDA4D6" w:rsidR="003C19DB" w:rsidRPr="00956E59" w:rsidRDefault="00186CD0" w:rsidP="00B7652C">
            <w:pPr>
              <w:spacing w:after="240"/>
              <w:rPr>
                <w:lang w:val="es-ES_tradnl"/>
              </w:rPr>
            </w:pPr>
            <w:r w:rsidRPr="00956E59">
              <w:rPr>
                <w:lang w:val="es-ES_tradnl"/>
              </w:rPr>
              <w:t xml:space="preserve">Actividad 3. </w:t>
            </w:r>
            <w:r w:rsidR="00B7652C" w:rsidRPr="00956E59">
              <w:rPr>
                <w:lang w:val="es-ES_tradnl"/>
              </w:rPr>
              <w:t>Celebración de dos talleres (cada uno de dos días de duración) para intercambiar información y evaluar la ejecución de los productos uno y dos</w:t>
            </w:r>
            <w:r w:rsidRPr="00956E59">
              <w:rPr>
                <w:lang w:val="es-ES_tradnl"/>
              </w:rPr>
              <w:t>.</w:t>
            </w:r>
          </w:p>
          <w:p w14:paraId="4DB7363E" w14:textId="3214D79B" w:rsidR="003C19DB" w:rsidRPr="00956E59" w:rsidRDefault="00186CD0">
            <w:pPr>
              <w:rPr>
                <w:lang w:val="es-ES_tradnl"/>
              </w:rPr>
            </w:pPr>
            <w:r w:rsidRPr="00956E59">
              <w:rPr>
                <w:lang w:val="es-ES_tradnl"/>
              </w:rPr>
              <w:t xml:space="preserve">Actividad 4. </w:t>
            </w:r>
            <w:r w:rsidR="00B7652C" w:rsidRPr="00956E59">
              <w:rPr>
                <w:lang w:val="es-ES_tradnl"/>
              </w:rPr>
              <w:t>Celebración de un seminario sobre el derecho de autor y la distribución de contenidos en el entorno digital.</w:t>
            </w:r>
          </w:p>
        </w:tc>
        <w:tc>
          <w:tcPr>
            <w:tcW w:w="3401" w:type="dxa"/>
            <w:vAlign w:val="center"/>
          </w:tcPr>
          <w:p w14:paraId="08A8BB3F" w14:textId="0E856C9B" w:rsidR="003C19DB" w:rsidRPr="00956E59" w:rsidRDefault="00B7652C">
            <w:pPr>
              <w:spacing w:after="720"/>
              <w:rPr>
                <w:lang w:val="es-ES_tradnl"/>
              </w:rPr>
            </w:pPr>
            <w:r w:rsidRPr="00956E59">
              <w:rPr>
                <w:lang w:val="es-ES_tradnl"/>
              </w:rPr>
              <w:t>S</w:t>
            </w:r>
            <w:r w:rsidR="00186CD0" w:rsidRPr="00956E59">
              <w:rPr>
                <w:lang w:val="es-ES_tradnl"/>
              </w:rPr>
              <w:t>iete estudios de caso. dacatalogue.wipo.int/</w:t>
            </w:r>
            <w:proofErr w:type="spellStart"/>
            <w:r w:rsidR="00186CD0" w:rsidRPr="00956E59">
              <w:rPr>
                <w:lang w:val="es-ES_tradnl"/>
              </w:rPr>
              <w:t>projects</w:t>
            </w:r>
            <w:proofErr w:type="spellEnd"/>
            <w:r w:rsidR="00186CD0" w:rsidRPr="00956E59">
              <w:rPr>
                <w:lang w:val="es-ES_tradnl"/>
              </w:rPr>
              <w:t xml:space="preserve">/DA_1_3_4_10_11_16_25_35_01 </w:t>
            </w:r>
          </w:p>
          <w:p w14:paraId="4C2427BE" w14:textId="77777777" w:rsidR="003C19DB" w:rsidRPr="00956E59" w:rsidRDefault="00186CD0">
            <w:pPr>
              <w:spacing w:before="480" w:after="240"/>
              <w:rPr>
                <w:lang w:val="es-ES_tradnl"/>
              </w:rPr>
            </w:pPr>
            <w:r w:rsidRPr="00956E59">
              <w:rPr>
                <w:lang w:val="es-ES_tradnl"/>
              </w:rPr>
              <w:t xml:space="preserve">Finalizado y disponible en: </w:t>
            </w:r>
            <w:hyperlink r:id="rId28" w:history="1">
              <w:r w:rsidRPr="00956E59">
                <w:rPr>
                  <w:rStyle w:val="Hyperlink"/>
                  <w:lang w:val="es-ES_tradnl"/>
                </w:rPr>
                <w:t>dacatalogue.wipo.int/projectfiles/DA_1_3_4_10_11_16_25_35_01/Orphan_Works/EN/LATAM%20AV%20study_Public_Domain_ES.</w:t>
              </w:r>
            </w:hyperlink>
            <w:r w:rsidRPr="00956E59" w:rsidDel="00DE7ABA">
              <w:rPr>
                <w:lang w:val="es-ES_tradnl"/>
              </w:rPr>
              <w:t xml:space="preserve">pdf   </w:t>
            </w:r>
          </w:p>
          <w:p w14:paraId="22158548" w14:textId="77777777" w:rsidR="003C19DB" w:rsidRPr="00956E59" w:rsidRDefault="00186CD0">
            <w:pPr>
              <w:rPr>
                <w:lang w:val="es-ES_tradnl"/>
              </w:rPr>
            </w:pPr>
            <w:r w:rsidRPr="00956E59">
              <w:rPr>
                <w:lang w:val="es-ES_tradnl"/>
              </w:rPr>
              <w:t>Finalizado en diciembre de 2022.</w:t>
            </w:r>
          </w:p>
          <w:p w14:paraId="2EA6EC28" w14:textId="77777777" w:rsidR="00DE072E" w:rsidRPr="00956E59" w:rsidRDefault="00DE072E" w:rsidP="00265875">
            <w:pPr>
              <w:rPr>
                <w:lang w:val="es-ES_tradnl"/>
              </w:rPr>
            </w:pPr>
          </w:p>
          <w:p w14:paraId="54BE7B91" w14:textId="77777777" w:rsidR="00DE072E" w:rsidRPr="00956E59" w:rsidRDefault="00DE072E" w:rsidP="00265875">
            <w:pPr>
              <w:rPr>
                <w:lang w:val="es-ES_tradnl"/>
              </w:rPr>
            </w:pPr>
          </w:p>
          <w:p w14:paraId="2A975CFE" w14:textId="77777777" w:rsidR="00DE072E" w:rsidRPr="00956E59" w:rsidRDefault="00DE072E" w:rsidP="00265875">
            <w:pPr>
              <w:rPr>
                <w:lang w:val="es-ES_tradnl"/>
              </w:rPr>
            </w:pPr>
          </w:p>
          <w:p w14:paraId="0BD744A8" w14:textId="77777777" w:rsidR="00DE072E" w:rsidRPr="00956E59" w:rsidRDefault="00DE072E" w:rsidP="00265875">
            <w:pPr>
              <w:rPr>
                <w:lang w:val="es-ES_tradnl"/>
              </w:rPr>
            </w:pPr>
          </w:p>
          <w:p w14:paraId="5C71A657" w14:textId="77777777" w:rsidR="00DE072E" w:rsidRPr="00956E59" w:rsidRDefault="00DE072E" w:rsidP="00265875">
            <w:pPr>
              <w:rPr>
                <w:lang w:val="es-ES_tradnl"/>
              </w:rPr>
            </w:pPr>
          </w:p>
          <w:p w14:paraId="0F07321F" w14:textId="77777777" w:rsidR="00DE072E" w:rsidRPr="00956E59" w:rsidRDefault="00DE072E" w:rsidP="00265875">
            <w:pPr>
              <w:rPr>
                <w:lang w:val="es-ES_tradnl"/>
              </w:rPr>
            </w:pPr>
          </w:p>
          <w:p w14:paraId="221A92ED" w14:textId="2FA4237E" w:rsidR="003C19DB" w:rsidRPr="00956E59" w:rsidRDefault="00186CD0">
            <w:pPr>
              <w:rPr>
                <w:lang w:val="es-ES_tradnl"/>
              </w:rPr>
            </w:pPr>
            <w:r w:rsidRPr="00956E59">
              <w:rPr>
                <w:lang w:val="es-ES_tradnl"/>
              </w:rPr>
              <w:t>Finalizado</w:t>
            </w:r>
            <w:r w:rsidR="00B7652C" w:rsidRPr="00956E59">
              <w:rPr>
                <w:lang w:val="es-ES_tradnl"/>
              </w:rPr>
              <w:t>s</w:t>
            </w:r>
            <w:r w:rsidRPr="00956E59">
              <w:rPr>
                <w:lang w:val="es-ES_tradnl"/>
              </w:rPr>
              <w:t xml:space="preserve"> en junio de 2023.</w:t>
            </w:r>
          </w:p>
        </w:tc>
        <w:tc>
          <w:tcPr>
            <w:tcW w:w="876" w:type="dxa"/>
          </w:tcPr>
          <w:p w14:paraId="70834265" w14:textId="77777777" w:rsidR="003C19DB" w:rsidRPr="00956E59" w:rsidRDefault="00186CD0">
            <w:pPr>
              <w:pStyle w:val="TableParagraph"/>
              <w:rPr>
                <w:lang w:val="es-ES_tradnl"/>
              </w:rPr>
            </w:pPr>
            <w:r w:rsidRPr="00956E59">
              <w:rPr>
                <w:lang w:val="es-ES_tradnl"/>
              </w:rPr>
              <w:t>****</w:t>
            </w:r>
          </w:p>
          <w:p w14:paraId="769714A6" w14:textId="77777777" w:rsidR="00DE072E" w:rsidRPr="00956E59" w:rsidRDefault="00DE072E" w:rsidP="00265875">
            <w:pPr>
              <w:pStyle w:val="TableParagraph"/>
              <w:rPr>
                <w:lang w:val="es-ES_tradnl"/>
              </w:rPr>
            </w:pPr>
          </w:p>
          <w:p w14:paraId="1D001D2B" w14:textId="77777777" w:rsidR="00DE072E" w:rsidRPr="00956E59" w:rsidRDefault="00DE072E" w:rsidP="00265875">
            <w:pPr>
              <w:pStyle w:val="TableParagraph"/>
              <w:rPr>
                <w:lang w:val="es-ES_tradnl"/>
              </w:rPr>
            </w:pPr>
          </w:p>
          <w:p w14:paraId="286BADA6" w14:textId="77777777" w:rsidR="00DE072E" w:rsidRPr="00956E59" w:rsidRDefault="00DE072E" w:rsidP="00265875">
            <w:pPr>
              <w:pStyle w:val="TableParagraph"/>
              <w:rPr>
                <w:lang w:val="es-ES_tradnl"/>
              </w:rPr>
            </w:pPr>
          </w:p>
          <w:p w14:paraId="45F18788" w14:textId="77777777" w:rsidR="00DE072E" w:rsidRPr="00956E59" w:rsidRDefault="00DE072E" w:rsidP="00265875">
            <w:pPr>
              <w:pStyle w:val="TableParagraph"/>
              <w:rPr>
                <w:lang w:val="es-ES_tradnl"/>
              </w:rPr>
            </w:pPr>
          </w:p>
          <w:p w14:paraId="5DE93828" w14:textId="77777777" w:rsidR="00DE072E" w:rsidRPr="00956E59" w:rsidRDefault="00DE072E" w:rsidP="00265875">
            <w:pPr>
              <w:pStyle w:val="TableParagraph"/>
              <w:rPr>
                <w:lang w:val="es-ES_tradnl"/>
              </w:rPr>
            </w:pPr>
          </w:p>
          <w:p w14:paraId="571C48DF" w14:textId="77777777" w:rsidR="00DE072E" w:rsidRPr="00956E59" w:rsidRDefault="00DE072E" w:rsidP="00265875">
            <w:pPr>
              <w:pStyle w:val="TableParagraph"/>
              <w:rPr>
                <w:lang w:val="es-ES_tradnl"/>
              </w:rPr>
            </w:pPr>
          </w:p>
          <w:p w14:paraId="732473E4" w14:textId="77777777" w:rsidR="003C19DB" w:rsidRPr="00956E59" w:rsidRDefault="00186CD0">
            <w:pPr>
              <w:pStyle w:val="TableParagraph"/>
              <w:rPr>
                <w:lang w:val="es-ES_tradnl"/>
              </w:rPr>
            </w:pPr>
            <w:r w:rsidRPr="00956E59">
              <w:rPr>
                <w:lang w:val="es-ES_tradnl"/>
              </w:rPr>
              <w:t>****</w:t>
            </w:r>
          </w:p>
          <w:p w14:paraId="587EECB6" w14:textId="77777777" w:rsidR="00DE072E" w:rsidRPr="00956E59" w:rsidRDefault="00DE072E" w:rsidP="00265875">
            <w:pPr>
              <w:pStyle w:val="TableParagraph"/>
              <w:rPr>
                <w:lang w:val="es-ES_tradnl"/>
              </w:rPr>
            </w:pPr>
          </w:p>
          <w:p w14:paraId="184BD7C3" w14:textId="77777777" w:rsidR="00DE072E" w:rsidRPr="00956E59" w:rsidRDefault="00DE072E" w:rsidP="00265875">
            <w:pPr>
              <w:pStyle w:val="TableParagraph"/>
              <w:rPr>
                <w:lang w:val="es-ES_tradnl"/>
              </w:rPr>
            </w:pPr>
          </w:p>
          <w:p w14:paraId="30A11EEB" w14:textId="77777777" w:rsidR="00DE072E" w:rsidRPr="00956E59" w:rsidRDefault="00DE072E" w:rsidP="00265875">
            <w:pPr>
              <w:pStyle w:val="TableParagraph"/>
              <w:rPr>
                <w:lang w:val="es-ES_tradnl"/>
              </w:rPr>
            </w:pPr>
          </w:p>
          <w:p w14:paraId="302BF75C" w14:textId="77777777" w:rsidR="00DE072E" w:rsidRPr="00956E59" w:rsidRDefault="00DE072E" w:rsidP="00265875">
            <w:pPr>
              <w:pStyle w:val="TableParagraph"/>
              <w:rPr>
                <w:lang w:val="es-ES_tradnl"/>
              </w:rPr>
            </w:pPr>
          </w:p>
          <w:p w14:paraId="21BD6408" w14:textId="77777777" w:rsidR="00DE072E" w:rsidRPr="00956E59" w:rsidRDefault="00DE072E" w:rsidP="00265875">
            <w:pPr>
              <w:pStyle w:val="TableParagraph"/>
              <w:rPr>
                <w:lang w:val="es-ES_tradnl"/>
              </w:rPr>
            </w:pPr>
          </w:p>
          <w:p w14:paraId="79B3580D" w14:textId="77777777" w:rsidR="003C19DB" w:rsidRPr="00956E59" w:rsidRDefault="00186CD0">
            <w:pPr>
              <w:pStyle w:val="TableParagraph"/>
              <w:rPr>
                <w:lang w:val="es-ES_tradnl"/>
              </w:rPr>
            </w:pPr>
            <w:r w:rsidRPr="00956E59">
              <w:rPr>
                <w:lang w:val="es-ES_tradnl"/>
              </w:rPr>
              <w:t>****</w:t>
            </w:r>
          </w:p>
          <w:p w14:paraId="7045E00F" w14:textId="77777777" w:rsidR="00DE072E" w:rsidRPr="00956E59" w:rsidRDefault="00DE072E" w:rsidP="00265875">
            <w:pPr>
              <w:pStyle w:val="TableParagraph"/>
              <w:rPr>
                <w:lang w:val="es-ES_tradnl"/>
              </w:rPr>
            </w:pPr>
          </w:p>
          <w:p w14:paraId="43B18AAC" w14:textId="77777777" w:rsidR="00DE072E" w:rsidRPr="00956E59" w:rsidRDefault="00DE072E" w:rsidP="00265875">
            <w:pPr>
              <w:pStyle w:val="TableParagraph"/>
              <w:rPr>
                <w:lang w:val="es-ES_tradnl"/>
              </w:rPr>
            </w:pPr>
          </w:p>
          <w:p w14:paraId="0D21BFA1" w14:textId="77777777" w:rsidR="00DE072E" w:rsidRPr="00956E59" w:rsidRDefault="00DE072E" w:rsidP="00265875">
            <w:pPr>
              <w:pStyle w:val="TableParagraph"/>
              <w:rPr>
                <w:lang w:val="es-ES_tradnl"/>
              </w:rPr>
            </w:pPr>
          </w:p>
          <w:p w14:paraId="62C1407A" w14:textId="77777777" w:rsidR="00DE072E" w:rsidRPr="00956E59" w:rsidRDefault="00DE072E" w:rsidP="00265875">
            <w:pPr>
              <w:pStyle w:val="TableParagraph"/>
              <w:rPr>
                <w:lang w:val="es-ES_tradnl"/>
              </w:rPr>
            </w:pPr>
          </w:p>
          <w:p w14:paraId="2AD382FB" w14:textId="77777777" w:rsidR="00DE072E" w:rsidRPr="00956E59" w:rsidRDefault="00DE072E" w:rsidP="00265875">
            <w:pPr>
              <w:pStyle w:val="TableParagraph"/>
              <w:rPr>
                <w:lang w:val="es-ES_tradnl"/>
              </w:rPr>
            </w:pPr>
          </w:p>
          <w:p w14:paraId="0F5497ED" w14:textId="77777777" w:rsidR="00DE072E" w:rsidRPr="00956E59" w:rsidRDefault="00DE072E" w:rsidP="00265875">
            <w:pPr>
              <w:pStyle w:val="TableParagraph"/>
              <w:rPr>
                <w:lang w:val="es-ES_tradnl"/>
              </w:rPr>
            </w:pPr>
          </w:p>
          <w:p w14:paraId="3B55102D" w14:textId="77777777" w:rsidR="003C19DB" w:rsidRPr="00956E59" w:rsidRDefault="00186CD0">
            <w:pPr>
              <w:pStyle w:val="TableParagraph"/>
              <w:rPr>
                <w:lang w:val="es-ES_tradnl"/>
              </w:rPr>
            </w:pPr>
            <w:r w:rsidRPr="00956E59">
              <w:rPr>
                <w:lang w:val="es-ES_tradnl"/>
              </w:rPr>
              <w:t>****</w:t>
            </w:r>
          </w:p>
        </w:tc>
      </w:tr>
    </w:tbl>
    <w:p w14:paraId="2C366CCB" w14:textId="19374F1D" w:rsidR="003C19DB" w:rsidRPr="00956E59" w:rsidRDefault="0050699A">
      <w:pPr>
        <w:pStyle w:val="Endofdocument-Annex"/>
        <w:spacing w:before="720"/>
        <w:ind w:left="5530"/>
        <w:rPr>
          <w:lang w:val="es-ES_tradnl"/>
        </w:rPr>
      </w:pPr>
      <w:r w:rsidRPr="00956E59">
        <w:rPr>
          <w:lang w:val="es-ES_tradnl"/>
        </w:rPr>
        <w:t>[Sigue el Anexo II]</w:t>
      </w:r>
    </w:p>
    <w:p w14:paraId="3EF869FC" w14:textId="77777777" w:rsidR="00DE072E" w:rsidRPr="00956E59" w:rsidRDefault="00DE072E" w:rsidP="00DE072E">
      <w:pPr>
        <w:pStyle w:val="Endofdocument-Annex"/>
        <w:spacing w:before="720"/>
        <w:ind w:left="0"/>
        <w:rPr>
          <w:lang w:val="es-ES_tradnl"/>
        </w:rPr>
        <w:sectPr w:rsidR="00DE072E" w:rsidRPr="00956E59" w:rsidSect="00A820D6">
          <w:headerReference w:type="first" r:id="rId29"/>
          <w:pgSz w:w="11907" w:h="16840" w:code="9"/>
          <w:pgMar w:top="540" w:right="1417" w:bottom="1417" w:left="1417" w:header="504" w:footer="1022" w:gutter="0"/>
          <w:pgNumType w:start="1"/>
          <w:cols w:space="720"/>
          <w:titlePg/>
          <w:docGrid w:linePitch="299"/>
        </w:sectPr>
      </w:pPr>
    </w:p>
    <w:tbl>
      <w:tblPr>
        <w:tblW w:w="10055" w:type="dxa"/>
        <w:tblLook w:val="04A0" w:firstRow="1" w:lastRow="0" w:firstColumn="1" w:lastColumn="0" w:noHBand="0" w:noVBand="1"/>
      </w:tblPr>
      <w:tblGrid>
        <w:gridCol w:w="4942"/>
        <w:gridCol w:w="1890"/>
        <w:gridCol w:w="1323"/>
        <w:gridCol w:w="1900"/>
      </w:tblGrid>
      <w:tr w:rsidR="00DE072E" w:rsidRPr="00956E59" w14:paraId="3CB5C158" w14:textId="77777777" w:rsidTr="00265875">
        <w:trPr>
          <w:trHeight w:val="240"/>
        </w:trPr>
        <w:tc>
          <w:tcPr>
            <w:tcW w:w="4942" w:type="dxa"/>
            <w:tcBorders>
              <w:top w:val="nil"/>
              <w:left w:val="nil"/>
              <w:bottom w:val="nil"/>
              <w:right w:val="nil"/>
            </w:tcBorders>
            <w:shd w:val="clear" w:color="auto" w:fill="auto"/>
            <w:noWrap/>
            <w:vAlign w:val="bottom"/>
            <w:hideMark/>
          </w:tcPr>
          <w:p w14:paraId="5B06B1E6" w14:textId="77777777" w:rsidR="00DE072E" w:rsidRPr="00956E59" w:rsidRDefault="00DE072E" w:rsidP="00265875">
            <w:pPr>
              <w:rPr>
                <w:rFonts w:ascii="Times New Roman" w:hAnsi="Times New Roman" w:cs="Times New Roman"/>
                <w:sz w:val="20"/>
                <w:lang w:val="es-ES_tradnl"/>
              </w:rPr>
            </w:pPr>
          </w:p>
        </w:tc>
        <w:tc>
          <w:tcPr>
            <w:tcW w:w="1890" w:type="dxa"/>
            <w:tcBorders>
              <w:top w:val="nil"/>
              <w:left w:val="nil"/>
              <w:bottom w:val="nil"/>
              <w:right w:val="nil"/>
            </w:tcBorders>
            <w:shd w:val="clear" w:color="auto" w:fill="auto"/>
            <w:noWrap/>
            <w:vAlign w:val="bottom"/>
            <w:hideMark/>
          </w:tcPr>
          <w:p w14:paraId="2AE3BE17" w14:textId="77777777" w:rsidR="00DE072E" w:rsidRPr="00956E59" w:rsidRDefault="00DE072E" w:rsidP="00265875">
            <w:pPr>
              <w:rPr>
                <w:rFonts w:ascii="Times New Roman" w:hAnsi="Times New Roman" w:cs="Times New Roman"/>
                <w:sz w:val="20"/>
                <w:lang w:val="es-ES_tradnl"/>
              </w:rPr>
            </w:pPr>
          </w:p>
        </w:tc>
        <w:tc>
          <w:tcPr>
            <w:tcW w:w="1323" w:type="dxa"/>
            <w:tcBorders>
              <w:top w:val="nil"/>
              <w:left w:val="nil"/>
              <w:bottom w:val="nil"/>
              <w:right w:val="nil"/>
            </w:tcBorders>
            <w:shd w:val="clear" w:color="auto" w:fill="auto"/>
            <w:noWrap/>
            <w:vAlign w:val="bottom"/>
            <w:hideMark/>
          </w:tcPr>
          <w:p w14:paraId="7E0043A8" w14:textId="77777777" w:rsidR="00DE072E" w:rsidRPr="00956E59" w:rsidRDefault="00DE072E" w:rsidP="00265875">
            <w:pPr>
              <w:rPr>
                <w:rFonts w:ascii="Times New Roman" w:hAnsi="Times New Roman" w:cs="Times New Roman"/>
                <w:sz w:val="20"/>
                <w:lang w:val="es-ES_tradnl"/>
              </w:rPr>
            </w:pPr>
          </w:p>
        </w:tc>
        <w:tc>
          <w:tcPr>
            <w:tcW w:w="1900" w:type="dxa"/>
            <w:tcBorders>
              <w:top w:val="nil"/>
              <w:left w:val="nil"/>
              <w:bottom w:val="nil"/>
              <w:right w:val="nil"/>
            </w:tcBorders>
            <w:shd w:val="clear" w:color="auto" w:fill="auto"/>
            <w:noWrap/>
            <w:vAlign w:val="bottom"/>
            <w:hideMark/>
          </w:tcPr>
          <w:p w14:paraId="6B3072EC" w14:textId="77777777" w:rsidR="00DE072E" w:rsidRPr="00956E59" w:rsidRDefault="00DE072E" w:rsidP="00265875">
            <w:pPr>
              <w:rPr>
                <w:rFonts w:ascii="Times New Roman" w:hAnsi="Times New Roman" w:cs="Times New Roman"/>
                <w:sz w:val="20"/>
                <w:lang w:val="es-ES_tradnl"/>
              </w:rPr>
            </w:pPr>
          </w:p>
        </w:tc>
      </w:tr>
      <w:tr w:rsidR="00DE072E" w:rsidRPr="00956E59" w14:paraId="091425CC" w14:textId="77777777" w:rsidTr="00265875">
        <w:trPr>
          <w:trHeight w:val="240"/>
        </w:trPr>
        <w:tc>
          <w:tcPr>
            <w:tcW w:w="4942" w:type="dxa"/>
            <w:tcBorders>
              <w:top w:val="nil"/>
              <w:left w:val="nil"/>
              <w:bottom w:val="nil"/>
              <w:right w:val="nil"/>
            </w:tcBorders>
            <w:shd w:val="clear" w:color="auto" w:fill="auto"/>
            <w:noWrap/>
            <w:vAlign w:val="bottom"/>
          </w:tcPr>
          <w:p w14:paraId="23C71F51" w14:textId="77777777" w:rsidR="00DE072E" w:rsidRPr="00956E59" w:rsidRDefault="00DE072E" w:rsidP="00265875">
            <w:pPr>
              <w:rPr>
                <w:rFonts w:ascii="Times New Roman" w:hAnsi="Times New Roman" w:cs="Times New Roman"/>
                <w:sz w:val="20"/>
                <w:lang w:val="es-ES_tradnl"/>
              </w:rPr>
            </w:pPr>
          </w:p>
        </w:tc>
        <w:tc>
          <w:tcPr>
            <w:tcW w:w="1890" w:type="dxa"/>
            <w:tcBorders>
              <w:top w:val="nil"/>
              <w:left w:val="nil"/>
              <w:bottom w:val="nil"/>
              <w:right w:val="nil"/>
            </w:tcBorders>
            <w:shd w:val="clear" w:color="auto" w:fill="auto"/>
            <w:noWrap/>
            <w:vAlign w:val="bottom"/>
          </w:tcPr>
          <w:p w14:paraId="290931CE" w14:textId="77777777" w:rsidR="00DE072E" w:rsidRPr="00956E59" w:rsidRDefault="00DE072E" w:rsidP="00265875">
            <w:pPr>
              <w:rPr>
                <w:rFonts w:ascii="Times New Roman" w:hAnsi="Times New Roman" w:cs="Times New Roman"/>
                <w:sz w:val="20"/>
                <w:lang w:val="es-ES_tradnl"/>
              </w:rPr>
            </w:pPr>
          </w:p>
        </w:tc>
        <w:tc>
          <w:tcPr>
            <w:tcW w:w="1323" w:type="dxa"/>
            <w:tcBorders>
              <w:top w:val="nil"/>
              <w:left w:val="nil"/>
              <w:bottom w:val="nil"/>
              <w:right w:val="nil"/>
            </w:tcBorders>
            <w:shd w:val="clear" w:color="auto" w:fill="auto"/>
            <w:noWrap/>
            <w:vAlign w:val="bottom"/>
          </w:tcPr>
          <w:p w14:paraId="60C87B55" w14:textId="77777777" w:rsidR="00DE072E" w:rsidRPr="00956E59" w:rsidRDefault="00DE072E" w:rsidP="00265875">
            <w:pPr>
              <w:rPr>
                <w:rFonts w:ascii="Times New Roman" w:hAnsi="Times New Roman" w:cs="Times New Roman"/>
                <w:sz w:val="20"/>
                <w:lang w:val="es-ES_tradnl"/>
              </w:rPr>
            </w:pPr>
          </w:p>
        </w:tc>
        <w:tc>
          <w:tcPr>
            <w:tcW w:w="1900" w:type="dxa"/>
            <w:tcBorders>
              <w:top w:val="nil"/>
              <w:left w:val="nil"/>
              <w:bottom w:val="nil"/>
              <w:right w:val="nil"/>
            </w:tcBorders>
            <w:shd w:val="clear" w:color="auto" w:fill="auto"/>
            <w:noWrap/>
            <w:vAlign w:val="bottom"/>
          </w:tcPr>
          <w:p w14:paraId="0630615F" w14:textId="77777777" w:rsidR="00DE072E" w:rsidRPr="00956E59" w:rsidRDefault="00DE072E" w:rsidP="00265875">
            <w:pPr>
              <w:rPr>
                <w:rFonts w:ascii="Times New Roman" w:hAnsi="Times New Roman" w:cs="Times New Roman"/>
                <w:sz w:val="20"/>
                <w:lang w:val="es-ES_tradnl"/>
              </w:rPr>
            </w:pPr>
          </w:p>
        </w:tc>
      </w:tr>
      <w:tr w:rsidR="00DE072E" w:rsidRPr="00956E59" w14:paraId="033DF305" w14:textId="77777777" w:rsidTr="00265875">
        <w:trPr>
          <w:trHeight w:val="677"/>
        </w:trPr>
        <w:tc>
          <w:tcPr>
            <w:tcW w:w="10055" w:type="dxa"/>
            <w:gridSpan w:val="4"/>
            <w:tcBorders>
              <w:top w:val="nil"/>
              <w:left w:val="nil"/>
              <w:bottom w:val="nil"/>
              <w:right w:val="nil"/>
            </w:tcBorders>
            <w:shd w:val="clear" w:color="auto" w:fill="auto"/>
            <w:vAlign w:val="center"/>
            <w:hideMark/>
          </w:tcPr>
          <w:p w14:paraId="64FAC3FF" w14:textId="77777777" w:rsidR="003C19DB" w:rsidRPr="00956E59" w:rsidRDefault="00186CD0">
            <w:pPr>
              <w:rPr>
                <w:rFonts w:ascii="Arial Narrow" w:hAnsi="Arial Narrow"/>
                <w:b/>
                <w:bCs/>
                <w:color w:val="002839"/>
                <w:sz w:val="28"/>
                <w:szCs w:val="28"/>
                <w:lang w:val="es-ES_tradnl"/>
              </w:rPr>
            </w:pPr>
            <w:r w:rsidRPr="00956E59">
              <w:rPr>
                <w:rFonts w:ascii="Arial Narrow" w:hAnsi="Arial Narrow"/>
                <w:b/>
                <w:bCs/>
                <w:color w:val="002839"/>
                <w:sz w:val="28"/>
                <w:szCs w:val="28"/>
                <w:lang w:val="es-ES_tradnl"/>
              </w:rPr>
              <w:t xml:space="preserve">Proyecto de la AD sobre </w:t>
            </w:r>
            <w:r w:rsidR="00FE33D5" w:rsidRPr="00956E59">
              <w:rPr>
                <w:rFonts w:ascii="Arial Narrow" w:hAnsi="Arial Narrow"/>
                <w:b/>
                <w:bCs/>
                <w:color w:val="002839"/>
                <w:sz w:val="28"/>
                <w:szCs w:val="28"/>
                <w:lang w:val="es-ES_tradnl"/>
              </w:rPr>
              <w:t>derecho de autor</w:t>
            </w:r>
            <w:r w:rsidRPr="00956E59">
              <w:rPr>
                <w:rFonts w:ascii="Arial Narrow" w:hAnsi="Arial Narrow"/>
                <w:b/>
                <w:bCs/>
                <w:color w:val="002839"/>
                <w:sz w:val="28"/>
                <w:szCs w:val="28"/>
                <w:lang w:val="es-ES_tradnl"/>
              </w:rPr>
              <w:t xml:space="preserve"> y distribución de contenidos en el entorno digital </w:t>
            </w:r>
          </w:p>
        </w:tc>
      </w:tr>
      <w:tr w:rsidR="00DE072E" w:rsidRPr="00956E59" w14:paraId="6E8A2BFA" w14:textId="77777777" w:rsidTr="00265875">
        <w:trPr>
          <w:trHeight w:val="220"/>
        </w:trPr>
        <w:tc>
          <w:tcPr>
            <w:tcW w:w="4942" w:type="dxa"/>
            <w:tcBorders>
              <w:top w:val="nil"/>
              <w:left w:val="nil"/>
              <w:bottom w:val="single" w:sz="4" w:space="0" w:color="005172"/>
              <w:right w:val="nil"/>
            </w:tcBorders>
            <w:shd w:val="clear" w:color="auto" w:fill="auto"/>
            <w:noWrap/>
            <w:vAlign w:val="bottom"/>
            <w:hideMark/>
          </w:tcPr>
          <w:p w14:paraId="7AA0B113" w14:textId="77777777" w:rsidR="00DE072E" w:rsidRPr="00956E59" w:rsidRDefault="00DE072E" w:rsidP="00265875">
            <w:pPr>
              <w:rPr>
                <w:color w:val="000000"/>
                <w:sz w:val="20"/>
                <w:lang w:val="es-ES_tradnl"/>
              </w:rPr>
            </w:pPr>
            <w:r w:rsidRPr="00956E59">
              <w:rPr>
                <w:color w:val="000000"/>
                <w:sz w:val="20"/>
                <w:lang w:val="es-ES_tradnl"/>
              </w:rPr>
              <w:t> </w:t>
            </w:r>
          </w:p>
        </w:tc>
        <w:tc>
          <w:tcPr>
            <w:tcW w:w="1890" w:type="dxa"/>
            <w:tcBorders>
              <w:top w:val="nil"/>
              <w:left w:val="nil"/>
              <w:bottom w:val="single" w:sz="4" w:space="0" w:color="005172"/>
              <w:right w:val="nil"/>
            </w:tcBorders>
            <w:shd w:val="clear" w:color="auto" w:fill="auto"/>
            <w:noWrap/>
            <w:vAlign w:val="bottom"/>
            <w:hideMark/>
          </w:tcPr>
          <w:p w14:paraId="01B610D5" w14:textId="77777777" w:rsidR="00DE072E" w:rsidRPr="00956E59" w:rsidRDefault="00DE072E" w:rsidP="00265875">
            <w:pPr>
              <w:rPr>
                <w:color w:val="000000"/>
                <w:sz w:val="20"/>
                <w:lang w:val="es-ES_tradnl"/>
              </w:rPr>
            </w:pPr>
            <w:r w:rsidRPr="00956E59">
              <w:rPr>
                <w:color w:val="000000"/>
                <w:sz w:val="20"/>
                <w:lang w:val="es-ES_tradnl"/>
              </w:rPr>
              <w:t> </w:t>
            </w:r>
          </w:p>
        </w:tc>
        <w:tc>
          <w:tcPr>
            <w:tcW w:w="1323" w:type="dxa"/>
            <w:tcBorders>
              <w:top w:val="nil"/>
              <w:left w:val="nil"/>
              <w:bottom w:val="single" w:sz="4" w:space="0" w:color="005172"/>
              <w:right w:val="nil"/>
            </w:tcBorders>
            <w:shd w:val="clear" w:color="auto" w:fill="auto"/>
            <w:noWrap/>
            <w:vAlign w:val="bottom"/>
            <w:hideMark/>
          </w:tcPr>
          <w:p w14:paraId="40B06736" w14:textId="77777777" w:rsidR="00DE072E" w:rsidRPr="00956E59" w:rsidRDefault="00DE072E" w:rsidP="00265875">
            <w:pPr>
              <w:rPr>
                <w:color w:val="000000"/>
                <w:sz w:val="20"/>
                <w:lang w:val="es-ES_tradnl"/>
              </w:rPr>
            </w:pPr>
            <w:r w:rsidRPr="00956E59">
              <w:rPr>
                <w:color w:val="000000"/>
                <w:sz w:val="20"/>
                <w:lang w:val="es-ES_tradnl"/>
              </w:rPr>
              <w:t> </w:t>
            </w:r>
          </w:p>
        </w:tc>
        <w:tc>
          <w:tcPr>
            <w:tcW w:w="1900" w:type="dxa"/>
            <w:tcBorders>
              <w:top w:val="nil"/>
              <w:left w:val="nil"/>
              <w:bottom w:val="single" w:sz="4" w:space="0" w:color="005172"/>
              <w:right w:val="nil"/>
            </w:tcBorders>
            <w:shd w:val="clear" w:color="auto" w:fill="auto"/>
            <w:noWrap/>
            <w:vAlign w:val="bottom"/>
            <w:hideMark/>
          </w:tcPr>
          <w:p w14:paraId="4A74666C" w14:textId="77777777" w:rsidR="00DE072E" w:rsidRPr="00956E59" w:rsidRDefault="00DE072E" w:rsidP="00265875">
            <w:pPr>
              <w:rPr>
                <w:color w:val="000000"/>
                <w:sz w:val="20"/>
                <w:lang w:val="es-ES_tradnl"/>
              </w:rPr>
            </w:pPr>
            <w:r w:rsidRPr="00956E59">
              <w:rPr>
                <w:color w:val="000000"/>
                <w:sz w:val="20"/>
                <w:lang w:val="es-ES_tradnl"/>
              </w:rPr>
              <w:t> </w:t>
            </w:r>
          </w:p>
        </w:tc>
      </w:tr>
      <w:tr w:rsidR="00DE072E" w:rsidRPr="00956E59" w14:paraId="08CE80B3" w14:textId="77777777" w:rsidTr="00265875">
        <w:trPr>
          <w:trHeight w:val="273"/>
        </w:trPr>
        <w:tc>
          <w:tcPr>
            <w:tcW w:w="4942" w:type="dxa"/>
            <w:tcBorders>
              <w:top w:val="nil"/>
              <w:left w:val="nil"/>
              <w:bottom w:val="nil"/>
              <w:right w:val="nil"/>
            </w:tcBorders>
            <w:shd w:val="clear" w:color="auto" w:fill="auto"/>
            <w:noWrap/>
            <w:vAlign w:val="bottom"/>
            <w:hideMark/>
          </w:tcPr>
          <w:p w14:paraId="45C6017E" w14:textId="77777777" w:rsidR="00DE072E" w:rsidRPr="00956E59" w:rsidRDefault="00DE072E" w:rsidP="00265875">
            <w:pPr>
              <w:rPr>
                <w:rFonts w:ascii="Times New Roman" w:hAnsi="Times New Roman" w:cs="Times New Roman"/>
                <w:sz w:val="20"/>
                <w:lang w:val="es-ES_tradnl"/>
              </w:rPr>
            </w:pPr>
          </w:p>
        </w:tc>
        <w:tc>
          <w:tcPr>
            <w:tcW w:w="1890" w:type="dxa"/>
            <w:tcBorders>
              <w:top w:val="nil"/>
              <w:left w:val="nil"/>
              <w:bottom w:val="nil"/>
              <w:right w:val="nil"/>
            </w:tcBorders>
            <w:shd w:val="clear" w:color="auto" w:fill="auto"/>
            <w:noWrap/>
            <w:vAlign w:val="bottom"/>
            <w:hideMark/>
          </w:tcPr>
          <w:p w14:paraId="5834195C" w14:textId="77777777" w:rsidR="00DE072E" w:rsidRPr="00956E59" w:rsidRDefault="00DE072E" w:rsidP="00265875">
            <w:pPr>
              <w:rPr>
                <w:rFonts w:ascii="Times New Roman" w:hAnsi="Times New Roman" w:cs="Times New Roman"/>
                <w:sz w:val="20"/>
                <w:lang w:val="es-ES_tradnl"/>
              </w:rPr>
            </w:pPr>
          </w:p>
        </w:tc>
        <w:tc>
          <w:tcPr>
            <w:tcW w:w="1323" w:type="dxa"/>
            <w:tcBorders>
              <w:top w:val="nil"/>
              <w:left w:val="nil"/>
              <w:bottom w:val="nil"/>
              <w:right w:val="nil"/>
            </w:tcBorders>
            <w:shd w:val="clear" w:color="auto" w:fill="auto"/>
            <w:noWrap/>
            <w:vAlign w:val="bottom"/>
            <w:hideMark/>
          </w:tcPr>
          <w:p w14:paraId="61BDCF69" w14:textId="77777777" w:rsidR="00DE072E" w:rsidRPr="00956E59" w:rsidRDefault="00DE072E" w:rsidP="00265875">
            <w:pPr>
              <w:rPr>
                <w:rFonts w:ascii="Times New Roman" w:hAnsi="Times New Roman" w:cs="Times New Roman"/>
                <w:sz w:val="20"/>
                <w:lang w:val="es-ES_tradnl"/>
              </w:rPr>
            </w:pPr>
          </w:p>
        </w:tc>
        <w:tc>
          <w:tcPr>
            <w:tcW w:w="1900" w:type="dxa"/>
            <w:tcBorders>
              <w:top w:val="nil"/>
              <w:left w:val="nil"/>
              <w:bottom w:val="nil"/>
              <w:right w:val="nil"/>
            </w:tcBorders>
            <w:shd w:val="clear" w:color="auto" w:fill="auto"/>
            <w:noWrap/>
            <w:vAlign w:val="bottom"/>
            <w:hideMark/>
          </w:tcPr>
          <w:p w14:paraId="49CAEC0D" w14:textId="77777777" w:rsidR="00DE072E" w:rsidRPr="00956E59" w:rsidRDefault="00DE072E" w:rsidP="00265875">
            <w:pPr>
              <w:rPr>
                <w:rFonts w:ascii="Times New Roman" w:hAnsi="Times New Roman" w:cs="Times New Roman"/>
                <w:sz w:val="20"/>
                <w:lang w:val="es-ES_tradnl"/>
              </w:rPr>
            </w:pPr>
          </w:p>
        </w:tc>
      </w:tr>
      <w:tr w:rsidR="00DE072E" w:rsidRPr="00956E59" w14:paraId="335EA76B" w14:textId="77777777" w:rsidTr="00265875">
        <w:trPr>
          <w:trHeight w:val="331"/>
        </w:trPr>
        <w:tc>
          <w:tcPr>
            <w:tcW w:w="10055" w:type="dxa"/>
            <w:gridSpan w:val="4"/>
            <w:tcBorders>
              <w:top w:val="nil"/>
              <w:left w:val="nil"/>
              <w:bottom w:val="nil"/>
              <w:right w:val="nil"/>
            </w:tcBorders>
            <w:shd w:val="clear" w:color="auto" w:fill="auto"/>
            <w:noWrap/>
            <w:vAlign w:val="bottom"/>
            <w:hideMark/>
          </w:tcPr>
          <w:p w14:paraId="752BFB90" w14:textId="77777777" w:rsidR="003C19DB" w:rsidRPr="00956E59" w:rsidRDefault="00186CD0">
            <w:pPr>
              <w:jc w:val="center"/>
              <w:rPr>
                <w:rFonts w:ascii="Arial Narrow" w:hAnsi="Arial Narrow"/>
                <w:b/>
                <w:bCs/>
                <w:color w:val="002839"/>
                <w:sz w:val="24"/>
                <w:szCs w:val="24"/>
                <w:lang w:val="es-ES_tradnl"/>
              </w:rPr>
            </w:pPr>
            <w:r w:rsidRPr="00956E59">
              <w:rPr>
                <w:rFonts w:ascii="Arial Narrow" w:hAnsi="Arial Narrow"/>
                <w:b/>
                <w:bCs/>
                <w:color w:val="002839"/>
                <w:sz w:val="24"/>
                <w:szCs w:val="24"/>
                <w:lang w:val="es-ES_tradnl"/>
              </w:rPr>
              <w:t>Utilización de recursos a finales de julio de 2023</w:t>
            </w:r>
          </w:p>
        </w:tc>
      </w:tr>
      <w:tr w:rsidR="00DE072E" w:rsidRPr="00956E59" w14:paraId="0BEB6685" w14:textId="77777777" w:rsidTr="00265875">
        <w:trPr>
          <w:trHeight w:val="331"/>
        </w:trPr>
        <w:tc>
          <w:tcPr>
            <w:tcW w:w="10055" w:type="dxa"/>
            <w:gridSpan w:val="4"/>
            <w:tcBorders>
              <w:top w:val="nil"/>
              <w:left w:val="nil"/>
              <w:bottom w:val="nil"/>
              <w:right w:val="nil"/>
            </w:tcBorders>
            <w:shd w:val="clear" w:color="auto" w:fill="auto"/>
            <w:noWrap/>
            <w:vAlign w:val="bottom"/>
            <w:hideMark/>
          </w:tcPr>
          <w:p w14:paraId="5149811F" w14:textId="77777777" w:rsidR="003C19DB" w:rsidRPr="00956E59" w:rsidRDefault="00186CD0">
            <w:pPr>
              <w:jc w:val="center"/>
              <w:rPr>
                <w:rFonts w:ascii="Arial Narrow" w:hAnsi="Arial Narrow"/>
                <w:i/>
                <w:iCs/>
                <w:color w:val="002839"/>
                <w:sz w:val="20"/>
                <w:lang w:val="es-ES_tradnl"/>
              </w:rPr>
            </w:pPr>
            <w:r w:rsidRPr="00956E59">
              <w:rPr>
                <w:rFonts w:ascii="Arial Narrow" w:hAnsi="Arial Narrow"/>
                <w:i/>
                <w:iCs/>
                <w:color w:val="002839"/>
                <w:sz w:val="20"/>
                <w:lang w:val="es-ES_tradnl"/>
              </w:rPr>
              <w:t>(en francos suizos)</w:t>
            </w:r>
          </w:p>
        </w:tc>
      </w:tr>
      <w:tr w:rsidR="00DE072E" w:rsidRPr="00956E59" w14:paraId="4115A512" w14:textId="77777777" w:rsidTr="00265875">
        <w:trPr>
          <w:trHeight w:val="345"/>
        </w:trPr>
        <w:tc>
          <w:tcPr>
            <w:tcW w:w="4942" w:type="dxa"/>
            <w:tcBorders>
              <w:top w:val="nil"/>
              <w:left w:val="nil"/>
              <w:bottom w:val="nil"/>
              <w:right w:val="nil"/>
            </w:tcBorders>
            <w:shd w:val="clear" w:color="auto" w:fill="auto"/>
            <w:noWrap/>
            <w:vAlign w:val="bottom"/>
            <w:hideMark/>
          </w:tcPr>
          <w:p w14:paraId="60C8B124" w14:textId="77777777" w:rsidR="00DE072E" w:rsidRPr="00956E59" w:rsidRDefault="00DE072E" w:rsidP="00265875">
            <w:pPr>
              <w:rPr>
                <w:rFonts w:ascii="Times New Roman" w:hAnsi="Times New Roman" w:cs="Times New Roman"/>
                <w:sz w:val="20"/>
                <w:lang w:val="es-ES_tradnl"/>
              </w:rPr>
            </w:pPr>
          </w:p>
        </w:tc>
        <w:tc>
          <w:tcPr>
            <w:tcW w:w="1890" w:type="dxa"/>
            <w:tcBorders>
              <w:top w:val="nil"/>
              <w:left w:val="nil"/>
              <w:bottom w:val="nil"/>
              <w:right w:val="nil"/>
            </w:tcBorders>
            <w:shd w:val="clear" w:color="auto" w:fill="auto"/>
            <w:noWrap/>
            <w:vAlign w:val="bottom"/>
            <w:hideMark/>
          </w:tcPr>
          <w:p w14:paraId="0E408E18" w14:textId="77777777" w:rsidR="00DE072E" w:rsidRPr="00956E59" w:rsidRDefault="00DE072E" w:rsidP="00265875">
            <w:pPr>
              <w:rPr>
                <w:rFonts w:ascii="Times New Roman" w:hAnsi="Times New Roman" w:cs="Times New Roman"/>
                <w:sz w:val="20"/>
                <w:lang w:val="es-ES_tradnl"/>
              </w:rPr>
            </w:pPr>
          </w:p>
        </w:tc>
        <w:tc>
          <w:tcPr>
            <w:tcW w:w="1323" w:type="dxa"/>
            <w:tcBorders>
              <w:top w:val="nil"/>
              <w:left w:val="nil"/>
              <w:bottom w:val="nil"/>
              <w:right w:val="nil"/>
            </w:tcBorders>
            <w:shd w:val="clear" w:color="auto" w:fill="auto"/>
            <w:noWrap/>
            <w:vAlign w:val="bottom"/>
            <w:hideMark/>
          </w:tcPr>
          <w:p w14:paraId="5D97E44A" w14:textId="77777777" w:rsidR="00DE072E" w:rsidRPr="00956E59" w:rsidRDefault="00DE072E" w:rsidP="00265875">
            <w:pPr>
              <w:rPr>
                <w:rFonts w:ascii="Times New Roman" w:hAnsi="Times New Roman" w:cs="Times New Roman"/>
                <w:sz w:val="20"/>
                <w:lang w:val="es-ES_tradnl"/>
              </w:rPr>
            </w:pPr>
          </w:p>
        </w:tc>
        <w:tc>
          <w:tcPr>
            <w:tcW w:w="1900" w:type="dxa"/>
            <w:tcBorders>
              <w:top w:val="nil"/>
              <w:left w:val="nil"/>
              <w:bottom w:val="nil"/>
              <w:right w:val="nil"/>
            </w:tcBorders>
            <w:shd w:val="clear" w:color="auto" w:fill="auto"/>
            <w:noWrap/>
            <w:vAlign w:val="bottom"/>
            <w:hideMark/>
          </w:tcPr>
          <w:p w14:paraId="271DE637" w14:textId="77777777" w:rsidR="00DE072E" w:rsidRPr="00956E59" w:rsidRDefault="00DE072E" w:rsidP="00265875">
            <w:pPr>
              <w:rPr>
                <w:rFonts w:ascii="Times New Roman" w:hAnsi="Times New Roman" w:cs="Times New Roman"/>
                <w:sz w:val="20"/>
                <w:lang w:val="es-ES_tradnl"/>
              </w:rPr>
            </w:pPr>
          </w:p>
        </w:tc>
      </w:tr>
      <w:tr w:rsidR="00DE072E" w:rsidRPr="00956E59" w14:paraId="25335D1E" w14:textId="77777777" w:rsidTr="00265875">
        <w:trPr>
          <w:trHeight w:val="619"/>
        </w:trPr>
        <w:tc>
          <w:tcPr>
            <w:tcW w:w="4942" w:type="dxa"/>
            <w:tcBorders>
              <w:top w:val="nil"/>
              <w:left w:val="nil"/>
              <w:bottom w:val="nil"/>
              <w:right w:val="nil"/>
            </w:tcBorders>
            <w:shd w:val="clear" w:color="000000" w:fill="C7CFD8"/>
            <w:noWrap/>
            <w:vAlign w:val="center"/>
            <w:hideMark/>
          </w:tcPr>
          <w:p w14:paraId="766A7C40" w14:textId="77777777" w:rsidR="003C19DB" w:rsidRPr="00956E59" w:rsidRDefault="00186CD0">
            <w:pPr>
              <w:rPr>
                <w:rFonts w:ascii="Arial Narrow" w:hAnsi="Arial Narrow"/>
                <w:b/>
                <w:bCs/>
                <w:color w:val="002839"/>
                <w:lang w:val="es-ES_tradnl"/>
              </w:rPr>
            </w:pPr>
            <w:r w:rsidRPr="00956E59">
              <w:rPr>
                <w:rFonts w:ascii="Arial Narrow" w:hAnsi="Arial Narrow"/>
                <w:b/>
                <w:bCs/>
                <w:color w:val="002839"/>
                <w:lang w:val="es-ES_tradnl"/>
              </w:rPr>
              <w:t>Categoría de cost</w:t>
            </w:r>
            <w:r w:rsidR="004A1398" w:rsidRPr="00956E59">
              <w:rPr>
                <w:rFonts w:ascii="Arial Narrow" w:hAnsi="Arial Narrow"/>
                <w:b/>
                <w:bCs/>
                <w:color w:val="002839"/>
                <w:lang w:val="es-ES_tradnl"/>
              </w:rPr>
              <w:t>o</w:t>
            </w:r>
            <w:r w:rsidRPr="00956E59">
              <w:rPr>
                <w:rFonts w:ascii="Arial Narrow" w:hAnsi="Arial Narrow"/>
                <w:b/>
                <w:bCs/>
                <w:color w:val="002839"/>
                <w:lang w:val="es-ES_tradnl"/>
              </w:rPr>
              <w:t>s</w:t>
            </w:r>
          </w:p>
        </w:tc>
        <w:tc>
          <w:tcPr>
            <w:tcW w:w="1890" w:type="dxa"/>
            <w:tcBorders>
              <w:top w:val="nil"/>
              <w:left w:val="nil"/>
              <w:bottom w:val="nil"/>
              <w:right w:val="nil"/>
            </w:tcBorders>
            <w:shd w:val="clear" w:color="000000" w:fill="C7CFD8"/>
            <w:vAlign w:val="center"/>
            <w:hideMark/>
          </w:tcPr>
          <w:p w14:paraId="6E2DA5D9" w14:textId="77777777" w:rsidR="003C19DB" w:rsidRPr="00956E59" w:rsidRDefault="00186CD0">
            <w:pPr>
              <w:rPr>
                <w:rFonts w:ascii="Arial Narrow" w:hAnsi="Arial Narrow"/>
                <w:b/>
                <w:bCs/>
                <w:color w:val="002839"/>
                <w:lang w:val="es-ES_tradnl"/>
              </w:rPr>
            </w:pPr>
            <w:r w:rsidRPr="00956E59">
              <w:rPr>
                <w:rFonts w:ascii="Arial Narrow" w:hAnsi="Arial Narrow"/>
                <w:b/>
                <w:bCs/>
                <w:color w:val="002839"/>
                <w:lang w:val="es-ES_tradnl"/>
              </w:rPr>
              <w:t>Presupuesto del proyecto</w:t>
            </w:r>
          </w:p>
        </w:tc>
        <w:tc>
          <w:tcPr>
            <w:tcW w:w="1323" w:type="dxa"/>
            <w:tcBorders>
              <w:top w:val="nil"/>
              <w:left w:val="nil"/>
              <w:bottom w:val="nil"/>
              <w:right w:val="nil"/>
            </w:tcBorders>
            <w:shd w:val="clear" w:color="000000" w:fill="C7CFD8"/>
            <w:vAlign w:val="center"/>
            <w:hideMark/>
          </w:tcPr>
          <w:p w14:paraId="684066BF" w14:textId="77777777" w:rsidR="003C19DB" w:rsidRPr="00956E59" w:rsidRDefault="00186CD0">
            <w:pPr>
              <w:rPr>
                <w:rFonts w:ascii="Arial Narrow" w:hAnsi="Arial Narrow"/>
                <w:b/>
                <w:bCs/>
                <w:color w:val="002839"/>
                <w:lang w:val="es-ES_tradnl"/>
              </w:rPr>
            </w:pPr>
            <w:r w:rsidRPr="00956E59">
              <w:rPr>
                <w:rFonts w:ascii="Arial Narrow" w:hAnsi="Arial Narrow"/>
                <w:b/>
                <w:bCs/>
                <w:color w:val="002839"/>
                <w:lang w:val="es-ES_tradnl"/>
              </w:rPr>
              <w:t>Gastos</w:t>
            </w:r>
            <w:r w:rsidRPr="00956E59">
              <w:rPr>
                <w:rFonts w:ascii="Arial Narrow" w:hAnsi="Arial Narrow"/>
                <w:b/>
                <w:bCs/>
                <w:color w:val="002839"/>
                <w:vertAlign w:val="superscript"/>
                <w:lang w:val="es-ES_tradnl"/>
              </w:rPr>
              <w:t>1</w:t>
            </w:r>
          </w:p>
        </w:tc>
        <w:tc>
          <w:tcPr>
            <w:tcW w:w="1900" w:type="dxa"/>
            <w:tcBorders>
              <w:top w:val="nil"/>
              <w:left w:val="nil"/>
              <w:bottom w:val="nil"/>
              <w:right w:val="nil"/>
            </w:tcBorders>
            <w:shd w:val="clear" w:color="000000" w:fill="C7CFD8"/>
            <w:vAlign w:val="center"/>
            <w:hideMark/>
          </w:tcPr>
          <w:p w14:paraId="09B2A367" w14:textId="77777777" w:rsidR="003C19DB" w:rsidRPr="00956E59" w:rsidRDefault="00186CD0">
            <w:pPr>
              <w:rPr>
                <w:rFonts w:ascii="Arial Narrow" w:hAnsi="Arial Narrow"/>
                <w:b/>
                <w:bCs/>
                <w:color w:val="002839"/>
                <w:lang w:val="es-ES_tradnl"/>
              </w:rPr>
            </w:pPr>
            <w:r w:rsidRPr="00956E59">
              <w:rPr>
                <w:rFonts w:ascii="Arial Narrow" w:hAnsi="Arial Narrow"/>
                <w:b/>
                <w:bCs/>
                <w:color w:val="002839"/>
                <w:lang w:val="es-ES_tradnl"/>
              </w:rPr>
              <w:t xml:space="preserve">   Utilización del presupuesto</w:t>
            </w:r>
          </w:p>
        </w:tc>
      </w:tr>
      <w:tr w:rsidR="00DE072E" w:rsidRPr="00956E59" w14:paraId="6BBD96FC" w14:textId="77777777" w:rsidTr="00265875">
        <w:trPr>
          <w:trHeight w:val="547"/>
        </w:trPr>
        <w:tc>
          <w:tcPr>
            <w:tcW w:w="4942" w:type="dxa"/>
            <w:tcBorders>
              <w:top w:val="nil"/>
              <w:left w:val="nil"/>
              <w:bottom w:val="nil"/>
              <w:right w:val="nil"/>
            </w:tcBorders>
            <w:shd w:val="clear" w:color="auto" w:fill="auto"/>
            <w:vAlign w:val="center"/>
            <w:hideMark/>
          </w:tcPr>
          <w:p w14:paraId="3E88124D" w14:textId="77777777" w:rsidR="003C19DB" w:rsidRPr="00956E59" w:rsidRDefault="00186CD0">
            <w:pPr>
              <w:rPr>
                <w:rFonts w:ascii="Arial Narrow" w:hAnsi="Arial Narrow"/>
                <w:color w:val="002839"/>
                <w:lang w:val="es-ES_tradnl"/>
              </w:rPr>
            </w:pPr>
            <w:r w:rsidRPr="00956E59">
              <w:rPr>
                <w:rFonts w:ascii="Arial Narrow" w:hAnsi="Arial Narrow"/>
                <w:color w:val="002839"/>
                <w:lang w:val="es-ES_tradnl"/>
              </w:rPr>
              <w:t xml:space="preserve">Recursos </w:t>
            </w:r>
            <w:r w:rsidR="00445DBA" w:rsidRPr="00956E59">
              <w:rPr>
                <w:rFonts w:ascii="Arial Narrow" w:hAnsi="Arial Narrow"/>
                <w:color w:val="002839"/>
                <w:lang w:val="es-ES_tradnl"/>
              </w:rPr>
              <w:t>relativos a</w:t>
            </w:r>
            <w:r w:rsidRPr="00956E59">
              <w:rPr>
                <w:rFonts w:ascii="Arial Narrow" w:hAnsi="Arial Narrow"/>
                <w:color w:val="002839"/>
                <w:lang w:val="es-ES_tradnl"/>
              </w:rPr>
              <w:t xml:space="preserve"> personal</w:t>
            </w:r>
          </w:p>
        </w:tc>
        <w:tc>
          <w:tcPr>
            <w:tcW w:w="1890" w:type="dxa"/>
            <w:tcBorders>
              <w:top w:val="nil"/>
              <w:left w:val="nil"/>
              <w:bottom w:val="nil"/>
              <w:right w:val="nil"/>
            </w:tcBorders>
            <w:shd w:val="clear" w:color="auto" w:fill="auto"/>
            <w:noWrap/>
            <w:vAlign w:val="center"/>
            <w:hideMark/>
          </w:tcPr>
          <w:p w14:paraId="0532FBFA" w14:textId="77777777" w:rsidR="003C19DB" w:rsidRPr="00956E59" w:rsidRDefault="00186CD0">
            <w:pPr>
              <w:rPr>
                <w:rFonts w:ascii="Arial Narrow" w:hAnsi="Arial Narrow"/>
                <w:color w:val="002839"/>
                <w:lang w:val="es-ES_tradnl"/>
              </w:rPr>
            </w:pPr>
            <w:r w:rsidRPr="00956E59">
              <w:rPr>
                <w:rFonts w:ascii="Arial Narrow" w:hAnsi="Arial Narrow"/>
                <w:color w:val="002839"/>
                <w:lang w:val="es-ES_tradnl"/>
              </w:rPr>
              <w:t xml:space="preserve">          171</w:t>
            </w:r>
            <w:r w:rsidR="00445DBA" w:rsidRPr="00956E59">
              <w:rPr>
                <w:rFonts w:ascii="Arial Narrow" w:hAnsi="Arial Narrow"/>
                <w:color w:val="002839"/>
                <w:lang w:val="es-ES_tradnl"/>
              </w:rPr>
              <w:t xml:space="preserve"> </w:t>
            </w:r>
            <w:r w:rsidRPr="00956E59">
              <w:rPr>
                <w:rFonts w:ascii="Arial Narrow" w:hAnsi="Arial Narrow"/>
                <w:color w:val="002839"/>
                <w:lang w:val="es-ES_tradnl"/>
              </w:rPr>
              <w:t>000</w:t>
            </w:r>
          </w:p>
        </w:tc>
        <w:tc>
          <w:tcPr>
            <w:tcW w:w="1323" w:type="dxa"/>
            <w:tcBorders>
              <w:top w:val="nil"/>
              <w:left w:val="nil"/>
              <w:bottom w:val="nil"/>
              <w:right w:val="nil"/>
            </w:tcBorders>
            <w:shd w:val="clear" w:color="auto" w:fill="auto"/>
            <w:vAlign w:val="center"/>
            <w:hideMark/>
          </w:tcPr>
          <w:p w14:paraId="0FF95DCC" w14:textId="77777777" w:rsidR="003C19DB" w:rsidRPr="00956E59" w:rsidRDefault="00186CD0">
            <w:pPr>
              <w:rPr>
                <w:rFonts w:ascii="Arial Narrow" w:hAnsi="Arial Narrow"/>
                <w:color w:val="000000"/>
                <w:lang w:val="es-ES_tradnl"/>
              </w:rPr>
            </w:pPr>
            <w:r w:rsidRPr="00956E59">
              <w:rPr>
                <w:rFonts w:ascii="Arial Narrow" w:hAnsi="Arial Narrow"/>
                <w:color w:val="000000"/>
                <w:lang w:val="es-ES_tradnl"/>
              </w:rPr>
              <w:t xml:space="preserve">                    -                    </w:t>
            </w:r>
          </w:p>
        </w:tc>
        <w:tc>
          <w:tcPr>
            <w:tcW w:w="1900" w:type="dxa"/>
            <w:tcBorders>
              <w:top w:val="nil"/>
              <w:left w:val="nil"/>
              <w:bottom w:val="nil"/>
              <w:right w:val="nil"/>
            </w:tcBorders>
            <w:shd w:val="clear" w:color="auto" w:fill="auto"/>
            <w:vAlign w:val="center"/>
            <w:hideMark/>
          </w:tcPr>
          <w:p w14:paraId="6C900285" w14:textId="46F03CD1" w:rsidR="003C19DB" w:rsidRPr="00956E59" w:rsidRDefault="00186CD0">
            <w:pPr>
              <w:jc w:val="right"/>
              <w:rPr>
                <w:rFonts w:ascii="Arial Narrow" w:hAnsi="Arial Narrow"/>
                <w:color w:val="000000"/>
                <w:lang w:val="es-ES_tradnl"/>
              </w:rPr>
            </w:pPr>
            <w:r w:rsidRPr="00956E59">
              <w:rPr>
                <w:rFonts w:ascii="Arial Narrow" w:hAnsi="Arial Narrow"/>
                <w:color w:val="000000"/>
                <w:lang w:val="es-ES_tradnl"/>
              </w:rPr>
              <w:t>0</w:t>
            </w:r>
            <w:r w:rsidR="00B7652C" w:rsidRPr="00956E59">
              <w:rPr>
                <w:rFonts w:ascii="Arial Narrow" w:hAnsi="Arial Narrow"/>
                <w:color w:val="000000"/>
                <w:lang w:val="es-ES_tradnl"/>
              </w:rPr>
              <w:t> </w:t>
            </w:r>
            <w:r w:rsidRPr="00956E59">
              <w:rPr>
                <w:rFonts w:ascii="Arial Narrow" w:hAnsi="Arial Narrow"/>
                <w:color w:val="000000"/>
                <w:lang w:val="es-ES_tradnl"/>
              </w:rPr>
              <w:t>%</w:t>
            </w:r>
          </w:p>
        </w:tc>
      </w:tr>
      <w:tr w:rsidR="00DE072E" w:rsidRPr="00956E59" w14:paraId="0F8CA39A" w14:textId="77777777" w:rsidTr="00265875">
        <w:trPr>
          <w:trHeight w:val="475"/>
        </w:trPr>
        <w:tc>
          <w:tcPr>
            <w:tcW w:w="4942" w:type="dxa"/>
            <w:tcBorders>
              <w:top w:val="nil"/>
              <w:left w:val="nil"/>
              <w:bottom w:val="nil"/>
              <w:right w:val="nil"/>
            </w:tcBorders>
            <w:shd w:val="clear" w:color="auto" w:fill="auto"/>
            <w:vAlign w:val="center"/>
            <w:hideMark/>
          </w:tcPr>
          <w:p w14:paraId="63562653" w14:textId="77777777" w:rsidR="003C19DB" w:rsidRPr="00956E59" w:rsidRDefault="00186CD0">
            <w:pPr>
              <w:rPr>
                <w:rFonts w:ascii="Arial Narrow" w:hAnsi="Arial Narrow"/>
                <w:color w:val="002839"/>
                <w:lang w:val="es-ES_tradnl"/>
              </w:rPr>
            </w:pPr>
            <w:r w:rsidRPr="00956E59">
              <w:rPr>
                <w:rFonts w:ascii="Arial Narrow" w:hAnsi="Arial Narrow"/>
                <w:color w:val="002839"/>
                <w:lang w:val="es-ES_tradnl"/>
              </w:rPr>
              <w:t xml:space="preserve">Recursos no </w:t>
            </w:r>
            <w:r w:rsidR="00445DBA" w:rsidRPr="00956E59">
              <w:rPr>
                <w:rFonts w:ascii="Arial Narrow" w:hAnsi="Arial Narrow"/>
                <w:color w:val="002839"/>
                <w:lang w:val="es-ES_tradnl"/>
              </w:rPr>
              <w:t xml:space="preserve">relativos a </w:t>
            </w:r>
            <w:r w:rsidRPr="00956E59">
              <w:rPr>
                <w:rFonts w:ascii="Arial Narrow" w:hAnsi="Arial Narrow"/>
                <w:color w:val="002839"/>
                <w:lang w:val="es-ES_tradnl"/>
              </w:rPr>
              <w:t>personal</w:t>
            </w:r>
          </w:p>
        </w:tc>
        <w:tc>
          <w:tcPr>
            <w:tcW w:w="1890" w:type="dxa"/>
            <w:tcBorders>
              <w:top w:val="nil"/>
              <w:left w:val="nil"/>
              <w:bottom w:val="nil"/>
              <w:right w:val="nil"/>
            </w:tcBorders>
            <w:shd w:val="clear" w:color="auto" w:fill="auto"/>
            <w:noWrap/>
            <w:vAlign w:val="center"/>
            <w:hideMark/>
          </w:tcPr>
          <w:p w14:paraId="7B0923D4" w14:textId="77777777" w:rsidR="003C19DB" w:rsidRPr="00956E59" w:rsidRDefault="00186CD0">
            <w:pPr>
              <w:rPr>
                <w:rFonts w:ascii="Arial Narrow" w:hAnsi="Arial Narrow"/>
                <w:color w:val="002839"/>
                <w:lang w:val="es-ES_tradnl"/>
              </w:rPr>
            </w:pPr>
            <w:r w:rsidRPr="00956E59">
              <w:rPr>
                <w:rFonts w:ascii="Arial Narrow" w:hAnsi="Arial Narrow"/>
                <w:color w:val="002839"/>
                <w:lang w:val="es-ES_tradnl"/>
              </w:rPr>
              <w:t xml:space="preserve">          385</w:t>
            </w:r>
            <w:r w:rsidR="00445DBA" w:rsidRPr="00956E59">
              <w:rPr>
                <w:rFonts w:ascii="Arial Narrow" w:hAnsi="Arial Narrow"/>
                <w:color w:val="002839"/>
                <w:lang w:val="es-ES_tradnl"/>
              </w:rPr>
              <w:t xml:space="preserve"> </w:t>
            </w:r>
            <w:r w:rsidRPr="00956E59">
              <w:rPr>
                <w:rFonts w:ascii="Arial Narrow" w:hAnsi="Arial Narrow"/>
                <w:color w:val="002839"/>
                <w:lang w:val="es-ES_tradnl"/>
              </w:rPr>
              <w:t>000</w:t>
            </w:r>
          </w:p>
        </w:tc>
        <w:tc>
          <w:tcPr>
            <w:tcW w:w="1323" w:type="dxa"/>
            <w:tcBorders>
              <w:top w:val="nil"/>
              <w:left w:val="nil"/>
              <w:bottom w:val="nil"/>
              <w:right w:val="nil"/>
            </w:tcBorders>
            <w:shd w:val="clear" w:color="auto" w:fill="auto"/>
            <w:vAlign w:val="center"/>
            <w:hideMark/>
          </w:tcPr>
          <w:p w14:paraId="28B06883" w14:textId="77777777" w:rsidR="003C19DB" w:rsidRPr="00956E59" w:rsidRDefault="00186CD0">
            <w:pPr>
              <w:rPr>
                <w:rFonts w:ascii="Arial Narrow" w:hAnsi="Arial Narrow"/>
                <w:color w:val="000000"/>
                <w:lang w:val="es-ES_tradnl"/>
              </w:rPr>
            </w:pPr>
            <w:r w:rsidRPr="00956E59">
              <w:rPr>
                <w:rFonts w:ascii="Arial Narrow" w:hAnsi="Arial Narrow"/>
                <w:color w:val="000000"/>
                <w:lang w:val="es-ES_tradnl"/>
              </w:rPr>
              <w:t xml:space="preserve">         299</w:t>
            </w:r>
            <w:r w:rsidR="00445DBA" w:rsidRPr="00956E59">
              <w:rPr>
                <w:rFonts w:ascii="Arial Narrow" w:hAnsi="Arial Narrow"/>
                <w:color w:val="000000"/>
                <w:lang w:val="es-ES_tradnl"/>
              </w:rPr>
              <w:t xml:space="preserve"> </w:t>
            </w:r>
            <w:r w:rsidRPr="00956E59">
              <w:rPr>
                <w:rFonts w:ascii="Arial Narrow" w:hAnsi="Arial Narrow"/>
                <w:color w:val="000000"/>
                <w:lang w:val="es-ES_tradnl"/>
              </w:rPr>
              <w:t>382</w:t>
            </w:r>
          </w:p>
        </w:tc>
        <w:tc>
          <w:tcPr>
            <w:tcW w:w="1900" w:type="dxa"/>
            <w:tcBorders>
              <w:top w:val="nil"/>
              <w:left w:val="nil"/>
              <w:bottom w:val="nil"/>
              <w:right w:val="nil"/>
            </w:tcBorders>
            <w:shd w:val="clear" w:color="auto" w:fill="auto"/>
            <w:vAlign w:val="center"/>
            <w:hideMark/>
          </w:tcPr>
          <w:p w14:paraId="12A64408" w14:textId="0959FBE4" w:rsidR="003C19DB" w:rsidRPr="00956E59" w:rsidRDefault="00186CD0">
            <w:pPr>
              <w:jc w:val="right"/>
              <w:rPr>
                <w:rFonts w:ascii="Arial Narrow" w:hAnsi="Arial Narrow"/>
                <w:color w:val="000000"/>
                <w:lang w:val="es-ES_tradnl"/>
              </w:rPr>
            </w:pPr>
            <w:r w:rsidRPr="00956E59">
              <w:rPr>
                <w:rFonts w:ascii="Arial Narrow" w:hAnsi="Arial Narrow"/>
                <w:color w:val="000000"/>
                <w:lang w:val="es-ES_tradnl"/>
              </w:rPr>
              <w:t>78</w:t>
            </w:r>
            <w:r w:rsidR="00B7652C" w:rsidRPr="00956E59">
              <w:rPr>
                <w:rFonts w:ascii="Arial Narrow" w:hAnsi="Arial Narrow"/>
                <w:color w:val="000000"/>
                <w:lang w:val="es-ES_tradnl"/>
              </w:rPr>
              <w:t> </w:t>
            </w:r>
            <w:r w:rsidRPr="00956E59">
              <w:rPr>
                <w:rFonts w:ascii="Arial Narrow" w:hAnsi="Arial Narrow"/>
                <w:color w:val="000000"/>
                <w:lang w:val="es-ES_tradnl"/>
              </w:rPr>
              <w:t>%</w:t>
            </w:r>
          </w:p>
        </w:tc>
      </w:tr>
      <w:tr w:rsidR="00DE072E" w:rsidRPr="00956E59" w14:paraId="1DA7DF19" w14:textId="77777777" w:rsidTr="00265875">
        <w:trPr>
          <w:trHeight w:val="403"/>
        </w:trPr>
        <w:tc>
          <w:tcPr>
            <w:tcW w:w="4942" w:type="dxa"/>
            <w:tcBorders>
              <w:top w:val="single" w:sz="4" w:space="0" w:color="AAB8C4"/>
              <w:left w:val="nil"/>
              <w:bottom w:val="single" w:sz="8" w:space="0" w:color="AAB8C4"/>
              <w:right w:val="nil"/>
            </w:tcBorders>
            <w:shd w:val="clear" w:color="auto" w:fill="auto"/>
            <w:noWrap/>
            <w:vAlign w:val="center"/>
            <w:hideMark/>
          </w:tcPr>
          <w:p w14:paraId="216D035E" w14:textId="77777777" w:rsidR="003C19DB" w:rsidRPr="00956E59" w:rsidRDefault="00186CD0">
            <w:pPr>
              <w:rPr>
                <w:rFonts w:ascii="Arial Narrow" w:hAnsi="Arial Narrow"/>
                <w:b/>
                <w:bCs/>
                <w:color w:val="002839"/>
                <w:lang w:val="es-ES_tradnl"/>
              </w:rPr>
            </w:pPr>
            <w:r w:rsidRPr="00956E59">
              <w:rPr>
                <w:rFonts w:ascii="Arial Narrow" w:hAnsi="Arial Narrow"/>
                <w:b/>
                <w:bCs/>
                <w:color w:val="002839"/>
                <w:lang w:val="es-ES_tradnl"/>
              </w:rPr>
              <w:t>Total</w:t>
            </w:r>
          </w:p>
        </w:tc>
        <w:tc>
          <w:tcPr>
            <w:tcW w:w="1890" w:type="dxa"/>
            <w:tcBorders>
              <w:top w:val="single" w:sz="4" w:space="0" w:color="AAB8C4"/>
              <w:left w:val="nil"/>
              <w:bottom w:val="single" w:sz="8" w:space="0" w:color="AAB8C4"/>
              <w:right w:val="nil"/>
            </w:tcBorders>
            <w:shd w:val="clear" w:color="auto" w:fill="auto"/>
            <w:noWrap/>
            <w:vAlign w:val="center"/>
            <w:hideMark/>
          </w:tcPr>
          <w:p w14:paraId="6E26FE5E" w14:textId="77777777" w:rsidR="003C19DB" w:rsidRPr="00956E59" w:rsidRDefault="00186CD0">
            <w:pPr>
              <w:rPr>
                <w:rFonts w:ascii="Arial Narrow" w:hAnsi="Arial Narrow"/>
                <w:b/>
                <w:bCs/>
                <w:color w:val="002839"/>
                <w:lang w:val="es-ES_tradnl"/>
              </w:rPr>
            </w:pPr>
            <w:r w:rsidRPr="00956E59">
              <w:rPr>
                <w:rFonts w:ascii="Arial Narrow" w:hAnsi="Arial Narrow"/>
                <w:b/>
                <w:bCs/>
                <w:color w:val="002839"/>
                <w:lang w:val="es-ES_tradnl"/>
              </w:rPr>
              <w:t xml:space="preserve">          556</w:t>
            </w:r>
            <w:r w:rsidR="00445DBA" w:rsidRPr="00956E59">
              <w:rPr>
                <w:rFonts w:ascii="Arial Narrow" w:hAnsi="Arial Narrow"/>
                <w:b/>
                <w:bCs/>
                <w:color w:val="002839"/>
                <w:lang w:val="es-ES_tradnl"/>
              </w:rPr>
              <w:t xml:space="preserve"> </w:t>
            </w:r>
            <w:r w:rsidRPr="00956E59">
              <w:rPr>
                <w:rFonts w:ascii="Arial Narrow" w:hAnsi="Arial Narrow"/>
                <w:b/>
                <w:bCs/>
                <w:color w:val="002839"/>
                <w:lang w:val="es-ES_tradnl"/>
              </w:rPr>
              <w:t>000</w:t>
            </w:r>
          </w:p>
        </w:tc>
        <w:tc>
          <w:tcPr>
            <w:tcW w:w="1323" w:type="dxa"/>
            <w:tcBorders>
              <w:top w:val="single" w:sz="4" w:space="0" w:color="AAB8C4"/>
              <w:left w:val="nil"/>
              <w:bottom w:val="single" w:sz="8" w:space="0" w:color="AAB8C4"/>
              <w:right w:val="nil"/>
            </w:tcBorders>
            <w:shd w:val="clear" w:color="auto" w:fill="auto"/>
            <w:noWrap/>
            <w:vAlign w:val="center"/>
            <w:hideMark/>
          </w:tcPr>
          <w:p w14:paraId="68F95874" w14:textId="77777777" w:rsidR="003C19DB" w:rsidRPr="00956E59" w:rsidRDefault="00186CD0">
            <w:pPr>
              <w:rPr>
                <w:rFonts w:ascii="Arial Narrow" w:hAnsi="Arial Narrow"/>
                <w:b/>
                <w:bCs/>
                <w:color w:val="002839"/>
                <w:lang w:val="es-ES_tradnl"/>
              </w:rPr>
            </w:pPr>
            <w:r w:rsidRPr="00956E59">
              <w:rPr>
                <w:rFonts w:ascii="Arial Narrow" w:hAnsi="Arial Narrow"/>
                <w:b/>
                <w:bCs/>
                <w:color w:val="002839"/>
                <w:lang w:val="es-ES_tradnl"/>
              </w:rPr>
              <w:t xml:space="preserve">         299</w:t>
            </w:r>
            <w:r w:rsidR="00445DBA" w:rsidRPr="00956E59">
              <w:rPr>
                <w:rFonts w:ascii="Arial Narrow" w:hAnsi="Arial Narrow"/>
                <w:b/>
                <w:bCs/>
                <w:color w:val="002839"/>
                <w:lang w:val="es-ES_tradnl"/>
              </w:rPr>
              <w:t xml:space="preserve"> </w:t>
            </w:r>
            <w:r w:rsidRPr="00956E59">
              <w:rPr>
                <w:rFonts w:ascii="Arial Narrow" w:hAnsi="Arial Narrow"/>
                <w:b/>
                <w:bCs/>
                <w:color w:val="002839"/>
                <w:lang w:val="es-ES_tradnl"/>
              </w:rPr>
              <w:t>382</w:t>
            </w:r>
          </w:p>
        </w:tc>
        <w:tc>
          <w:tcPr>
            <w:tcW w:w="1900" w:type="dxa"/>
            <w:tcBorders>
              <w:top w:val="single" w:sz="4" w:space="0" w:color="AAB8C4"/>
              <w:left w:val="nil"/>
              <w:bottom w:val="single" w:sz="8" w:space="0" w:color="AAB8C4"/>
              <w:right w:val="nil"/>
            </w:tcBorders>
            <w:shd w:val="clear" w:color="auto" w:fill="auto"/>
            <w:noWrap/>
            <w:vAlign w:val="center"/>
            <w:hideMark/>
          </w:tcPr>
          <w:p w14:paraId="40C3412B" w14:textId="5C2104C3" w:rsidR="003C19DB" w:rsidRPr="00956E59" w:rsidRDefault="00186CD0">
            <w:pPr>
              <w:jc w:val="right"/>
              <w:rPr>
                <w:rFonts w:ascii="Arial Narrow" w:hAnsi="Arial Narrow"/>
                <w:b/>
                <w:bCs/>
                <w:color w:val="002839"/>
                <w:lang w:val="es-ES_tradnl"/>
              </w:rPr>
            </w:pPr>
            <w:r w:rsidRPr="00956E59">
              <w:rPr>
                <w:rFonts w:ascii="Arial Narrow" w:hAnsi="Arial Narrow"/>
                <w:b/>
                <w:bCs/>
                <w:color w:val="002839"/>
                <w:lang w:val="es-ES_tradnl"/>
              </w:rPr>
              <w:t>54</w:t>
            </w:r>
            <w:r w:rsidR="00B7652C" w:rsidRPr="00956E59">
              <w:rPr>
                <w:rFonts w:ascii="Arial Narrow" w:hAnsi="Arial Narrow"/>
                <w:b/>
                <w:bCs/>
                <w:color w:val="002839"/>
                <w:lang w:val="es-ES_tradnl"/>
              </w:rPr>
              <w:t> </w:t>
            </w:r>
            <w:r w:rsidRPr="00956E59">
              <w:rPr>
                <w:rFonts w:ascii="Arial Narrow" w:hAnsi="Arial Narrow"/>
                <w:b/>
                <w:bCs/>
                <w:color w:val="002839"/>
                <w:lang w:val="es-ES_tradnl"/>
              </w:rPr>
              <w:t>%</w:t>
            </w:r>
          </w:p>
        </w:tc>
      </w:tr>
      <w:tr w:rsidR="00DE072E" w:rsidRPr="00956E59" w14:paraId="7AF17B30" w14:textId="77777777" w:rsidTr="00265875">
        <w:trPr>
          <w:trHeight w:val="278"/>
        </w:trPr>
        <w:tc>
          <w:tcPr>
            <w:tcW w:w="10055" w:type="dxa"/>
            <w:gridSpan w:val="4"/>
            <w:tcBorders>
              <w:top w:val="nil"/>
              <w:left w:val="nil"/>
              <w:bottom w:val="nil"/>
              <w:right w:val="nil"/>
            </w:tcBorders>
            <w:shd w:val="clear" w:color="auto" w:fill="auto"/>
            <w:noWrap/>
            <w:vAlign w:val="bottom"/>
            <w:hideMark/>
          </w:tcPr>
          <w:p w14:paraId="4C2678B4" w14:textId="77777777" w:rsidR="003C19DB" w:rsidRPr="00956E59" w:rsidRDefault="00186CD0">
            <w:pPr>
              <w:rPr>
                <w:rFonts w:ascii="Times New Roman" w:hAnsi="Times New Roman" w:cs="Times New Roman"/>
                <w:sz w:val="20"/>
                <w:lang w:val="es-ES_tradnl"/>
              </w:rPr>
            </w:pPr>
            <w:r w:rsidRPr="00956E59">
              <w:rPr>
                <w:color w:val="002839"/>
                <w:sz w:val="20"/>
                <w:vertAlign w:val="superscript"/>
                <w:lang w:val="es-ES_tradnl"/>
              </w:rPr>
              <w:t>1</w:t>
            </w:r>
            <w:r w:rsidRPr="00956E59">
              <w:rPr>
                <w:color w:val="002839"/>
                <w:sz w:val="20"/>
                <w:lang w:val="es-ES_tradnl"/>
              </w:rPr>
              <w:t xml:space="preserve"> </w:t>
            </w:r>
            <w:proofErr w:type="gramStart"/>
            <w:r w:rsidRPr="00956E59">
              <w:rPr>
                <w:color w:val="002839"/>
                <w:sz w:val="20"/>
                <w:lang w:val="es-ES_tradnl"/>
              </w:rPr>
              <w:t>Excluidos</w:t>
            </w:r>
            <w:proofErr w:type="gramEnd"/>
            <w:r w:rsidRPr="00956E59">
              <w:rPr>
                <w:color w:val="002839"/>
                <w:sz w:val="20"/>
                <w:lang w:val="es-ES_tradnl"/>
              </w:rPr>
              <w:t xml:space="preserve"> los gastos de evaluación del proyecto y del </w:t>
            </w:r>
            <w:r w:rsidR="00445DBA" w:rsidRPr="00956E59">
              <w:rPr>
                <w:color w:val="002839"/>
                <w:sz w:val="20"/>
                <w:lang w:val="es-ES_tradnl"/>
              </w:rPr>
              <w:t>evento</w:t>
            </w:r>
            <w:r w:rsidRPr="00956E59">
              <w:rPr>
                <w:color w:val="002839"/>
                <w:sz w:val="20"/>
                <w:lang w:val="es-ES_tradnl"/>
              </w:rPr>
              <w:t xml:space="preserve"> paralelo del CDIP.</w:t>
            </w:r>
          </w:p>
        </w:tc>
      </w:tr>
      <w:tr w:rsidR="00DE072E" w:rsidRPr="00956E59" w14:paraId="1717A0E8" w14:textId="77777777" w:rsidTr="00265875">
        <w:trPr>
          <w:trHeight w:val="240"/>
        </w:trPr>
        <w:tc>
          <w:tcPr>
            <w:tcW w:w="4942" w:type="dxa"/>
            <w:tcBorders>
              <w:top w:val="nil"/>
              <w:left w:val="nil"/>
              <w:bottom w:val="nil"/>
              <w:right w:val="nil"/>
            </w:tcBorders>
            <w:shd w:val="clear" w:color="auto" w:fill="auto"/>
            <w:noWrap/>
            <w:vAlign w:val="bottom"/>
            <w:hideMark/>
          </w:tcPr>
          <w:p w14:paraId="1D0FCC90" w14:textId="77777777" w:rsidR="00DE072E" w:rsidRPr="00956E59" w:rsidRDefault="00DE072E" w:rsidP="00265875">
            <w:pPr>
              <w:rPr>
                <w:rFonts w:ascii="Times New Roman" w:hAnsi="Times New Roman" w:cs="Times New Roman"/>
                <w:sz w:val="20"/>
                <w:lang w:val="es-ES_tradnl"/>
              </w:rPr>
            </w:pPr>
          </w:p>
        </w:tc>
        <w:tc>
          <w:tcPr>
            <w:tcW w:w="1890" w:type="dxa"/>
            <w:tcBorders>
              <w:top w:val="nil"/>
              <w:left w:val="nil"/>
              <w:bottom w:val="nil"/>
              <w:right w:val="nil"/>
            </w:tcBorders>
            <w:shd w:val="clear" w:color="auto" w:fill="auto"/>
            <w:noWrap/>
            <w:vAlign w:val="bottom"/>
            <w:hideMark/>
          </w:tcPr>
          <w:p w14:paraId="022767FD" w14:textId="77777777" w:rsidR="00DE072E" w:rsidRPr="00956E59" w:rsidRDefault="00DE072E" w:rsidP="00265875">
            <w:pPr>
              <w:rPr>
                <w:rFonts w:ascii="Times New Roman" w:hAnsi="Times New Roman" w:cs="Times New Roman"/>
                <w:sz w:val="20"/>
                <w:lang w:val="es-ES_tradnl"/>
              </w:rPr>
            </w:pPr>
          </w:p>
        </w:tc>
        <w:tc>
          <w:tcPr>
            <w:tcW w:w="1323" w:type="dxa"/>
            <w:tcBorders>
              <w:top w:val="nil"/>
              <w:left w:val="nil"/>
              <w:bottom w:val="nil"/>
              <w:right w:val="nil"/>
            </w:tcBorders>
            <w:shd w:val="clear" w:color="auto" w:fill="auto"/>
            <w:noWrap/>
            <w:vAlign w:val="bottom"/>
            <w:hideMark/>
          </w:tcPr>
          <w:p w14:paraId="3CCD06D0" w14:textId="77777777" w:rsidR="00DE072E" w:rsidRPr="00956E59" w:rsidRDefault="00DE072E" w:rsidP="00265875">
            <w:pPr>
              <w:rPr>
                <w:rFonts w:ascii="Times New Roman" w:hAnsi="Times New Roman" w:cs="Times New Roman"/>
                <w:sz w:val="20"/>
                <w:lang w:val="es-ES_tradnl"/>
              </w:rPr>
            </w:pPr>
          </w:p>
        </w:tc>
        <w:tc>
          <w:tcPr>
            <w:tcW w:w="1900" w:type="dxa"/>
            <w:tcBorders>
              <w:top w:val="nil"/>
              <w:left w:val="nil"/>
              <w:bottom w:val="nil"/>
              <w:right w:val="nil"/>
            </w:tcBorders>
            <w:shd w:val="clear" w:color="auto" w:fill="auto"/>
            <w:noWrap/>
            <w:vAlign w:val="bottom"/>
            <w:hideMark/>
          </w:tcPr>
          <w:p w14:paraId="208B325B" w14:textId="77777777" w:rsidR="00DE072E" w:rsidRPr="00956E59" w:rsidRDefault="00DE072E" w:rsidP="00265875">
            <w:pPr>
              <w:rPr>
                <w:rFonts w:ascii="Times New Roman" w:hAnsi="Times New Roman" w:cs="Times New Roman"/>
                <w:sz w:val="20"/>
                <w:lang w:val="es-ES_tradnl"/>
              </w:rPr>
            </w:pPr>
          </w:p>
        </w:tc>
      </w:tr>
    </w:tbl>
    <w:p w14:paraId="0084A194" w14:textId="77777777" w:rsidR="003C19DB" w:rsidRPr="00956E59" w:rsidRDefault="0050699A">
      <w:pPr>
        <w:pStyle w:val="Endofdocument-Annex"/>
        <w:spacing w:before="720"/>
        <w:ind w:left="5530"/>
        <w:rPr>
          <w:lang w:val="es-ES_tradnl"/>
        </w:rPr>
      </w:pPr>
      <w:r w:rsidRPr="00956E59">
        <w:rPr>
          <w:lang w:val="es-ES_tradnl"/>
        </w:rPr>
        <w:t>[Fin del Anexo II y del documento]</w:t>
      </w:r>
    </w:p>
    <w:sectPr w:rsidR="003C19DB" w:rsidRPr="00956E59" w:rsidSect="00A902BD">
      <w:headerReference w:type="even" r:id="rId30"/>
      <w:headerReference w:type="default" r:id="rId31"/>
      <w:footerReference w:type="even" r:id="rId32"/>
      <w:footerReference w:type="default" r:id="rId33"/>
      <w:headerReference w:type="first" r:id="rId34"/>
      <w:footerReference w:type="first" r:id="rId3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2C53" w14:textId="77777777" w:rsidR="006271CE" w:rsidRDefault="006271CE">
      <w:r>
        <w:separator/>
      </w:r>
    </w:p>
  </w:endnote>
  <w:endnote w:type="continuationSeparator" w:id="0">
    <w:p w14:paraId="6EEC6318" w14:textId="77777777" w:rsidR="006271CE" w:rsidRPr="009D30E6" w:rsidRDefault="006271CE" w:rsidP="007E663E">
      <w:pPr>
        <w:rPr>
          <w:sz w:val="17"/>
          <w:szCs w:val="17"/>
        </w:rPr>
      </w:pPr>
      <w:r w:rsidRPr="009D30E6">
        <w:rPr>
          <w:sz w:val="17"/>
          <w:szCs w:val="17"/>
        </w:rPr>
        <w:separator/>
      </w:r>
    </w:p>
    <w:p w14:paraId="7DA2879A" w14:textId="77777777" w:rsidR="006271CE" w:rsidRDefault="006271CE">
      <w:pPr>
        <w:spacing w:after="60"/>
        <w:rPr>
          <w:sz w:val="17"/>
          <w:szCs w:val="17"/>
        </w:rPr>
      </w:pPr>
      <w:r>
        <w:rPr>
          <w:sz w:val="17"/>
        </w:rPr>
        <w:t>[Continuación de la nota de la página anterior]</w:t>
      </w:r>
    </w:p>
  </w:endnote>
  <w:endnote w:type="continuationNotice" w:id="1">
    <w:p w14:paraId="2CFF8B78" w14:textId="77777777" w:rsidR="006271CE" w:rsidRDefault="006271CE">
      <w:pPr>
        <w:spacing w:before="60"/>
        <w:jc w:val="right"/>
        <w:rPr>
          <w:sz w:val="17"/>
          <w:szCs w:val="17"/>
        </w:rPr>
      </w:pPr>
      <w:r w:rsidRPr="0075377A">
        <w:rPr>
          <w:sz w:val="17"/>
          <w:szCs w:val="17"/>
        </w:rPr>
        <w:t xml:space="preserve">[Sigue la nota en la </w:t>
      </w:r>
      <w:r>
        <w:rPr>
          <w:sz w:val="17"/>
          <w:szCs w:val="17"/>
        </w:rPr>
        <w:t>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E81" w14:textId="77777777" w:rsidR="00A902BD" w:rsidRDefault="00A9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D3D5" w14:textId="77777777" w:rsidR="00A902BD" w:rsidRDefault="00A90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B61D" w14:textId="77777777" w:rsidR="00A902BD" w:rsidRDefault="00A9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8A13" w14:textId="77777777" w:rsidR="006271CE" w:rsidRDefault="006271CE">
      <w:r>
        <w:separator/>
      </w:r>
    </w:p>
  </w:footnote>
  <w:footnote w:type="continuationSeparator" w:id="0">
    <w:p w14:paraId="193550C4" w14:textId="77777777" w:rsidR="006271CE" w:rsidRPr="009D30E6" w:rsidRDefault="006271CE" w:rsidP="007E663E">
      <w:pPr>
        <w:rPr>
          <w:sz w:val="17"/>
          <w:szCs w:val="17"/>
        </w:rPr>
      </w:pPr>
      <w:r w:rsidRPr="009D30E6">
        <w:rPr>
          <w:sz w:val="17"/>
          <w:szCs w:val="17"/>
        </w:rPr>
        <w:separator/>
      </w:r>
    </w:p>
    <w:p w14:paraId="2D683DCE" w14:textId="77777777" w:rsidR="006271CE" w:rsidRDefault="006271CE">
      <w:pPr>
        <w:spacing w:after="60"/>
        <w:rPr>
          <w:sz w:val="17"/>
          <w:szCs w:val="17"/>
        </w:rPr>
      </w:pPr>
      <w:r>
        <w:rPr>
          <w:sz w:val="17"/>
        </w:rPr>
        <w:t>[Continuación de la nota de la página anterior]</w:t>
      </w:r>
    </w:p>
  </w:footnote>
  <w:footnote w:type="continuationNotice" w:id="1">
    <w:p w14:paraId="1395F9EA" w14:textId="77777777" w:rsidR="006271CE" w:rsidRDefault="006271C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1D" w14:textId="77777777" w:rsidR="003C19DB" w:rsidRDefault="00186CD0">
    <w:pPr>
      <w:jc w:val="right"/>
      <w:rPr>
        <w:caps/>
      </w:rPr>
    </w:pPr>
    <w:r>
      <w:rPr>
        <w:caps/>
      </w:rPr>
      <w:t>CDIP/31/6</w:t>
    </w:r>
  </w:p>
  <w:p w14:paraId="5BC5AFFE" w14:textId="77777777" w:rsidR="003C19DB" w:rsidRDefault="00186CD0">
    <w:pPr>
      <w:jc w:val="right"/>
    </w:pPr>
    <w:r>
      <w:t xml:space="preserve">Anexo I, página </w:t>
    </w:r>
    <w:r>
      <w:fldChar w:fldCharType="begin"/>
    </w:r>
    <w:r>
      <w:instrText xml:space="preserve"> PAGE  \* MERGEFORMAT </w:instrText>
    </w:r>
    <w:r>
      <w:fldChar w:fldCharType="separate"/>
    </w:r>
    <w:r>
      <w:rPr>
        <w:noProof/>
      </w:rPr>
      <w:t>9</w:t>
    </w:r>
    <w:r>
      <w:fldChar w:fldCharType="end"/>
    </w:r>
  </w:p>
  <w:p w14:paraId="49FD8A99" w14:textId="77777777" w:rsidR="00DE072E" w:rsidRDefault="00DE072E">
    <w:pPr>
      <w:pStyle w:val="Header"/>
    </w:pPr>
  </w:p>
  <w:p w14:paraId="1EBAFBEE" w14:textId="77777777" w:rsidR="00DE072E" w:rsidRDefault="00DE0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48F4" w14:textId="77777777" w:rsidR="003C19DB" w:rsidRDefault="00186CD0">
    <w:pPr>
      <w:pStyle w:val="Header"/>
      <w:jc w:val="right"/>
      <w:rPr>
        <w:lang w:val="fr-CH"/>
      </w:rPr>
    </w:pPr>
    <w:r>
      <w:rPr>
        <w:lang w:val="fr-CH"/>
      </w:rPr>
      <w:t>CDIP/31/6</w:t>
    </w:r>
  </w:p>
  <w:p w14:paraId="72E4A176" w14:textId="77777777" w:rsidR="003C19DB" w:rsidRDefault="00186CD0">
    <w:pPr>
      <w:pStyle w:val="Header"/>
      <w:jc w:val="right"/>
      <w:rPr>
        <w:lang w:val="fr-CH"/>
      </w:rPr>
    </w:pPr>
    <w:r>
      <w:rPr>
        <w:lang w:val="fr-CH"/>
      </w:rPr>
      <w:t>ANEXO I</w:t>
    </w:r>
  </w:p>
  <w:p w14:paraId="4813307D" w14:textId="77777777" w:rsidR="00DE072E" w:rsidRDefault="00DE072E">
    <w:pPr>
      <w:pStyle w:val="Header"/>
    </w:pPr>
  </w:p>
  <w:p w14:paraId="233818BC" w14:textId="77777777" w:rsidR="00DE072E" w:rsidRDefault="00DE0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77B3" w14:textId="77777777" w:rsidR="00A902BD" w:rsidRDefault="00A902BD">
    <w:pPr>
      <w:pStyle w:val="Header"/>
    </w:pPr>
  </w:p>
  <w:p w14:paraId="77A0CA91" w14:textId="77777777" w:rsidR="003C19DB" w:rsidRDefault="003C19DB"/>
  <w:p w14:paraId="6E8813E3" w14:textId="77777777" w:rsidR="003C19DB" w:rsidRDefault="003C19D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2C06" w14:textId="77777777" w:rsidR="003C19DB" w:rsidRDefault="00186CD0">
    <w:pPr>
      <w:jc w:val="right"/>
      <w:rPr>
        <w:caps/>
      </w:rPr>
    </w:pPr>
    <w:bookmarkStart w:id="5" w:name="Code2"/>
    <w:bookmarkEnd w:id="5"/>
    <w:r>
      <w:rPr>
        <w:caps/>
      </w:rPr>
      <w:t>CDIP/31/6</w:t>
    </w:r>
  </w:p>
  <w:p w14:paraId="6186D80A" w14:textId="77777777" w:rsidR="003C19DB" w:rsidRDefault="00186CD0">
    <w:pPr>
      <w:jc w:val="right"/>
    </w:pPr>
    <w:r>
      <w:t xml:space="preserve">página </w:t>
    </w:r>
    <w:r>
      <w:fldChar w:fldCharType="begin"/>
    </w:r>
    <w:r>
      <w:instrText xml:space="preserve"> PAGE  \* MERGEFORMAT </w:instrText>
    </w:r>
    <w:r>
      <w:fldChar w:fldCharType="separate"/>
    </w:r>
    <w:r w:rsidR="00A902BD">
      <w:rPr>
        <w:noProof/>
      </w:rPr>
      <w:t>1</w:t>
    </w:r>
    <w:r>
      <w:fldChar w:fldCharType="end"/>
    </w:r>
  </w:p>
  <w:p w14:paraId="0D1AED20" w14:textId="77777777" w:rsidR="00AE7F20" w:rsidRDefault="00AE7F20" w:rsidP="00477D6B">
    <w:pPr>
      <w:jc w:val="right"/>
    </w:pPr>
  </w:p>
  <w:p w14:paraId="5D0790E8" w14:textId="77777777" w:rsidR="00EC1AA7" w:rsidRDefault="00EC1AA7" w:rsidP="00477D6B">
    <w:pPr>
      <w:jc w:val="right"/>
    </w:pPr>
  </w:p>
  <w:p w14:paraId="064EFB89" w14:textId="77777777" w:rsidR="003C19DB" w:rsidRDefault="003C19DB"/>
  <w:p w14:paraId="1F1475C9" w14:textId="77777777" w:rsidR="003C19DB" w:rsidRDefault="003C19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3A5E" w14:textId="77777777" w:rsidR="00090510" w:rsidRDefault="00090510" w:rsidP="00090510">
    <w:pPr>
      <w:jc w:val="right"/>
      <w:rPr>
        <w:caps/>
      </w:rPr>
    </w:pPr>
    <w:r>
      <w:rPr>
        <w:caps/>
      </w:rPr>
      <w:t>CDIP/31/6</w:t>
    </w:r>
  </w:p>
  <w:p w14:paraId="3FA78064" w14:textId="0845FFD8" w:rsidR="00A902BD" w:rsidRDefault="00090510" w:rsidP="00956E59">
    <w:pPr>
      <w:pStyle w:val="Header"/>
      <w:jc w:val="right"/>
    </w:pPr>
    <w:r>
      <w:t>ANEXO II</w:t>
    </w:r>
  </w:p>
  <w:p w14:paraId="0074BB05" w14:textId="77777777" w:rsidR="00956E59" w:rsidRDefault="00956E59" w:rsidP="00956E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A17A1C"/>
    <w:multiLevelType w:val="hybridMultilevel"/>
    <w:tmpl w:val="CDFCBC26"/>
    <w:lvl w:ilvl="0" w:tplc="F014CD62">
      <w:start w:val="4"/>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6" w15:restartNumberingAfterBreak="0">
    <w:nsid w:val="3D286F8B"/>
    <w:multiLevelType w:val="hybridMultilevel"/>
    <w:tmpl w:val="E87213C4"/>
    <w:lvl w:ilvl="0" w:tplc="59268DA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338927869">
    <w:abstractNumId w:val="2"/>
  </w:num>
  <w:num w:numId="2" w16cid:durableId="1264610254">
    <w:abstractNumId w:val="7"/>
  </w:num>
  <w:num w:numId="3" w16cid:durableId="1020861237">
    <w:abstractNumId w:val="0"/>
  </w:num>
  <w:num w:numId="4" w16cid:durableId="902451595">
    <w:abstractNumId w:val="8"/>
  </w:num>
  <w:num w:numId="5" w16cid:durableId="1706444103">
    <w:abstractNumId w:val="1"/>
  </w:num>
  <w:num w:numId="6" w16cid:durableId="33122863">
    <w:abstractNumId w:val="3"/>
  </w:num>
  <w:num w:numId="7" w16cid:durableId="1826623905">
    <w:abstractNumId w:val="12"/>
  </w:num>
  <w:num w:numId="8" w16cid:durableId="78521375">
    <w:abstractNumId w:val="11"/>
  </w:num>
  <w:num w:numId="9" w16cid:durableId="1709866626">
    <w:abstractNumId w:val="10"/>
  </w:num>
  <w:num w:numId="10" w16cid:durableId="380788503">
    <w:abstractNumId w:val="5"/>
  </w:num>
  <w:num w:numId="11" w16cid:durableId="1376589032">
    <w:abstractNumId w:val="4"/>
  </w:num>
  <w:num w:numId="12" w16cid:durableId="1323856324">
    <w:abstractNumId w:val="6"/>
  </w:num>
  <w:num w:numId="13" w16cid:durableId="1274287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BD"/>
    <w:rsid w:val="00010686"/>
    <w:rsid w:val="00034AFE"/>
    <w:rsid w:val="00052915"/>
    <w:rsid w:val="00090510"/>
    <w:rsid w:val="000A10E2"/>
    <w:rsid w:val="000E3BB3"/>
    <w:rsid w:val="000F5E56"/>
    <w:rsid w:val="00111C32"/>
    <w:rsid w:val="001362EE"/>
    <w:rsid w:val="001456C6"/>
    <w:rsid w:val="00152CEA"/>
    <w:rsid w:val="00165449"/>
    <w:rsid w:val="00181747"/>
    <w:rsid w:val="001832A6"/>
    <w:rsid w:val="00186CD0"/>
    <w:rsid w:val="001A13E2"/>
    <w:rsid w:val="001E1B08"/>
    <w:rsid w:val="00235CB3"/>
    <w:rsid w:val="00250DEB"/>
    <w:rsid w:val="002634C4"/>
    <w:rsid w:val="002746E3"/>
    <w:rsid w:val="002C2E2F"/>
    <w:rsid w:val="002D23B5"/>
    <w:rsid w:val="002E0F47"/>
    <w:rsid w:val="002F4E68"/>
    <w:rsid w:val="00310826"/>
    <w:rsid w:val="00343185"/>
    <w:rsid w:val="00354647"/>
    <w:rsid w:val="0035670A"/>
    <w:rsid w:val="00377273"/>
    <w:rsid w:val="003845C1"/>
    <w:rsid w:val="00387287"/>
    <w:rsid w:val="003C19DB"/>
    <w:rsid w:val="003E48F1"/>
    <w:rsid w:val="003F347A"/>
    <w:rsid w:val="00423E3E"/>
    <w:rsid w:val="0042689D"/>
    <w:rsid w:val="00427AF4"/>
    <w:rsid w:val="00444569"/>
    <w:rsid w:val="00445DBA"/>
    <w:rsid w:val="0045231F"/>
    <w:rsid w:val="00455F76"/>
    <w:rsid w:val="004647DA"/>
    <w:rsid w:val="0046793F"/>
    <w:rsid w:val="00472A6E"/>
    <w:rsid w:val="004758D7"/>
    <w:rsid w:val="00477808"/>
    <w:rsid w:val="00477D6B"/>
    <w:rsid w:val="004A1398"/>
    <w:rsid w:val="004A6C37"/>
    <w:rsid w:val="004B4186"/>
    <w:rsid w:val="004E297D"/>
    <w:rsid w:val="0050699A"/>
    <w:rsid w:val="00517144"/>
    <w:rsid w:val="00531B02"/>
    <w:rsid w:val="005332F0"/>
    <w:rsid w:val="005359C2"/>
    <w:rsid w:val="00536D59"/>
    <w:rsid w:val="0055013B"/>
    <w:rsid w:val="00551D82"/>
    <w:rsid w:val="00556824"/>
    <w:rsid w:val="00571B99"/>
    <w:rsid w:val="0058523B"/>
    <w:rsid w:val="005A19B9"/>
    <w:rsid w:val="005B2EAE"/>
    <w:rsid w:val="005C3EE5"/>
    <w:rsid w:val="005D0BE0"/>
    <w:rsid w:val="00605827"/>
    <w:rsid w:val="006271CE"/>
    <w:rsid w:val="00631D54"/>
    <w:rsid w:val="00633E90"/>
    <w:rsid w:val="00637F9F"/>
    <w:rsid w:val="006416F4"/>
    <w:rsid w:val="00642F33"/>
    <w:rsid w:val="00665B32"/>
    <w:rsid w:val="006718B6"/>
    <w:rsid w:val="00675021"/>
    <w:rsid w:val="00677BFE"/>
    <w:rsid w:val="006A06C6"/>
    <w:rsid w:val="006B2520"/>
    <w:rsid w:val="0070202E"/>
    <w:rsid w:val="007224C8"/>
    <w:rsid w:val="00762AC6"/>
    <w:rsid w:val="00794BE2"/>
    <w:rsid w:val="007A5581"/>
    <w:rsid w:val="007B71FE"/>
    <w:rsid w:val="007D781E"/>
    <w:rsid w:val="007E663E"/>
    <w:rsid w:val="008133FB"/>
    <w:rsid w:val="00815082"/>
    <w:rsid w:val="00823BC3"/>
    <w:rsid w:val="008651AF"/>
    <w:rsid w:val="0087693C"/>
    <w:rsid w:val="0088395E"/>
    <w:rsid w:val="008A08DC"/>
    <w:rsid w:val="008B2CC1"/>
    <w:rsid w:val="008E2A30"/>
    <w:rsid w:val="008E6BD6"/>
    <w:rsid w:val="008F06BC"/>
    <w:rsid w:val="0090731E"/>
    <w:rsid w:val="00932696"/>
    <w:rsid w:val="00947721"/>
    <w:rsid w:val="00956E59"/>
    <w:rsid w:val="009601B8"/>
    <w:rsid w:val="00966A22"/>
    <w:rsid w:val="00972F03"/>
    <w:rsid w:val="009813B7"/>
    <w:rsid w:val="0098367F"/>
    <w:rsid w:val="009A0C8B"/>
    <w:rsid w:val="009A20CD"/>
    <w:rsid w:val="009B6241"/>
    <w:rsid w:val="009C0927"/>
    <w:rsid w:val="00A16FC0"/>
    <w:rsid w:val="00A267DC"/>
    <w:rsid w:val="00A32C9E"/>
    <w:rsid w:val="00A40F93"/>
    <w:rsid w:val="00A50031"/>
    <w:rsid w:val="00A77D99"/>
    <w:rsid w:val="00A8250A"/>
    <w:rsid w:val="00A902BD"/>
    <w:rsid w:val="00AB3225"/>
    <w:rsid w:val="00AB4E21"/>
    <w:rsid w:val="00AB613D"/>
    <w:rsid w:val="00AC1E2C"/>
    <w:rsid w:val="00AE7F20"/>
    <w:rsid w:val="00B534D5"/>
    <w:rsid w:val="00B65A0A"/>
    <w:rsid w:val="00B67426"/>
    <w:rsid w:val="00B67CDC"/>
    <w:rsid w:val="00B72D36"/>
    <w:rsid w:val="00B7652C"/>
    <w:rsid w:val="00BC4164"/>
    <w:rsid w:val="00BD2DCC"/>
    <w:rsid w:val="00BF4E6D"/>
    <w:rsid w:val="00BF5A8E"/>
    <w:rsid w:val="00C90559"/>
    <w:rsid w:val="00CA0500"/>
    <w:rsid w:val="00CA2251"/>
    <w:rsid w:val="00CA7D01"/>
    <w:rsid w:val="00CD7ED4"/>
    <w:rsid w:val="00CE53D4"/>
    <w:rsid w:val="00CE67F1"/>
    <w:rsid w:val="00D01704"/>
    <w:rsid w:val="00D0486A"/>
    <w:rsid w:val="00D24FF8"/>
    <w:rsid w:val="00D56C7C"/>
    <w:rsid w:val="00D57301"/>
    <w:rsid w:val="00D655D9"/>
    <w:rsid w:val="00D71B4D"/>
    <w:rsid w:val="00D90289"/>
    <w:rsid w:val="00D93D55"/>
    <w:rsid w:val="00D974B4"/>
    <w:rsid w:val="00DA15F9"/>
    <w:rsid w:val="00DC3A89"/>
    <w:rsid w:val="00DC4C60"/>
    <w:rsid w:val="00DD6CF4"/>
    <w:rsid w:val="00DE072E"/>
    <w:rsid w:val="00DE6626"/>
    <w:rsid w:val="00DF13F9"/>
    <w:rsid w:val="00E0079A"/>
    <w:rsid w:val="00E21DBD"/>
    <w:rsid w:val="00E31D97"/>
    <w:rsid w:val="00E444DA"/>
    <w:rsid w:val="00E45C84"/>
    <w:rsid w:val="00E504E5"/>
    <w:rsid w:val="00E5173D"/>
    <w:rsid w:val="00E53490"/>
    <w:rsid w:val="00E6774A"/>
    <w:rsid w:val="00EB0D93"/>
    <w:rsid w:val="00EB7A3E"/>
    <w:rsid w:val="00EC1AA7"/>
    <w:rsid w:val="00EC401A"/>
    <w:rsid w:val="00EF530A"/>
    <w:rsid w:val="00EF6622"/>
    <w:rsid w:val="00EF78A9"/>
    <w:rsid w:val="00F042DD"/>
    <w:rsid w:val="00F14B15"/>
    <w:rsid w:val="00F55408"/>
    <w:rsid w:val="00F66152"/>
    <w:rsid w:val="00F7359F"/>
    <w:rsid w:val="00F80845"/>
    <w:rsid w:val="00F84474"/>
    <w:rsid w:val="00FA0F0D"/>
    <w:rsid w:val="00FB31F5"/>
    <w:rsid w:val="00FB489B"/>
    <w:rsid w:val="00FD59D1"/>
    <w:rsid w:val="00FE1B32"/>
    <w:rsid w:val="00FE33D5"/>
    <w:rsid w:val="00FE7116"/>
    <w:rsid w:val="00FF34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AE3B07"/>
  <w15:docId w15:val="{70F49B4C-C9A0-4709-BCD2-ADEBEA36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ableParagraph">
    <w:name w:val="Table Paragraph"/>
    <w:basedOn w:val="Normal"/>
    <w:uiPriority w:val="1"/>
    <w:qFormat/>
    <w:rsid w:val="00DE072E"/>
    <w:pPr>
      <w:widowControl w:val="0"/>
      <w:autoSpaceDE w:val="0"/>
      <w:autoSpaceDN w:val="0"/>
    </w:pPr>
    <w:rPr>
      <w:rFonts w:eastAsia="Arial"/>
      <w:szCs w:val="22"/>
      <w:lang w:val="en-US" w:eastAsia="en-US"/>
    </w:rPr>
  </w:style>
  <w:style w:type="character" w:styleId="Hyperlink">
    <w:name w:val="Hyperlink"/>
    <w:basedOn w:val="DefaultParagraphFont"/>
    <w:unhideWhenUsed/>
    <w:rsid w:val="00DE072E"/>
    <w:rPr>
      <w:color w:val="0000FF" w:themeColor="hyperlink"/>
      <w:u w:val="single"/>
    </w:rPr>
  </w:style>
  <w:style w:type="character" w:styleId="FollowedHyperlink">
    <w:name w:val="FollowedHyperlink"/>
    <w:basedOn w:val="DefaultParagraphFont"/>
    <w:semiHidden/>
    <w:unhideWhenUsed/>
    <w:rsid w:val="00DE072E"/>
    <w:rPr>
      <w:color w:val="800080" w:themeColor="followedHyperlink"/>
      <w:u w:val="single"/>
    </w:rPr>
  </w:style>
  <w:style w:type="character" w:customStyle="1" w:styleId="Heading3Char">
    <w:name w:val="Heading 3 Char"/>
    <w:link w:val="Heading3"/>
    <w:rsid w:val="00DE072E"/>
    <w:rPr>
      <w:rFonts w:ascii="Arial" w:eastAsia="SimSun" w:hAnsi="Arial" w:cs="Arial"/>
      <w:bCs/>
      <w:sz w:val="22"/>
      <w:szCs w:val="26"/>
      <w:u w:val="single"/>
      <w:lang w:val="es-ES" w:eastAsia="zh-CN"/>
    </w:rPr>
  </w:style>
  <w:style w:type="character" w:customStyle="1" w:styleId="Heading2Char">
    <w:name w:val="Heading 2 Char"/>
    <w:link w:val="Heading2"/>
    <w:rsid w:val="00DE072E"/>
    <w:rPr>
      <w:rFonts w:ascii="Arial" w:eastAsia="SimSun" w:hAnsi="Arial" w:cs="Arial"/>
      <w:bCs/>
      <w:iCs/>
      <w:caps/>
      <w:sz w:val="22"/>
      <w:szCs w:val="28"/>
      <w:lang w:val="es-ES" w:eastAsia="zh-CN"/>
    </w:rPr>
  </w:style>
  <w:style w:type="character" w:styleId="CommentReference">
    <w:name w:val="annotation reference"/>
    <w:basedOn w:val="DefaultParagraphFont"/>
    <w:semiHidden/>
    <w:unhideWhenUsed/>
    <w:rsid w:val="00DE072E"/>
    <w:rPr>
      <w:sz w:val="16"/>
      <w:szCs w:val="16"/>
    </w:rPr>
  </w:style>
  <w:style w:type="paragraph" w:styleId="CommentSubject">
    <w:name w:val="annotation subject"/>
    <w:basedOn w:val="CommentText"/>
    <w:next w:val="CommentText"/>
    <w:link w:val="CommentSubjectChar"/>
    <w:semiHidden/>
    <w:unhideWhenUsed/>
    <w:rsid w:val="00DE072E"/>
    <w:pPr>
      <w:widowControl w:val="0"/>
      <w:autoSpaceDE w:val="0"/>
      <w:autoSpaceDN w:val="0"/>
    </w:pPr>
    <w:rPr>
      <w:rFonts w:eastAsia="Arial"/>
      <w:b/>
      <w:bCs/>
      <w:sz w:val="20"/>
      <w:lang w:val="en-US" w:eastAsia="en-US"/>
    </w:rPr>
  </w:style>
  <w:style w:type="character" w:customStyle="1" w:styleId="CommentTextChar">
    <w:name w:val="Comment Text Char"/>
    <w:basedOn w:val="DefaultParagraphFont"/>
    <w:link w:val="CommentText"/>
    <w:semiHidden/>
    <w:rsid w:val="00DE072E"/>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DE072E"/>
    <w:rPr>
      <w:rFonts w:ascii="Arial" w:eastAsia="Arial" w:hAnsi="Arial" w:cs="Arial"/>
      <w:b/>
      <w:bCs/>
      <w:sz w:val="18"/>
      <w:lang w:val="en-US" w:eastAsia="en-US"/>
    </w:rPr>
  </w:style>
  <w:style w:type="paragraph" w:styleId="BalloonText">
    <w:name w:val="Balloon Text"/>
    <w:basedOn w:val="Normal"/>
    <w:link w:val="BalloonTextChar"/>
    <w:semiHidden/>
    <w:unhideWhenUsed/>
    <w:rsid w:val="00DE072E"/>
    <w:pPr>
      <w:widowControl w:val="0"/>
      <w:autoSpaceDE w:val="0"/>
      <w:autoSpaceDN w:val="0"/>
    </w:pPr>
    <w:rPr>
      <w:rFonts w:ascii="Segoe UI" w:eastAsia="Arial" w:hAnsi="Segoe UI" w:cs="Segoe UI"/>
      <w:sz w:val="18"/>
      <w:szCs w:val="18"/>
      <w:lang w:val="en-US" w:eastAsia="en-US"/>
    </w:rPr>
  </w:style>
  <w:style w:type="character" w:customStyle="1" w:styleId="BalloonTextChar">
    <w:name w:val="Balloon Text Char"/>
    <w:basedOn w:val="DefaultParagraphFont"/>
    <w:link w:val="BalloonText"/>
    <w:semiHidden/>
    <w:rsid w:val="00DE072E"/>
    <w:rPr>
      <w:rFonts w:ascii="Segoe UI" w:eastAsia="Arial" w:hAnsi="Segoe UI" w:cs="Segoe UI"/>
      <w:sz w:val="18"/>
      <w:szCs w:val="18"/>
      <w:lang w:val="en-US" w:eastAsia="en-US"/>
    </w:rPr>
  </w:style>
  <w:style w:type="paragraph" w:styleId="ListParagraph">
    <w:name w:val="List Paragraph"/>
    <w:basedOn w:val="Normal"/>
    <w:uiPriority w:val="34"/>
    <w:qFormat/>
    <w:rsid w:val="00DE072E"/>
    <w:pPr>
      <w:widowControl w:val="0"/>
      <w:autoSpaceDE w:val="0"/>
      <w:autoSpaceDN w:val="0"/>
      <w:ind w:left="720"/>
      <w:contextualSpacing/>
    </w:pPr>
    <w:rPr>
      <w:rFonts w:eastAsia="Arial"/>
      <w:szCs w:val="22"/>
      <w:lang w:val="en-US" w:eastAsia="en-US"/>
    </w:rPr>
  </w:style>
  <w:style w:type="character" w:styleId="FootnoteReference">
    <w:name w:val="footnote reference"/>
    <w:basedOn w:val="DefaultParagraphFont"/>
    <w:semiHidden/>
    <w:unhideWhenUsed/>
    <w:rsid w:val="00DE072E"/>
    <w:rPr>
      <w:vertAlign w:val="superscript"/>
    </w:rPr>
  </w:style>
  <w:style w:type="character" w:customStyle="1" w:styleId="BodyTextChar">
    <w:name w:val="Body Text Char"/>
    <w:basedOn w:val="DefaultParagraphFont"/>
    <w:link w:val="BodyText"/>
    <w:uiPriority w:val="1"/>
    <w:rsid w:val="0050699A"/>
    <w:rPr>
      <w:rFonts w:ascii="Arial" w:eastAsia="SimSun" w:hAnsi="Arial" w:cs="Arial"/>
      <w:sz w:val="22"/>
      <w:lang w:val="es-ES" w:eastAsia="zh-CN"/>
    </w:rPr>
  </w:style>
  <w:style w:type="character" w:customStyle="1" w:styleId="Heading1Char">
    <w:name w:val="Heading 1 Char"/>
    <w:basedOn w:val="DefaultParagraphFont"/>
    <w:link w:val="Heading1"/>
    <w:rsid w:val="0050699A"/>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catalogue.wipo.int/projectfiles/DA_1_3_4_10_11_16_25_35_01/Study_Part_1/ES/LATAM%20AV%20study_part_1_ES.pdf" TargetMode="External"/><Relationship Id="rId18" Type="http://schemas.openxmlformats.org/officeDocument/2006/relationships/hyperlink" Target="https://dacatalogue.wipo.int/projectfiles/DA_1_3_4_10_11_16_25_35_01/Part_5/EN/LATAM%20AV%20study_part_5_EN.pdf" TargetMode="External"/><Relationship Id="rId26" Type="http://schemas.openxmlformats.org/officeDocument/2006/relationships/hyperlink" Target="https://dacatalogue.wipo.int/projectfiles/DA_1_3_4_10_11_16_25_35_01/Case_Study_VI/EN/LATAM%20AV%20case%20study%206%20EN.pdf" TargetMode="External"/><Relationship Id="rId21" Type="http://schemas.openxmlformats.org/officeDocument/2006/relationships/hyperlink" Target="https://dacatalogue.wipo.int/projectfiles/DA_1_3_4_10_11_16_25_35_01/Case_Study_I/ES/LATAM%20AV%20case%20study%201%20ES.pdf"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dacatalogue.wipo.int/projects/DA_1_3_4_10_11_16_25_35_01" TargetMode="External"/><Relationship Id="rId17" Type="http://schemas.openxmlformats.org/officeDocument/2006/relationships/hyperlink" Target="https://dacatalogue.wipo.int/projectfiles/DA_1_3_4_10_11_16_25_35_01/Part_4/EN/LATAM%20AV%20study_part_4_EN.pdf" TargetMode="External"/><Relationship Id="rId25" Type="http://schemas.openxmlformats.org/officeDocument/2006/relationships/hyperlink" Target="https://dacatalogue.wipo.int/projectfiles/DA_1_3_4_10_11_16_25_35_01/Case_Study_V/EN/LATAM%20AV%20case%20study%205%20EN.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acatalogue.wipo.int/projectfiles/DA_1_3_4_10_11_16_25_35_01/Part_3/ES/LATAM%20AV%20study_part_3_ES.pdf" TargetMode="External"/><Relationship Id="rId20" Type="http://schemas.openxmlformats.org/officeDocument/2006/relationships/hyperlink" Target="https://dacatalogue.wipo.int/projectfiles/DA_1_3_4_10_11_16_25_35_01/Orphan_Works/EN/LATAM%20AV%20study_Public_Domain_E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ip-development/en/agenda/recommendations.html" TargetMode="External"/><Relationship Id="rId24" Type="http://schemas.openxmlformats.org/officeDocument/2006/relationships/hyperlink" Target="https://dacatalogue.wipo.int/projectfiles/DA_1_3_4_10_11_16_25_35_01/Case_Study_IV/EN/LATAM%20AV%20case%20study%204%20EN.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ou\AppData\Roaming\OpenText\OTEdit\EC_kic\c18507624\LATAM%2520AV%2520Annex%2520to%2520study_part_2_ES%2520(2).pdf" TargetMode="External"/><Relationship Id="rId23" Type="http://schemas.openxmlformats.org/officeDocument/2006/relationships/hyperlink" Target="https://dacatalogue.wipo.int/projectfiles/DA_1_3_4_10_11_16_25_35_01/Case_Study_III/ES/LATAM%20AV%20case%20study%203%20ES.pdf" TargetMode="External"/><Relationship Id="rId28" Type="http://schemas.openxmlformats.org/officeDocument/2006/relationships/hyperlink" Target="https://dacatalogue.wipo.int/projectfiles/DA_1_3_4_10_11_16_25_35_01/Orphan_Works/EN/LATAM%20AV%20study_Public_Domain_ES.pdf" TargetMode="External"/><Relationship Id="rId36" Type="http://schemas.openxmlformats.org/officeDocument/2006/relationships/fontTable" Target="fontTable.xml"/><Relationship Id="rId10" Type="http://schemas.openxmlformats.org/officeDocument/2006/relationships/hyperlink" Target="https://www.wipo.int/meetings/en/doc_details.jsp?doc_id=421771" TargetMode="External"/><Relationship Id="rId19" Type="http://schemas.openxmlformats.org/officeDocument/2006/relationships/hyperlink" Target="https://dacatalogue.wipo.int/projectfiles/DA_1_3_4_10_11_16_25_35_01/Part_6/ES/LATAM%20AV%20study_part_6_ES.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acatalogue.wipo.int/projectfiles/DA_1_3_4_10_11_16_25_35_01/Part_2/ES/LATAM%20AV%20study_part_2_ES.pdf" TargetMode="External"/><Relationship Id="rId22" Type="http://schemas.openxmlformats.org/officeDocument/2006/relationships/hyperlink" Target="https://dacatalogue.wipo.int/projectfiles/DA_1_3_4_10_11_16_25_35_01/Case_Study_II/EN/LATAM%20AV%20case%20study%202%20EN.pdf" TargetMode="External"/><Relationship Id="rId27" Type="http://schemas.openxmlformats.org/officeDocument/2006/relationships/hyperlink" Target="https://dacatalogue.wipo.int/projectfiles/DA_1_3_4_10_11_16_25_35_01/Case_Study_VII/EN/LATAM%20AV%20case%20study%207%20ES.pdf" TargetMode="External"/><Relationship Id="rId30" Type="http://schemas.openxmlformats.org/officeDocument/2006/relationships/header" Target="header3.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7EBB-23B8-460B-92E7-0102605C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4184</Words>
  <Characters>27501</Characters>
  <Application>Microsoft Office Word</Application>
  <DocSecurity>0</DocSecurity>
  <Lines>229</Lines>
  <Paragraphs>63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CDIP/31/</vt:lpstr>
      <vt:lpstr>CDIP/31/</vt:lpstr>
      <vt:lpstr>CDIP/31/</vt:lpstr>
    </vt:vector>
  </TitlesOfParts>
  <Company>WIPO</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REGUEIRA MIRA Claudia</dc:creator>
  <cp:keywords>FOR OFFICIAL USE ONLY, docId:B35FEDB382309DD98AB053DC1193A6AD</cp:keywords>
  <cp:lastModifiedBy>PANAKAL Joseph Lazar</cp:lastModifiedBy>
  <cp:revision>2</cp:revision>
  <dcterms:created xsi:type="dcterms:W3CDTF">2023-09-22T08:40:00Z</dcterms:created>
  <dcterms:modified xsi:type="dcterms:W3CDTF">2023-09-22T08:40:00Z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