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66F" w14:textId="77777777" w:rsidR="008B2CC1" w:rsidRPr="00A068EC" w:rsidRDefault="00DB0349" w:rsidP="009D796C">
      <w:pPr>
        <w:spacing w:after="120"/>
        <w:jc w:val="right"/>
        <w:rPr>
          <w:lang w:val="fr-FR"/>
        </w:rPr>
      </w:pPr>
      <w:r w:rsidRPr="00A068EC">
        <w:rPr>
          <w:noProof/>
          <w:lang w:val="fr-FR" w:eastAsia="ja-JP"/>
        </w:rPr>
        <w:drawing>
          <wp:inline distT="0" distB="0" distL="0" distR="0" wp14:anchorId="5F31E3E4" wp14:editId="180096B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A068EC">
        <w:rPr>
          <w:rFonts w:ascii="Arial Black" w:hAnsi="Arial Black"/>
          <w:caps/>
          <w:noProof/>
          <w:sz w:val="15"/>
          <w:szCs w:val="15"/>
          <w:lang w:val="fr-FR" w:eastAsia="ja-JP"/>
        </w:rPr>
        <mc:AlternateContent>
          <mc:Choice Requires="wps">
            <w:drawing>
              <wp:inline distT="0" distB="0" distL="0" distR="0" wp14:anchorId="69A2D21B" wp14:editId="266337A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077A2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2E7B448" w14:textId="77777777" w:rsidR="008B2CC1" w:rsidRPr="00A068EC" w:rsidRDefault="00170776" w:rsidP="009D796C">
      <w:pPr>
        <w:jc w:val="right"/>
        <w:rPr>
          <w:rFonts w:ascii="Arial Black" w:hAnsi="Arial Black"/>
          <w:caps/>
          <w:sz w:val="15"/>
          <w:szCs w:val="15"/>
          <w:lang w:val="fr-FR"/>
        </w:rPr>
      </w:pPr>
      <w:r w:rsidRPr="00A068EC">
        <w:rPr>
          <w:rFonts w:ascii="Arial Black" w:hAnsi="Arial Black"/>
          <w:caps/>
          <w:sz w:val="15"/>
          <w:szCs w:val="15"/>
          <w:lang w:val="fr-FR"/>
        </w:rPr>
        <w:t>BP/A/</w:t>
      </w:r>
      <w:r w:rsidR="005A156F" w:rsidRPr="00A068EC">
        <w:rPr>
          <w:rFonts w:ascii="Arial Black" w:hAnsi="Arial Black"/>
          <w:caps/>
          <w:sz w:val="15"/>
          <w:szCs w:val="15"/>
          <w:lang w:val="fr-FR"/>
        </w:rPr>
        <w:t>41</w:t>
      </w:r>
      <w:r w:rsidRPr="00A068EC">
        <w:rPr>
          <w:rFonts w:ascii="Arial Black" w:hAnsi="Arial Black"/>
          <w:caps/>
          <w:sz w:val="15"/>
          <w:szCs w:val="15"/>
          <w:lang w:val="fr-FR"/>
        </w:rPr>
        <w:t>/</w:t>
      </w:r>
      <w:bookmarkStart w:id="0" w:name="Code"/>
      <w:r w:rsidR="00FA04D4" w:rsidRPr="00A068EC">
        <w:rPr>
          <w:rFonts w:ascii="Arial Black" w:hAnsi="Arial Black"/>
          <w:caps/>
          <w:sz w:val="15"/>
          <w:szCs w:val="15"/>
          <w:lang w:val="fr-FR"/>
        </w:rPr>
        <w:t>1</w:t>
      </w:r>
    </w:p>
    <w:bookmarkEnd w:id="0"/>
    <w:p w14:paraId="7DFBED78" w14:textId="35F14AA0" w:rsidR="008B2CC1" w:rsidRPr="00A068EC" w:rsidRDefault="00DB0349" w:rsidP="009D796C">
      <w:pPr>
        <w:jc w:val="right"/>
        <w:rPr>
          <w:rFonts w:ascii="Arial Black" w:hAnsi="Arial Black"/>
          <w:caps/>
          <w:sz w:val="15"/>
          <w:szCs w:val="15"/>
          <w:lang w:val="fr-FR"/>
        </w:rPr>
      </w:pPr>
      <w:r w:rsidRPr="00A068EC">
        <w:rPr>
          <w:rFonts w:ascii="Arial Black" w:hAnsi="Arial Black"/>
          <w:caps/>
          <w:sz w:val="15"/>
          <w:szCs w:val="15"/>
          <w:lang w:val="fr-FR"/>
        </w:rPr>
        <w:t>Original</w:t>
      </w:r>
      <w:r w:rsidR="00DE166D" w:rsidRPr="00A068EC">
        <w:rPr>
          <w:rFonts w:ascii="Arial Black" w:hAnsi="Arial Black"/>
          <w:caps/>
          <w:sz w:val="15"/>
          <w:szCs w:val="15"/>
          <w:lang w:val="fr-FR"/>
        </w:rPr>
        <w:t> :</w:t>
      </w:r>
      <w:bookmarkStart w:id="1" w:name="Original"/>
      <w:r w:rsidR="00FA04D4" w:rsidRPr="00A068EC">
        <w:rPr>
          <w:rFonts w:ascii="Arial Black" w:hAnsi="Arial Black"/>
          <w:caps/>
          <w:sz w:val="15"/>
          <w:szCs w:val="15"/>
          <w:lang w:val="fr-FR"/>
        </w:rPr>
        <w:t xml:space="preserve"> anglais</w:t>
      </w:r>
    </w:p>
    <w:bookmarkEnd w:id="1"/>
    <w:p w14:paraId="44D20117" w14:textId="222DC7D7" w:rsidR="008B2CC1" w:rsidRPr="00A068EC" w:rsidRDefault="00DB0349" w:rsidP="009D796C">
      <w:pPr>
        <w:spacing w:after="1200"/>
        <w:jc w:val="right"/>
        <w:rPr>
          <w:rFonts w:ascii="Arial Black" w:hAnsi="Arial Black"/>
          <w:caps/>
          <w:sz w:val="15"/>
          <w:szCs w:val="15"/>
          <w:lang w:val="fr-FR"/>
        </w:rPr>
      </w:pPr>
      <w:r w:rsidRPr="00A068EC">
        <w:rPr>
          <w:rFonts w:ascii="Arial Black" w:hAnsi="Arial Black"/>
          <w:caps/>
          <w:sz w:val="15"/>
          <w:szCs w:val="15"/>
          <w:lang w:val="fr-FR"/>
        </w:rPr>
        <w:t>date</w:t>
      </w:r>
      <w:r w:rsidR="00DE166D" w:rsidRPr="00A068EC">
        <w:rPr>
          <w:rFonts w:ascii="Arial Black" w:hAnsi="Arial Black"/>
          <w:caps/>
          <w:sz w:val="15"/>
          <w:szCs w:val="15"/>
          <w:lang w:val="fr-FR"/>
        </w:rPr>
        <w:t> :</w:t>
      </w:r>
      <w:r w:rsidRPr="00A068EC">
        <w:rPr>
          <w:rFonts w:ascii="Arial Black" w:hAnsi="Arial Black"/>
          <w:caps/>
          <w:sz w:val="15"/>
          <w:szCs w:val="15"/>
          <w:lang w:val="fr-FR"/>
        </w:rPr>
        <w:t xml:space="preserve"> </w:t>
      </w:r>
      <w:bookmarkStart w:id="2" w:name="Date"/>
      <w:r w:rsidR="00FA04D4" w:rsidRPr="00A068EC">
        <w:rPr>
          <w:rFonts w:ascii="Arial Black" w:hAnsi="Arial Black"/>
          <w:caps/>
          <w:sz w:val="15"/>
          <w:szCs w:val="15"/>
          <w:lang w:val="fr-FR"/>
        </w:rPr>
        <w:t>8 mai 2024</w:t>
      </w:r>
    </w:p>
    <w:bookmarkEnd w:id="2"/>
    <w:p w14:paraId="4780A9CB" w14:textId="1D62412D" w:rsidR="00C40E15" w:rsidRPr="00A068EC" w:rsidRDefault="00170776" w:rsidP="009D796C">
      <w:pPr>
        <w:spacing w:after="600"/>
        <w:rPr>
          <w:b/>
          <w:sz w:val="28"/>
          <w:szCs w:val="28"/>
          <w:lang w:val="fr-FR"/>
        </w:rPr>
      </w:pPr>
      <w:r w:rsidRPr="00A068EC">
        <w:rPr>
          <w:b/>
          <w:sz w:val="28"/>
          <w:szCs w:val="28"/>
          <w:lang w:val="fr-FR"/>
        </w:rPr>
        <w:t>Union pour la reconnaissance internationale du dépôt des micro</w:t>
      </w:r>
      <w:r w:rsidR="00132BF1">
        <w:rPr>
          <w:b/>
          <w:sz w:val="28"/>
          <w:szCs w:val="28"/>
          <w:lang w:val="fr-FR"/>
        </w:rPr>
        <w:noBreakHyphen/>
      </w:r>
      <w:r w:rsidRPr="00A068EC">
        <w:rPr>
          <w:b/>
          <w:sz w:val="28"/>
          <w:szCs w:val="28"/>
          <w:lang w:val="fr-FR"/>
        </w:rPr>
        <w:t>organismes aux fins de la procédure en matière de brevets (Union de Budapest)</w:t>
      </w:r>
    </w:p>
    <w:p w14:paraId="2DFEB3CD" w14:textId="77777777" w:rsidR="003845C1" w:rsidRPr="00A068EC" w:rsidRDefault="00C40E15" w:rsidP="009D796C">
      <w:pPr>
        <w:spacing w:after="720"/>
        <w:rPr>
          <w:b/>
          <w:sz w:val="28"/>
          <w:szCs w:val="28"/>
          <w:lang w:val="fr-FR"/>
        </w:rPr>
      </w:pPr>
      <w:r w:rsidRPr="00A068EC">
        <w:rPr>
          <w:b/>
          <w:sz w:val="28"/>
          <w:szCs w:val="28"/>
          <w:lang w:val="fr-FR"/>
        </w:rPr>
        <w:t>Assemblée</w:t>
      </w:r>
    </w:p>
    <w:p w14:paraId="1F449E42" w14:textId="540C13BA" w:rsidR="008B2CC1" w:rsidRPr="00A068EC" w:rsidRDefault="00E02D5D" w:rsidP="009D796C">
      <w:pPr>
        <w:rPr>
          <w:b/>
          <w:sz w:val="24"/>
          <w:szCs w:val="24"/>
          <w:lang w:val="fr-FR"/>
        </w:rPr>
      </w:pPr>
      <w:r w:rsidRPr="00A068EC">
        <w:rPr>
          <w:b/>
          <w:sz w:val="24"/>
          <w:szCs w:val="24"/>
          <w:lang w:val="fr-FR"/>
        </w:rPr>
        <w:t>Quarante</w:t>
      </w:r>
      <w:r w:rsidR="00DE166D" w:rsidRPr="00A068EC">
        <w:rPr>
          <w:b/>
          <w:sz w:val="24"/>
          <w:szCs w:val="24"/>
          <w:lang w:val="fr-FR"/>
        </w:rPr>
        <w:t> et unième session</w:t>
      </w:r>
      <w:r w:rsidR="005671A9" w:rsidRPr="00A068EC">
        <w:rPr>
          <w:b/>
          <w:sz w:val="24"/>
          <w:szCs w:val="24"/>
          <w:lang w:val="fr-FR"/>
        </w:rPr>
        <w:t xml:space="preserve"> </w:t>
      </w:r>
      <w:r w:rsidR="00170776" w:rsidRPr="00A068EC">
        <w:rPr>
          <w:b/>
          <w:sz w:val="24"/>
          <w:szCs w:val="24"/>
          <w:lang w:val="fr-FR"/>
        </w:rPr>
        <w:t>(1</w:t>
      </w:r>
      <w:r w:rsidR="00172A07" w:rsidRPr="00A068EC">
        <w:rPr>
          <w:b/>
          <w:sz w:val="24"/>
          <w:szCs w:val="24"/>
          <w:lang w:val="fr-FR"/>
        </w:rPr>
        <w:t>9</w:t>
      </w:r>
      <w:r w:rsidR="00170776" w:rsidRPr="00A068EC">
        <w:rPr>
          <w:b/>
          <w:sz w:val="24"/>
          <w:szCs w:val="24"/>
          <w:vertAlign w:val="superscript"/>
          <w:lang w:val="fr-FR"/>
        </w:rPr>
        <w:t>e</w:t>
      </w:r>
      <w:r w:rsidR="00132BF1">
        <w:rPr>
          <w:b/>
          <w:sz w:val="24"/>
          <w:szCs w:val="24"/>
          <w:lang w:val="fr-FR"/>
        </w:rPr>
        <w:t> </w:t>
      </w:r>
      <w:r w:rsidR="00170776" w:rsidRPr="00A068EC">
        <w:rPr>
          <w:b/>
          <w:sz w:val="24"/>
          <w:szCs w:val="24"/>
          <w:lang w:val="fr-FR"/>
        </w:rPr>
        <w:t>session extraordinaire)</w:t>
      </w:r>
    </w:p>
    <w:p w14:paraId="26781B33" w14:textId="535D9291" w:rsidR="008B2CC1" w:rsidRPr="00A068EC" w:rsidRDefault="00170776" w:rsidP="009D796C">
      <w:pPr>
        <w:spacing w:after="720"/>
        <w:rPr>
          <w:b/>
          <w:sz w:val="24"/>
          <w:szCs w:val="24"/>
          <w:lang w:val="fr-FR"/>
        </w:rPr>
      </w:pPr>
      <w:r w:rsidRPr="00A068EC">
        <w:rPr>
          <w:b/>
          <w:sz w:val="24"/>
          <w:szCs w:val="24"/>
          <w:lang w:val="fr-FR"/>
        </w:rPr>
        <w:t xml:space="preserve">Genève, </w:t>
      </w:r>
      <w:r w:rsidR="005A156F" w:rsidRPr="00A068EC">
        <w:rPr>
          <w:b/>
          <w:sz w:val="24"/>
          <w:szCs w:val="24"/>
          <w:lang w:val="fr-FR"/>
        </w:rPr>
        <w:t>9</w:t>
      </w:r>
      <w:r w:rsidRPr="00A068EC">
        <w:rPr>
          <w:b/>
          <w:sz w:val="24"/>
          <w:szCs w:val="24"/>
          <w:lang w:val="fr-FR"/>
        </w:rPr>
        <w:t xml:space="preserve"> – </w:t>
      </w:r>
      <w:r w:rsidR="005A156F" w:rsidRPr="00A068EC">
        <w:rPr>
          <w:b/>
          <w:sz w:val="24"/>
          <w:szCs w:val="24"/>
          <w:lang w:val="fr-FR"/>
        </w:rPr>
        <w:t>1</w:t>
      </w:r>
      <w:r w:rsidR="00DE166D" w:rsidRPr="00A068EC">
        <w:rPr>
          <w:b/>
          <w:sz w:val="24"/>
          <w:szCs w:val="24"/>
          <w:lang w:val="fr-FR"/>
        </w:rPr>
        <w:t>7 juillet 20</w:t>
      </w:r>
      <w:r w:rsidRPr="00A068EC">
        <w:rPr>
          <w:b/>
          <w:sz w:val="24"/>
          <w:szCs w:val="24"/>
          <w:lang w:val="fr-FR"/>
        </w:rPr>
        <w:t>2</w:t>
      </w:r>
      <w:r w:rsidR="005A156F" w:rsidRPr="00A068EC">
        <w:rPr>
          <w:b/>
          <w:sz w:val="24"/>
          <w:szCs w:val="24"/>
          <w:lang w:val="fr-FR"/>
        </w:rPr>
        <w:t>4</w:t>
      </w:r>
    </w:p>
    <w:p w14:paraId="68B84978" w14:textId="3E270DC7" w:rsidR="008B2CC1" w:rsidRPr="00A068EC" w:rsidRDefault="00FA04D4" w:rsidP="009D796C">
      <w:pPr>
        <w:spacing w:after="360"/>
        <w:rPr>
          <w:caps/>
          <w:sz w:val="24"/>
          <w:lang w:val="fr-FR"/>
        </w:rPr>
      </w:pPr>
      <w:bookmarkStart w:id="3" w:name="TitleOfDoc"/>
      <w:r w:rsidRPr="00A068EC">
        <w:rPr>
          <w:caps/>
          <w:sz w:val="24"/>
          <w:lang w:val="fr-FR"/>
        </w:rPr>
        <w:t>Rapport d</w:t>
      </w:r>
      <w:r w:rsidR="00DE166D" w:rsidRPr="00A068EC">
        <w:rPr>
          <w:caps/>
          <w:sz w:val="24"/>
          <w:lang w:val="fr-FR"/>
        </w:rPr>
        <w:t>’</w:t>
      </w:r>
      <w:r w:rsidRPr="00A068EC">
        <w:rPr>
          <w:caps/>
          <w:sz w:val="24"/>
          <w:lang w:val="fr-FR"/>
        </w:rPr>
        <w:t>activité sur le fonctionnement du système de Budapest</w:t>
      </w:r>
    </w:p>
    <w:p w14:paraId="00E7678D" w14:textId="1D4943CE" w:rsidR="00525B63" w:rsidRPr="00A068EC" w:rsidRDefault="00FA04D4" w:rsidP="009D796C">
      <w:pPr>
        <w:spacing w:after="960"/>
        <w:rPr>
          <w:i/>
          <w:iCs/>
          <w:lang w:val="fr-FR"/>
        </w:rPr>
      </w:pPr>
      <w:bookmarkStart w:id="4" w:name="Prepared"/>
      <w:bookmarkEnd w:id="3"/>
      <w:proofErr w:type="gramStart"/>
      <w:r w:rsidRPr="00A068EC">
        <w:rPr>
          <w:i/>
          <w:lang w:val="fr-FR"/>
        </w:rPr>
        <w:t>établi</w:t>
      </w:r>
      <w:proofErr w:type="gramEnd"/>
      <w:r w:rsidRPr="00A068EC">
        <w:rPr>
          <w:i/>
          <w:lang w:val="fr-FR"/>
        </w:rPr>
        <w:t xml:space="preserve"> par le Bureau international</w:t>
      </w:r>
    </w:p>
    <w:bookmarkEnd w:id="4"/>
    <w:p w14:paraId="49F55B43" w14:textId="5FF2A46A" w:rsidR="00FA04D4" w:rsidRPr="00A068EC" w:rsidRDefault="00FA04D4" w:rsidP="00132BF1">
      <w:pPr>
        <w:pStyle w:val="ONUMFS"/>
        <w:rPr>
          <w:lang w:val="fr-FR"/>
        </w:rPr>
      </w:pPr>
      <w:r w:rsidRPr="00A068EC">
        <w:rPr>
          <w:lang w:val="fr-FR"/>
        </w:rPr>
        <w:t>Le présent document contient des informations sur les derniers faits nouveaux et les activités concernant le Traité de Budapest sur la reconnaissance internationale du dépôt des micro</w:t>
      </w:r>
      <w:r w:rsidR="00132BF1">
        <w:rPr>
          <w:lang w:val="fr-FR"/>
        </w:rPr>
        <w:noBreakHyphen/>
      </w:r>
      <w:r w:rsidRPr="00A068EC">
        <w:rPr>
          <w:lang w:val="fr-FR"/>
        </w:rPr>
        <w:t>organismes aux fins de la procédure en matière de brevets (ci</w:t>
      </w:r>
      <w:r w:rsidR="00132BF1">
        <w:rPr>
          <w:lang w:val="fr-FR"/>
        </w:rPr>
        <w:noBreakHyphen/>
      </w:r>
      <w:r w:rsidRPr="00A068EC">
        <w:rPr>
          <w:lang w:val="fr-FR"/>
        </w:rPr>
        <w:t>après dénommé “Traité de Budapest”), depuis la réunion de l</w:t>
      </w:r>
      <w:r w:rsidR="00DE166D" w:rsidRPr="00A068EC">
        <w:rPr>
          <w:lang w:val="fr-FR"/>
        </w:rPr>
        <w:t>’</w:t>
      </w:r>
      <w:r w:rsidRPr="00A068EC">
        <w:rPr>
          <w:lang w:val="fr-FR"/>
        </w:rPr>
        <w:t>Assemblée de l</w:t>
      </w:r>
      <w:r w:rsidR="00DE166D" w:rsidRPr="00A068EC">
        <w:rPr>
          <w:lang w:val="fr-FR"/>
        </w:rPr>
        <w:t>’</w:t>
      </w:r>
      <w:r w:rsidRPr="00A068EC">
        <w:rPr>
          <w:lang w:val="fr-FR"/>
        </w:rPr>
        <w:t>Union de Budapest qui s</w:t>
      </w:r>
      <w:r w:rsidR="00DE166D" w:rsidRPr="00A068EC">
        <w:rPr>
          <w:lang w:val="fr-FR"/>
        </w:rPr>
        <w:t>’</w:t>
      </w:r>
      <w:r w:rsidRPr="00A068EC">
        <w:rPr>
          <w:lang w:val="fr-FR"/>
        </w:rPr>
        <w:t>est tenue du 14 au 22 </w:t>
      </w:r>
      <w:r w:rsidR="00DE166D" w:rsidRPr="00A068EC">
        <w:rPr>
          <w:lang w:val="fr-FR"/>
        </w:rPr>
        <w:t>juillet 20</w:t>
      </w:r>
      <w:r w:rsidRPr="00A068EC">
        <w:rPr>
          <w:lang w:val="fr-FR"/>
        </w:rPr>
        <w:t>22.</w:t>
      </w:r>
    </w:p>
    <w:p w14:paraId="4FFE4288" w14:textId="77777777" w:rsidR="00132BF1" w:rsidRPr="00E222FF" w:rsidRDefault="00FA04D4" w:rsidP="00E222FF">
      <w:pPr>
        <w:pStyle w:val="Heading3"/>
      </w:pPr>
      <w:r w:rsidRPr="00E222FF">
        <w:t>Nouveaux États contractants et nouvelles organisations intergouvernementales de propriété industrielle et autorités de dépôt internationales</w:t>
      </w:r>
    </w:p>
    <w:p w14:paraId="1289E9E1" w14:textId="56E5FBEB" w:rsidR="00FA04D4" w:rsidRPr="00A068EC" w:rsidRDefault="00FA04D4" w:rsidP="00132BF1">
      <w:pPr>
        <w:pStyle w:val="ONUMFS"/>
        <w:rPr>
          <w:lang w:val="fr-FR"/>
        </w:rPr>
      </w:pPr>
      <w:bookmarkStart w:id="5" w:name="_Hlk163043940"/>
      <w:r w:rsidRPr="00A068EC">
        <w:rPr>
          <w:lang w:val="fr-FR"/>
        </w:rPr>
        <w:t>Le Paraguay et le Rwanda ont adhéré au Traité de Budapest le 5 </w:t>
      </w:r>
      <w:r w:rsidR="00DE166D" w:rsidRPr="00A068EC">
        <w:rPr>
          <w:lang w:val="fr-FR"/>
        </w:rPr>
        <w:t>mai 20</w:t>
      </w:r>
      <w:r w:rsidRPr="00A068EC">
        <w:rPr>
          <w:lang w:val="fr-FR"/>
        </w:rPr>
        <w:t>23 et le 4 </w:t>
      </w:r>
      <w:r w:rsidR="00DE166D" w:rsidRPr="00A068EC">
        <w:rPr>
          <w:lang w:val="fr-FR"/>
        </w:rPr>
        <w:t>septembre 20</w:t>
      </w:r>
      <w:r w:rsidRPr="00A068EC">
        <w:rPr>
          <w:lang w:val="fr-FR"/>
        </w:rPr>
        <w:t>23, respectiveme</w:t>
      </w:r>
      <w:r w:rsidR="00A068EC" w:rsidRPr="00A068EC">
        <w:rPr>
          <w:lang w:val="fr-FR"/>
        </w:rPr>
        <w:t>nt.  Le</w:t>
      </w:r>
      <w:r w:rsidRPr="00A068EC">
        <w:rPr>
          <w:lang w:val="fr-FR"/>
        </w:rPr>
        <w:t xml:space="preserve"> 12 </w:t>
      </w:r>
      <w:r w:rsidR="00DE166D" w:rsidRPr="00A068EC">
        <w:rPr>
          <w:lang w:val="fr-FR"/>
        </w:rPr>
        <w:t>avril 20</w:t>
      </w:r>
      <w:r w:rsidRPr="00A068EC">
        <w:rPr>
          <w:lang w:val="fr-FR"/>
        </w:rPr>
        <w:t>24, 89 États étaient parties au Traité de Budape</w:t>
      </w:r>
      <w:r w:rsidR="00A068EC" w:rsidRPr="00A068EC">
        <w:rPr>
          <w:lang w:val="fr-FR"/>
        </w:rPr>
        <w:t>st.  Le</w:t>
      </w:r>
      <w:r w:rsidRPr="00A068EC">
        <w:rPr>
          <w:lang w:val="fr-FR"/>
        </w:rPr>
        <w:t xml:space="preserve"> tableau n° 1 indique l</w:t>
      </w:r>
      <w:r w:rsidR="00DE166D" w:rsidRPr="00A068EC">
        <w:rPr>
          <w:lang w:val="fr-FR"/>
        </w:rPr>
        <w:t>’</w:t>
      </w:r>
      <w:r w:rsidRPr="00A068EC">
        <w:rPr>
          <w:lang w:val="fr-FR"/>
        </w:rPr>
        <w:t>évolution du nombre d</w:t>
      </w:r>
      <w:r w:rsidR="00DE166D" w:rsidRPr="00A068EC">
        <w:rPr>
          <w:lang w:val="fr-FR"/>
        </w:rPr>
        <w:t>’</w:t>
      </w:r>
      <w:r w:rsidRPr="00A068EC">
        <w:rPr>
          <w:lang w:val="fr-FR"/>
        </w:rPr>
        <w:t>États contractants depuis l</w:t>
      </w:r>
      <w:r w:rsidR="00DE166D" w:rsidRPr="00A068EC">
        <w:rPr>
          <w:lang w:val="fr-FR"/>
        </w:rPr>
        <w:t>’</w:t>
      </w:r>
      <w:r w:rsidRPr="00A068EC">
        <w:rPr>
          <w:lang w:val="fr-FR"/>
        </w:rPr>
        <w:t>entrée en vigueur du Traité de Budapest le 19 </w:t>
      </w:r>
      <w:r w:rsidR="00DE166D" w:rsidRPr="00A068EC">
        <w:rPr>
          <w:lang w:val="fr-FR"/>
        </w:rPr>
        <w:t>août 19</w:t>
      </w:r>
      <w:r w:rsidRPr="00A068EC">
        <w:rPr>
          <w:lang w:val="fr-FR"/>
        </w:rPr>
        <w:t>80.</w:t>
      </w:r>
    </w:p>
    <w:p w14:paraId="4FDE21E5" w14:textId="77777777" w:rsidR="00FA04D4" w:rsidRPr="00A068EC" w:rsidRDefault="00FA04D4" w:rsidP="009D796C">
      <w:pPr>
        <w:rPr>
          <w:lang w:val="fr-FR"/>
        </w:rPr>
      </w:pPr>
      <w:r w:rsidRPr="00A068EC">
        <w:rPr>
          <w:lang w:val="fr-FR"/>
        </w:rPr>
        <w:br w:type="page"/>
      </w:r>
    </w:p>
    <w:p w14:paraId="521A8141" w14:textId="18F49484" w:rsidR="00FA04D4" w:rsidRPr="00A068EC" w:rsidRDefault="00FA04D4" w:rsidP="00E222FF">
      <w:pPr>
        <w:spacing w:before="240" w:after="240"/>
        <w:jc w:val="center"/>
        <w:rPr>
          <w:lang w:val="fr-FR"/>
        </w:rPr>
      </w:pPr>
      <w:r w:rsidRPr="00A068EC">
        <w:rPr>
          <w:lang w:val="fr-FR"/>
        </w:rPr>
        <w:lastRenderedPageBreak/>
        <w:t>Tableau n° 1</w:t>
      </w:r>
      <w:r w:rsidR="00DE166D" w:rsidRPr="00A068EC">
        <w:rPr>
          <w:lang w:val="fr-FR"/>
        </w:rPr>
        <w:t> :</w:t>
      </w:r>
      <w:r w:rsidRPr="00A068EC">
        <w:rPr>
          <w:lang w:val="fr-FR"/>
        </w:rPr>
        <w:t xml:space="preserve"> évolution du nombre d</w:t>
      </w:r>
      <w:r w:rsidR="00DE166D" w:rsidRPr="00A068EC">
        <w:rPr>
          <w:lang w:val="fr-FR"/>
        </w:rPr>
        <w:t>’</w:t>
      </w:r>
      <w:r w:rsidRPr="00A068EC">
        <w:rPr>
          <w:lang w:val="fr-FR"/>
        </w:rPr>
        <w:t>États contractants</w:t>
      </w:r>
    </w:p>
    <w:tbl>
      <w:tblPr>
        <w:tblStyle w:val="TableGrid"/>
        <w:tblW w:w="0" w:type="auto"/>
        <w:tblLook w:val="04A0" w:firstRow="1" w:lastRow="0" w:firstColumn="1" w:lastColumn="0" w:noHBand="0" w:noVBand="1"/>
      </w:tblPr>
      <w:tblGrid>
        <w:gridCol w:w="2089"/>
        <w:gridCol w:w="1209"/>
        <w:gridCol w:w="1209"/>
        <w:gridCol w:w="1210"/>
        <w:gridCol w:w="1209"/>
        <w:gridCol w:w="1209"/>
        <w:gridCol w:w="1210"/>
      </w:tblGrid>
      <w:tr w:rsidR="00FA04D4" w:rsidRPr="00A068EC" w14:paraId="7143C72C" w14:textId="77777777" w:rsidTr="00020572">
        <w:trPr>
          <w:trHeight w:val="404"/>
        </w:trPr>
        <w:tc>
          <w:tcPr>
            <w:tcW w:w="2089" w:type="dxa"/>
          </w:tcPr>
          <w:p w14:paraId="13CC37B0" w14:textId="77777777" w:rsidR="00FA04D4" w:rsidRPr="00A068EC" w:rsidRDefault="00FA04D4" w:rsidP="009D796C">
            <w:pPr>
              <w:spacing w:after="220"/>
            </w:pPr>
          </w:p>
        </w:tc>
        <w:tc>
          <w:tcPr>
            <w:tcW w:w="1209" w:type="dxa"/>
          </w:tcPr>
          <w:p w14:paraId="1C8109D8" w14:textId="77777777" w:rsidR="00FA04D4" w:rsidRPr="00A068EC" w:rsidRDefault="00FA04D4" w:rsidP="009D796C">
            <w:pPr>
              <w:spacing w:after="120"/>
              <w:jc w:val="center"/>
              <w:rPr>
                <w:sz w:val="20"/>
              </w:rPr>
            </w:pPr>
            <w:r w:rsidRPr="00A068EC">
              <w:t>1980</w:t>
            </w:r>
          </w:p>
        </w:tc>
        <w:tc>
          <w:tcPr>
            <w:tcW w:w="1209" w:type="dxa"/>
          </w:tcPr>
          <w:p w14:paraId="1D637212" w14:textId="77777777" w:rsidR="00FA04D4" w:rsidRPr="00A068EC" w:rsidRDefault="00FA04D4" w:rsidP="009D796C">
            <w:pPr>
              <w:spacing w:after="220"/>
              <w:jc w:val="center"/>
              <w:rPr>
                <w:szCs w:val="22"/>
              </w:rPr>
            </w:pPr>
            <w:r w:rsidRPr="00A068EC">
              <w:t>1983</w:t>
            </w:r>
          </w:p>
        </w:tc>
        <w:tc>
          <w:tcPr>
            <w:tcW w:w="1210" w:type="dxa"/>
          </w:tcPr>
          <w:p w14:paraId="0B1BE4C6" w14:textId="77777777" w:rsidR="00FA04D4" w:rsidRPr="00A068EC" w:rsidRDefault="00FA04D4" w:rsidP="009D796C">
            <w:pPr>
              <w:spacing w:after="220"/>
              <w:jc w:val="center"/>
              <w:rPr>
                <w:szCs w:val="22"/>
              </w:rPr>
            </w:pPr>
            <w:r w:rsidRPr="00A068EC">
              <w:t>1993</w:t>
            </w:r>
          </w:p>
        </w:tc>
        <w:tc>
          <w:tcPr>
            <w:tcW w:w="1209" w:type="dxa"/>
          </w:tcPr>
          <w:p w14:paraId="4824374D" w14:textId="77777777" w:rsidR="00FA04D4" w:rsidRPr="00A068EC" w:rsidRDefault="00FA04D4" w:rsidP="009D796C">
            <w:pPr>
              <w:spacing w:after="220"/>
              <w:jc w:val="center"/>
              <w:rPr>
                <w:szCs w:val="22"/>
              </w:rPr>
            </w:pPr>
            <w:r w:rsidRPr="00A068EC">
              <w:t>2003</w:t>
            </w:r>
          </w:p>
        </w:tc>
        <w:tc>
          <w:tcPr>
            <w:tcW w:w="1209" w:type="dxa"/>
          </w:tcPr>
          <w:p w14:paraId="306A67BB" w14:textId="77777777" w:rsidR="00FA04D4" w:rsidRPr="00A068EC" w:rsidRDefault="00FA04D4" w:rsidP="009D796C">
            <w:pPr>
              <w:spacing w:after="220"/>
              <w:jc w:val="center"/>
              <w:rPr>
                <w:szCs w:val="22"/>
              </w:rPr>
            </w:pPr>
            <w:r w:rsidRPr="00A068EC">
              <w:t>2013</w:t>
            </w:r>
          </w:p>
        </w:tc>
        <w:tc>
          <w:tcPr>
            <w:tcW w:w="1210" w:type="dxa"/>
          </w:tcPr>
          <w:p w14:paraId="7D1A33D7" w14:textId="77777777" w:rsidR="00FA04D4" w:rsidRPr="00A068EC" w:rsidRDefault="00FA04D4" w:rsidP="009D796C">
            <w:pPr>
              <w:spacing w:after="220"/>
              <w:jc w:val="center"/>
              <w:rPr>
                <w:szCs w:val="22"/>
              </w:rPr>
            </w:pPr>
            <w:r w:rsidRPr="00A068EC">
              <w:t>2023</w:t>
            </w:r>
          </w:p>
        </w:tc>
      </w:tr>
      <w:tr w:rsidR="00FA04D4" w:rsidRPr="00A068EC" w14:paraId="5FB6BE08" w14:textId="77777777" w:rsidTr="00020572">
        <w:tc>
          <w:tcPr>
            <w:tcW w:w="2089" w:type="dxa"/>
          </w:tcPr>
          <w:p w14:paraId="503CDDCB" w14:textId="09BBC2F2" w:rsidR="00FA04D4" w:rsidRPr="00A068EC" w:rsidRDefault="00FA04D4" w:rsidP="009D796C">
            <w:pPr>
              <w:spacing w:after="120"/>
            </w:pPr>
            <w:r w:rsidRPr="00A068EC">
              <w:t>Nombre d</w:t>
            </w:r>
            <w:r w:rsidR="00DE166D" w:rsidRPr="00A068EC">
              <w:t>’</w:t>
            </w:r>
            <w:r w:rsidRPr="00A068EC">
              <w:t>États contractants</w:t>
            </w:r>
          </w:p>
        </w:tc>
        <w:tc>
          <w:tcPr>
            <w:tcW w:w="1209" w:type="dxa"/>
            <w:vAlign w:val="center"/>
          </w:tcPr>
          <w:p w14:paraId="4A15837F" w14:textId="77777777" w:rsidR="00FA04D4" w:rsidRPr="00A068EC" w:rsidRDefault="00FA04D4" w:rsidP="009D796C">
            <w:pPr>
              <w:spacing w:after="220"/>
              <w:jc w:val="center"/>
            </w:pPr>
            <w:r w:rsidRPr="00A068EC">
              <w:t>6</w:t>
            </w:r>
          </w:p>
        </w:tc>
        <w:tc>
          <w:tcPr>
            <w:tcW w:w="1209" w:type="dxa"/>
            <w:vAlign w:val="center"/>
          </w:tcPr>
          <w:p w14:paraId="3662754E" w14:textId="77777777" w:rsidR="00FA04D4" w:rsidRPr="00A068EC" w:rsidRDefault="00FA04D4" w:rsidP="009D796C">
            <w:pPr>
              <w:spacing w:after="220"/>
              <w:jc w:val="center"/>
            </w:pPr>
            <w:r w:rsidRPr="00A068EC">
              <w:t>14</w:t>
            </w:r>
          </w:p>
        </w:tc>
        <w:tc>
          <w:tcPr>
            <w:tcW w:w="1210" w:type="dxa"/>
            <w:vAlign w:val="center"/>
          </w:tcPr>
          <w:p w14:paraId="7A3B06D3" w14:textId="77777777" w:rsidR="00FA04D4" w:rsidRPr="00A068EC" w:rsidRDefault="00FA04D4" w:rsidP="009D796C">
            <w:pPr>
              <w:spacing w:after="220"/>
              <w:jc w:val="center"/>
            </w:pPr>
            <w:r w:rsidRPr="00A068EC">
              <w:t>28</w:t>
            </w:r>
          </w:p>
        </w:tc>
        <w:tc>
          <w:tcPr>
            <w:tcW w:w="1209" w:type="dxa"/>
            <w:vAlign w:val="center"/>
          </w:tcPr>
          <w:p w14:paraId="4581D685" w14:textId="77777777" w:rsidR="00FA04D4" w:rsidRPr="00A068EC" w:rsidRDefault="00FA04D4" w:rsidP="009D796C">
            <w:pPr>
              <w:spacing w:after="220"/>
              <w:jc w:val="center"/>
            </w:pPr>
            <w:r w:rsidRPr="00A068EC">
              <w:t>58</w:t>
            </w:r>
          </w:p>
        </w:tc>
        <w:tc>
          <w:tcPr>
            <w:tcW w:w="1209" w:type="dxa"/>
            <w:vAlign w:val="center"/>
          </w:tcPr>
          <w:p w14:paraId="210F8E8D" w14:textId="77777777" w:rsidR="00FA04D4" w:rsidRPr="00A068EC" w:rsidRDefault="00FA04D4" w:rsidP="009D796C">
            <w:pPr>
              <w:spacing w:after="220"/>
              <w:jc w:val="center"/>
            </w:pPr>
            <w:r w:rsidRPr="00A068EC">
              <w:t>78</w:t>
            </w:r>
          </w:p>
        </w:tc>
        <w:tc>
          <w:tcPr>
            <w:tcW w:w="1210" w:type="dxa"/>
            <w:vAlign w:val="center"/>
          </w:tcPr>
          <w:p w14:paraId="6CDC6FB7" w14:textId="77777777" w:rsidR="00FA04D4" w:rsidRPr="00A068EC" w:rsidRDefault="00FA04D4" w:rsidP="009D796C">
            <w:pPr>
              <w:spacing w:after="220"/>
              <w:jc w:val="center"/>
            </w:pPr>
            <w:r w:rsidRPr="00A068EC">
              <w:t>89</w:t>
            </w:r>
          </w:p>
        </w:tc>
      </w:tr>
    </w:tbl>
    <w:bookmarkEnd w:id="5"/>
    <w:p w14:paraId="5C5C068D" w14:textId="40EC83FD" w:rsidR="00FA04D4" w:rsidRPr="00A068EC" w:rsidRDefault="00FA04D4" w:rsidP="00E222FF">
      <w:pPr>
        <w:pStyle w:val="ONUMFS"/>
        <w:spacing w:before="240"/>
        <w:rPr>
          <w:lang w:val="fr-FR"/>
        </w:rPr>
      </w:pPr>
      <w:r w:rsidRPr="00A068EC">
        <w:rPr>
          <w:lang w:val="fr-FR"/>
        </w:rPr>
        <w:t>Conformément à l</w:t>
      </w:r>
      <w:r w:rsidR="00DE166D" w:rsidRPr="00A068EC">
        <w:rPr>
          <w:lang w:val="fr-FR"/>
        </w:rPr>
        <w:t>’</w:t>
      </w:r>
      <w:r w:rsidRPr="00A068EC">
        <w:rPr>
          <w:lang w:val="fr-FR"/>
        </w:rPr>
        <w:t>article </w:t>
      </w:r>
      <w:proofErr w:type="gramStart"/>
      <w:r w:rsidRPr="00A068EC">
        <w:rPr>
          <w:lang w:val="fr-FR"/>
        </w:rPr>
        <w:t>9.1)a</w:t>
      </w:r>
      <w:proofErr w:type="gramEnd"/>
      <w:r w:rsidRPr="00A068EC">
        <w:rPr>
          <w:lang w:val="fr-FR"/>
        </w:rPr>
        <w:t>) du Traité de Budapest, toute organisation intergouvernementale de propriété industrielle qui remplit les conditions énoncées dans cette</w:t>
      </w:r>
      <w:r w:rsidR="00E222FF">
        <w:rPr>
          <w:lang w:val="fr-FR"/>
        </w:rPr>
        <w:t> </w:t>
      </w:r>
      <w:r w:rsidRPr="00A068EC">
        <w:rPr>
          <w:lang w:val="fr-FR"/>
        </w:rPr>
        <w:t>disposition peut présenter une déclaration aux termes de laquelle elle accepte les obligations et les effets stipulés dans le traité et le règlement d</w:t>
      </w:r>
      <w:r w:rsidR="00DE166D" w:rsidRPr="00A068EC">
        <w:rPr>
          <w:lang w:val="fr-FR"/>
        </w:rPr>
        <w:t>’</w:t>
      </w:r>
      <w:r w:rsidRPr="00A068EC">
        <w:rPr>
          <w:lang w:val="fr-FR"/>
        </w:rPr>
        <w:t>exécution du Traité de Budapest (ci</w:t>
      </w:r>
      <w:r w:rsidR="00132BF1">
        <w:rPr>
          <w:lang w:val="fr-FR"/>
        </w:rPr>
        <w:noBreakHyphen/>
      </w:r>
      <w:r w:rsidRPr="00A068EC">
        <w:rPr>
          <w:lang w:val="fr-FR"/>
        </w:rPr>
        <w:t>après dénommé “règlement d</w:t>
      </w:r>
      <w:r w:rsidR="00DE166D" w:rsidRPr="00A068EC">
        <w:rPr>
          <w:lang w:val="fr-FR"/>
        </w:rPr>
        <w:t>’</w:t>
      </w:r>
      <w:r w:rsidRPr="00A068EC">
        <w:rPr>
          <w:lang w:val="fr-FR"/>
        </w:rPr>
        <w:t>exécution”).  L</w:t>
      </w:r>
      <w:r w:rsidR="00DE166D" w:rsidRPr="00A068EC">
        <w:rPr>
          <w:lang w:val="fr-FR"/>
        </w:rPr>
        <w:t>’</w:t>
      </w:r>
      <w:r w:rsidRPr="00A068EC">
        <w:rPr>
          <w:lang w:val="fr-FR"/>
        </w:rPr>
        <w:t>Organisation africaine de la propriété intellectuelle</w:t>
      </w:r>
      <w:r w:rsidR="00E222FF">
        <w:rPr>
          <w:lang w:val="fr-FR"/>
        </w:rPr>
        <w:t> </w:t>
      </w:r>
      <w:r w:rsidRPr="00A068EC">
        <w:rPr>
          <w:lang w:val="fr-FR"/>
        </w:rPr>
        <w:t>(OAPI) a fait une telle déclaration le 15 </w:t>
      </w:r>
      <w:r w:rsidR="00DE166D" w:rsidRPr="00A068EC">
        <w:rPr>
          <w:lang w:val="fr-FR"/>
        </w:rPr>
        <w:t>décembre 20</w:t>
      </w:r>
      <w:r w:rsidRPr="00A068EC">
        <w:rPr>
          <w:lang w:val="fr-FR"/>
        </w:rPr>
        <w:t>22.  Par conséquent, au 12 </w:t>
      </w:r>
      <w:r w:rsidR="00DE166D" w:rsidRPr="00A068EC">
        <w:rPr>
          <w:lang w:val="fr-FR"/>
        </w:rPr>
        <w:t>avril 20</w:t>
      </w:r>
      <w:r w:rsidRPr="00A068EC">
        <w:rPr>
          <w:lang w:val="fr-FR"/>
        </w:rPr>
        <w:t>24, quatre</w:t>
      </w:r>
      <w:r w:rsidR="003150FB" w:rsidRPr="00A068EC">
        <w:rPr>
          <w:lang w:val="fr-FR"/>
        </w:rPr>
        <w:t> </w:t>
      </w:r>
      <w:r w:rsidRPr="00A068EC">
        <w:rPr>
          <w:lang w:val="fr-FR"/>
        </w:rPr>
        <w:t>organisations intergouvernementales de propriété industrielle auront fait la déclaration visée à l</w:t>
      </w:r>
      <w:r w:rsidR="00DE166D" w:rsidRPr="00A068EC">
        <w:rPr>
          <w:lang w:val="fr-FR"/>
        </w:rPr>
        <w:t>’</w:t>
      </w:r>
      <w:r w:rsidRPr="00A068EC">
        <w:rPr>
          <w:lang w:val="fr-FR"/>
        </w:rPr>
        <w:t>article </w:t>
      </w:r>
      <w:proofErr w:type="gramStart"/>
      <w:r w:rsidRPr="00A068EC">
        <w:rPr>
          <w:lang w:val="fr-FR"/>
        </w:rPr>
        <w:t>9.1)a</w:t>
      </w:r>
      <w:proofErr w:type="gramEnd"/>
      <w:r w:rsidRPr="00A068EC">
        <w:rPr>
          <w:lang w:val="fr-FR"/>
        </w:rPr>
        <w:t xml:space="preserve">), </w:t>
      </w:r>
      <w:r w:rsidR="00DE166D" w:rsidRPr="00A068EC">
        <w:rPr>
          <w:lang w:val="fr-FR"/>
        </w:rPr>
        <w:t>à savoir</w:t>
      </w:r>
      <w:r w:rsidRPr="00A068EC">
        <w:rPr>
          <w:lang w:val="fr-FR"/>
        </w:rPr>
        <w:t xml:space="preserve"> l</w:t>
      </w:r>
      <w:r w:rsidR="00DE166D" w:rsidRPr="00A068EC">
        <w:rPr>
          <w:lang w:val="fr-FR"/>
        </w:rPr>
        <w:t>’</w:t>
      </w:r>
      <w:r w:rsidRPr="00A068EC">
        <w:rPr>
          <w:lang w:val="fr-FR"/>
        </w:rPr>
        <w:t>OAPI, l</w:t>
      </w:r>
      <w:r w:rsidR="00DE166D" w:rsidRPr="00A068EC">
        <w:rPr>
          <w:lang w:val="fr-FR"/>
        </w:rPr>
        <w:t>’</w:t>
      </w:r>
      <w:r w:rsidRPr="00A068EC">
        <w:rPr>
          <w:lang w:val="fr-FR"/>
        </w:rPr>
        <w:t>Organisation régionale africaine de la propriété intellectuelle (ARIPO), l</w:t>
      </w:r>
      <w:r w:rsidR="00DE166D" w:rsidRPr="00A068EC">
        <w:rPr>
          <w:lang w:val="fr-FR"/>
        </w:rPr>
        <w:t>’</w:t>
      </w:r>
      <w:r w:rsidRPr="00A068EC">
        <w:rPr>
          <w:lang w:val="fr-FR"/>
        </w:rPr>
        <w:t>Organisation eurasienne des brevets (OEAB) et l</w:t>
      </w:r>
      <w:r w:rsidR="00DE166D" w:rsidRPr="00A068EC">
        <w:rPr>
          <w:lang w:val="fr-FR"/>
        </w:rPr>
        <w:t>’</w:t>
      </w:r>
      <w:r w:rsidRPr="00A068EC">
        <w:rPr>
          <w:lang w:val="fr-FR"/>
        </w:rPr>
        <w:t>Organisation européenne des brevets (OEB).</w:t>
      </w:r>
    </w:p>
    <w:p w14:paraId="51743773" w14:textId="2E88C4A4" w:rsidR="00FA04D4" w:rsidRPr="00A068EC" w:rsidRDefault="00FA04D4" w:rsidP="00132BF1">
      <w:pPr>
        <w:pStyle w:val="ONUMFS"/>
        <w:rPr>
          <w:lang w:val="fr-FR"/>
        </w:rPr>
      </w:pPr>
      <w:r w:rsidRPr="00A068EC">
        <w:rPr>
          <w:lang w:val="fr-FR"/>
        </w:rPr>
        <w:t>En ce qui concerne les autorités de dépôt internationales, le 26 </w:t>
      </w:r>
      <w:r w:rsidR="00DE166D" w:rsidRPr="00A068EC">
        <w:rPr>
          <w:lang w:val="fr-FR"/>
        </w:rPr>
        <w:t>janvier 20</w:t>
      </w:r>
      <w:r w:rsidRPr="00A068EC">
        <w:rPr>
          <w:lang w:val="fr-FR"/>
        </w:rPr>
        <w:t>23, la Collection de plasmides et de micro</w:t>
      </w:r>
      <w:r w:rsidR="00132BF1">
        <w:rPr>
          <w:lang w:val="fr-FR"/>
        </w:rPr>
        <w:noBreakHyphen/>
      </w:r>
      <w:r w:rsidRPr="00A068EC">
        <w:rPr>
          <w:lang w:val="fr-FR"/>
        </w:rPr>
        <w:t>organismes (KPD), située en Pologne, et le 25 </w:t>
      </w:r>
      <w:r w:rsidR="00DE166D" w:rsidRPr="00A068EC">
        <w:rPr>
          <w:lang w:val="fr-FR"/>
        </w:rPr>
        <w:t>avril 20</w:t>
      </w:r>
      <w:r w:rsidRPr="00A068EC">
        <w:rPr>
          <w:lang w:val="fr-FR"/>
        </w:rPr>
        <w:t>24, l</w:t>
      </w:r>
      <w:r w:rsidR="00DE166D" w:rsidRPr="00A068EC">
        <w:rPr>
          <w:lang w:val="fr-FR"/>
        </w:rPr>
        <w:t>’</w:t>
      </w:r>
      <w:proofErr w:type="spellStart"/>
      <w:r w:rsidRPr="00A068EC">
        <w:rPr>
          <w:lang w:val="fr-FR"/>
        </w:rPr>
        <w:t>University</w:t>
      </w:r>
      <w:proofErr w:type="spellEnd"/>
      <w:r w:rsidRPr="00A068EC">
        <w:rPr>
          <w:lang w:val="fr-FR"/>
        </w:rPr>
        <w:t xml:space="preserve"> of Coimbra </w:t>
      </w:r>
      <w:proofErr w:type="spellStart"/>
      <w:r w:rsidRPr="00A068EC">
        <w:rPr>
          <w:lang w:val="fr-FR"/>
        </w:rPr>
        <w:t>Bacteria</w:t>
      </w:r>
      <w:proofErr w:type="spellEnd"/>
      <w:r w:rsidRPr="00A068EC">
        <w:rPr>
          <w:lang w:val="fr-FR"/>
        </w:rPr>
        <w:t xml:space="preserve"> Culture Collection (UCCCB), située au Portugal, ont chacune acquis le statut d</w:t>
      </w:r>
      <w:r w:rsidR="00DE166D" w:rsidRPr="00A068EC">
        <w:rPr>
          <w:lang w:val="fr-FR"/>
        </w:rPr>
        <w:t>’</w:t>
      </w:r>
      <w:r w:rsidRPr="00A068EC">
        <w:rPr>
          <w:lang w:val="fr-FR"/>
        </w:rPr>
        <w:t>autorité de dépôt internationale, devenant ainsi respectivement la 49</w:t>
      </w:r>
      <w:r w:rsidRPr="00A068EC">
        <w:rPr>
          <w:vertAlign w:val="superscript"/>
          <w:lang w:val="fr-FR"/>
        </w:rPr>
        <w:t>e</w:t>
      </w:r>
      <w:r w:rsidRPr="00A068EC">
        <w:rPr>
          <w:lang w:val="fr-FR"/>
        </w:rPr>
        <w:t xml:space="preserve"> et la 50</w:t>
      </w:r>
      <w:r w:rsidRPr="00A068EC">
        <w:rPr>
          <w:vertAlign w:val="superscript"/>
          <w:lang w:val="fr-FR"/>
        </w:rPr>
        <w:t>e</w:t>
      </w:r>
      <w:r w:rsidRPr="00A068EC">
        <w:rPr>
          <w:lang w:val="fr-FR"/>
        </w:rPr>
        <w:t> autorité de dépôt internationa</w:t>
      </w:r>
      <w:r w:rsidR="00A068EC" w:rsidRPr="00A068EC">
        <w:rPr>
          <w:lang w:val="fr-FR"/>
        </w:rPr>
        <w:t>le.  Le</w:t>
      </w:r>
      <w:r w:rsidRPr="00A068EC">
        <w:rPr>
          <w:lang w:val="fr-FR"/>
        </w:rPr>
        <w:t xml:space="preserve"> tableau n° 2 indique l</w:t>
      </w:r>
      <w:r w:rsidR="00DE166D" w:rsidRPr="00A068EC">
        <w:rPr>
          <w:lang w:val="fr-FR"/>
        </w:rPr>
        <w:t>’</w:t>
      </w:r>
      <w:r w:rsidRPr="00A068EC">
        <w:rPr>
          <w:lang w:val="fr-FR"/>
        </w:rPr>
        <w:t>évolution du nombre d</w:t>
      </w:r>
      <w:r w:rsidR="00DE166D" w:rsidRPr="00A068EC">
        <w:rPr>
          <w:lang w:val="fr-FR"/>
        </w:rPr>
        <w:t>’</w:t>
      </w:r>
      <w:r w:rsidRPr="00A068EC">
        <w:rPr>
          <w:lang w:val="fr-FR"/>
        </w:rPr>
        <w:t>autorités de dépôt internationales.</w:t>
      </w:r>
    </w:p>
    <w:p w14:paraId="72800F1D" w14:textId="3158DBE2" w:rsidR="00FA04D4" w:rsidRPr="00A068EC" w:rsidRDefault="00FA04D4" w:rsidP="00E222FF">
      <w:pPr>
        <w:spacing w:before="240" w:after="240"/>
        <w:jc w:val="center"/>
        <w:rPr>
          <w:lang w:val="fr-FR"/>
        </w:rPr>
      </w:pPr>
      <w:r w:rsidRPr="00A068EC">
        <w:rPr>
          <w:lang w:val="fr-FR"/>
        </w:rPr>
        <w:t>Tableau n° 2</w:t>
      </w:r>
      <w:r w:rsidR="00DE166D" w:rsidRPr="00A068EC">
        <w:rPr>
          <w:lang w:val="fr-FR"/>
        </w:rPr>
        <w:t> :</w:t>
      </w:r>
      <w:r w:rsidRPr="00A068EC">
        <w:rPr>
          <w:lang w:val="fr-FR"/>
        </w:rPr>
        <w:t xml:space="preserve"> évolution du nombre d</w:t>
      </w:r>
      <w:r w:rsidR="00DE166D" w:rsidRPr="00A068EC">
        <w:rPr>
          <w:lang w:val="fr-FR"/>
        </w:rPr>
        <w:t>’</w:t>
      </w:r>
      <w:r w:rsidRPr="00A068EC">
        <w:rPr>
          <w:lang w:val="fr-FR"/>
        </w:rPr>
        <w:t>autorités de dépôt internationales</w:t>
      </w:r>
    </w:p>
    <w:tbl>
      <w:tblPr>
        <w:tblStyle w:val="TableGrid"/>
        <w:tblW w:w="0" w:type="auto"/>
        <w:tblLook w:val="04A0" w:firstRow="1" w:lastRow="0" w:firstColumn="1" w:lastColumn="0" w:noHBand="0" w:noVBand="1"/>
      </w:tblPr>
      <w:tblGrid>
        <w:gridCol w:w="1766"/>
        <w:gridCol w:w="1099"/>
        <w:gridCol w:w="1099"/>
        <w:gridCol w:w="1099"/>
        <w:gridCol w:w="1099"/>
        <w:gridCol w:w="1099"/>
        <w:gridCol w:w="1100"/>
        <w:gridCol w:w="984"/>
      </w:tblGrid>
      <w:tr w:rsidR="00FA04D4" w:rsidRPr="00A068EC" w14:paraId="4B627989" w14:textId="77777777" w:rsidTr="00020572">
        <w:tc>
          <w:tcPr>
            <w:tcW w:w="1766" w:type="dxa"/>
          </w:tcPr>
          <w:p w14:paraId="35D0D1A8" w14:textId="77777777" w:rsidR="00FA04D4" w:rsidRPr="00A068EC" w:rsidRDefault="00FA04D4" w:rsidP="009D796C">
            <w:pPr>
              <w:spacing w:after="220"/>
            </w:pPr>
          </w:p>
        </w:tc>
        <w:tc>
          <w:tcPr>
            <w:tcW w:w="1099" w:type="dxa"/>
          </w:tcPr>
          <w:p w14:paraId="2707F944" w14:textId="77777777" w:rsidR="00FA04D4" w:rsidRPr="00A068EC" w:rsidRDefault="00FA04D4" w:rsidP="009D796C">
            <w:pPr>
              <w:spacing w:after="220"/>
              <w:jc w:val="center"/>
              <w:rPr>
                <w:sz w:val="20"/>
              </w:rPr>
            </w:pPr>
            <w:r w:rsidRPr="00A068EC">
              <w:t xml:space="preserve">1980 </w:t>
            </w:r>
          </w:p>
        </w:tc>
        <w:tc>
          <w:tcPr>
            <w:tcW w:w="1099" w:type="dxa"/>
          </w:tcPr>
          <w:p w14:paraId="77F27A5E" w14:textId="77777777" w:rsidR="00FA04D4" w:rsidRPr="00A068EC" w:rsidRDefault="00FA04D4" w:rsidP="009D796C">
            <w:pPr>
              <w:spacing w:after="220"/>
              <w:jc w:val="center"/>
              <w:rPr>
                <w:szCs w:val="22"/>
              </w:rPr>
            </w:pPr>
            <w:r w:rsidRPr="00A068EC">
              <w:t>1983</w:t>
            </w:r>
          </w:p>
        </w:tc>
        <w:tc>
          <w:tcPr>
            <w:tcW w:w="1099" w:type="dxa"/>
          </w:tcPr>
          <w:p w14:paraId="2C4D7218" w14:textId="77777777" w:rsidR="00FA04D4" w:rsidRPr="00A068EC" w:rsidRDefault="00FA04D4" w:rsidP="009D796C">
            <w:pPr>
              <w:spacing w:after="220"/>
              <w:jc w:val="center"/>
              <w:rPr>
                <w:szCs w:val="22"/>
              </w:rPr>
            </w:pPr>
            <w:r w:rsidRPr="00A068EC">
              <w:t>1993</w:t>
            </w:r>
          </w:p>
        </w:tc>
        <w:tc>
          <w:tcPr>
            <w:tcW w:w="1099" w:type="dxa"/>
          </w:tcPr>
          <w:p w14:paraId="321EC5A2" w14:textId="77777777" w:rsidR="00FA04D4" w:rsidRPr="00A068EC" w:rsidRDefault="00FA04D4" w:rsidP="009D796C">
            <w:pPr>
              <w:spacing w:after="220"/>
              <w:jc w:val="center"/>
              <w:rPr>
                <w:szCs w:val="22"/>
              </w:rPr>
            </w:pPr>
            <w:r w:rsidRPr="00A068EC">
              <w:t>2003</w:t>
            </w:r>
          </w:p>
        </w:tc>
        <w:tc>
          <w:tcPr>
            <w:tcW w:w="1099" w:type="dxa"/>
          </w:tcPr>
          <w:p w14:paraId="61909331" w14:textId="77777777" w:rsidR="00FA04D4" w:rsidRPr="00A068EC" w:rsidRDefault="00FA04D4" w:rsidP="009D796C">
            <w:pPr>
              <w:spacing w:after="220"/>
              <w:jc w:val="center"/>
              <w:rPr>
                <w:szCs w:val="22"/>
              </w:rPr>
            </w:pPr>
            <w:r w:rsidRPr="00A068EC">
              <w:t>2013</w:t>
            </w:r>
          </w:p>
        </w:tc>
        <w:tc>
          <w:tcPr>
            <w:tcW w:w="1100" w:type="dxa"/>
          </w:tcPr>
          <w:p w14:paraId="026BB99D" w14:textId="77777777" w:rsidR="00FA04D4" w:rsidRPr="00A068EC" w:rsidRDefault="00FA04D4" w:rsidP="009D796C">
            <w:pPr>
              <w:spacing w:after="220"/>
              <w:jc w:val="center"/>
              <w:rPr>
                <w:szCs w:val="22"/>
              </w:rPr>
            </w:pPr>
            <w:r w:rsidRPr="00A068EC">
              <w:t>2023</w:t>
            </w:r>
          </w:p>
        </w:tc>
        <w:tc>
          <w:tcPr>
            <w:tcW w:w="984" w:type="dxa"/>
          </w:tcPr>
          <w:p w14:paraId="79BC6458" w14:textId="77777777" w:rsidR="00FA04D4" w:rsidRPr="00A068EC" w:rsidRDefault="00FA04D4" w:rsidP="009D796C">
            <w:pPr>
              <w:spacing w:after="220"/>
              <w:jc w:val="center"/>
              <w:rPr>
                <w:szCs w:val="22"/>
              </w:rPr>
            </w:pPr>
            <w:r w:rsidRPr="00A068EC">
              <w:t>2024</w:t>
            </w:r>
          </w:p>
        </w:tc>
      </w:tr>
      <w:tr w:rsidR="00FA04D4" w:rsidRPr="00A068EC" w14:paraId="6A132695" w14:textId="77777777" w:rsidTr="00020572">
        <w:tc>
          <w:tcPr>
            <w:tcW w:w="1766" w:type="dxa"/>
          </w:tcPr>
          <w:p w14:paraId="1BDD4707" w14:textId="7FFAB034" w:rsidR="00FA04D4" w:rsidRPr="00A068EC" w:rsidRDefault="00FA04D4" w:rsidP="009D796C">
            <w:pPr>
              <w:spacing w:after="220"/>
            </w:pPr>
            <w:r w:rsidRPr="00A068EC">
              <w:t>Nombre d</w:t>
            </w:r>
            <w:r w:rsidR="00DE166D" w:rsidRPr="00A068EC">
              <w:t>’</w:t>
            </w:r>
            <w:r w:rsidRPr="00A068EC">
              <w:t>autorités de dépôt internationales</w:t>
            </w:r>
          </w:p>
        </w:tc>
        <w:tc>
          <w:tcPr>
            <w:tcW w:w="1099" w:type="dxa"/>
            <w:vAlign w:val="center"/>
          </w:tcPr>
          <w:p w14:paraId="12FA8B3F" w14:textId="77777777" w:rsidR="00FA04D4" w:rsidRPr="00A068EC" w:rsidRDefault="00FA04D4" w:rsidP="009D796C">
            <w:pPr>
              <w:spacing w:after="220"/>
              <w:jc w:val="center"/>
            </w:pPr>
            <w:r w:rsidRPr="00A068EC">
              <w:t>0</w:t>
            </w:r>
          </w:p>
        </w:tc>
        <w:tc>
          <w:tcPr>
            <w:tcW w:w="1099" w:type="dxa"/>
            <w:vAlign w:val="center"/>
          </w:tcPr>
          <w:p w14:paraId="30BCB01A" w14:textId="77777777" w:rsidR="00FA04D4" w:rsidRPr="00A068EC" w:rsidRDefault="00FA04D4" w:rsidP="009D796C">
            <w:pPr>
              <w:spacing w:after="220"/>
              <w:jc w:val="center"/>
            </w:pPr>
            <w:r w:rsidRPr="00A068EC">
              <w:t>11</w:t>
            </w:r>
          </w:p>
        </w:tc>
        <w:tc>
          <w:tcPr>
            <w:tcW w:w="1099" w:type="dxa"/>
            <w:vAlign w:val="center"/>
          </w:tcPr>
          <w:p w14:paraId="51BCA279" w14:textId="77777777" w:rsidR="00FA04D4" w:rsidRPr="00A068EC" w:rsidRDefault="00FA04D4" w:rsidP="009D796C">
            <w:pPr>
              <w:spacing w:after="220"/>
              <w:jc w:val="center"/>
            </w:pPr>
            <w:r w:rsidRPr="00A068EC">
              <w:t>26</w:t>
            </w:r>
          </w:p>
        </w:tc>
        <w:tc>
          <w:tcPr>
            <w:tcW w:w="1099" w:type="dxa"/>
            <w:vAlign w:val="center"/>
          </w:tcPr>
          <w:p w14:paraId="4CB1CB4E" w14:textId="77777777" w:rsidR="00FA04D4" w:rsidRPr="00A068EC" w:rsidRDefault="00FA04D4" w:rsidP="009D796C">
            <w:pPr>
              <w:spacing w:after="220"/>
              <w:jc w:val="center"/>
            </w:pPr>
            <w:r w:rsidRPr="00A068EC">
              <w:t>34</w:t>
            </w:r>
          </w:p>
        </w:tc>
        <w:tc>
          <w:tcPr>
            <w:tcW w:w="1099" w:type="dxa"/>
            <w:vAlign w:val="center"/>
          </w:tcPr>
          <w:p w14:paraId="5BD156E3" w14:textId="77777777" w:rsidR="00FA04D4" w:rsidRPr="00A068EC" w:rsidRDefault="00FA04D4" w:rsidP="009D796C">
            <w:pPr>
              <w:spacing w:after="220"/>
              <w:jc w:val="center"/>
            </w:pPr>
            <w:r w:rsidRPr="00A068EC">
              <w:t>42</w:t>
            </w:r>
          </w:p>
        </w:tc>
        <w:tc>
          <w:tcPr>
            <w:tcW w:w="1100" w:type="dxa"/>
            <w:vAlign w:val="center"/>
          </w:tcPr>
          <w:p w14:paraId="08FF1D5B" w14:textId="77777777" w:rsidR="00FA04D4" w:rsidRPr="00A068EC" w:rsidRDefault="00FA04D4" w:rsidP="009D796C">
            <w:pPr>
              <w:spacing w:after="220"/>
              <w:jc w:val="center"/>
            </w:pPr>
            <w:r w:rsidRPr="00A068EC">
              <w:t>49</w:t>
            </w:r>
          </w:p>
        </w:tc>
        <w:tc>
          <w:tcPr>
            <w:tcW w:w="984" w:type="dxa"/>
            <w:vAlign w:val="center"/>
          </w:tcPr>
          <w:p w14:paraId="3E15EC33" w14:textId="77777777" w:rsidR="00FA04D4" w:rsidRPr="00A068EC" w:rsidRDefault="00FA04D4" w:rsidP="009D796C">
            <w:pPr>
              <w:spacing w:after="220"/>
              <w:jc w:val="center"/>
            </w:pPr>
            <w:r w:rsidRPr="00A068EC">
              <w:t>50</w:t>
            </w:r>
          </w:p>
        </w:tc>
      </w:tr>
    </w:tbl>
    <w:p w14:paraId="5156477D" w14:textId="2FC831B2" w:rsidR="00DE166D" w:rsidRPr="00A068EC" w:rsidRDefault="00FA04D4" w:rsidP="00E222FF">
      <w:pPr>
        <w:pStyle w:val="ONUMFS"/>
        <w:numPr>
          <w:ilvl w:val="0"/>
          <w:numId w:val="0"/>
        </w:numPr>
        <w:spacing w:before="240"/>
        <w:rPr>
          <w:lang w:val="fr-FR"/>
        </w:rPr>
      </w:pPr>
      <w:r w:rsidRPr="00A068EC">
        <w:rPr>
          <w:lang w:val="fr-FR"/>
        </w:rPr>
        <w:t>Actuellement, ces autorités de dépôt internationales se situent dans les groupes ci</w:t>
      </w:r>
      <w:r w:rsidR="00132BF1">
        <w:rPr>
          <w:lang w:val="fr-FR"/>
        </w:rPr>
        <w:noBreakHyphen/>
      </w:r>
      <w:r w:rsidRPr="00A068EC">
        <w:rPr>
          <w:lang w:val="fr-FR"/>
        </w:rPr>
        <w:t>après</w:t>
      </w:r>
      <w:r w:rsidR="00DE166D" w:rsidRPr="00A068EC">
        <w:rPr>
          <w:lang w:val="fr-FR"/>
        </w:rPr>
        <w:t> :</w:t>
      </w:r>
      <w:r w:rsidRPr="00A068EC">
        <w:rPr>
          <w:lang w:val="fr-FR"/>
        </w:rPr>
        <w:t xml:space="preserve"> pays africains (une</w:t>
      </w:r>
      <w:r w:rsidRPr="00A068EC">
        <w:rPr>
          <w:rStyle w:val="FootnoteReference"/>
          <w:lang w:val="fr-FR"/>
        </w:rPr>
        <w:footnoteReference w:id="2"/>
      </w:r>
      <w:r w:rsidRPr="00A068EC">
        <w:rPr>
          <w:lang w:val="fr-FR"/>
        </w:rPr>
        <w:t>), pays d</w:t>
      </w:r>
      <w:r w:rsidR="00DE166D" w:rsidRPr="00A068EC">
        <w:rPr>
          <w:lang w:val="fr-FR"/>
        </w:rPr>
        <w:t>’</w:t>
      </w:r>
      <w:r w:rsidRPr="00A068EC">
        <w:rPr>
          <w:lang w:val="fr-FR"/>
        </w:rPr>
        <w:t>Asie et du Pacifique (sept</w:t>
      </w:r>
      <w:r w:rsidRPr="00A068EC">
        <w:rPr>
          <w:rStyle w:val="FootnoteReference"/>
          <w:lang w:val="fr-FR"/>
        </w:rPr>
        <w:footnoteReference w:id="3"/>
      </w:r>
      <w:r w:rsidRPr="00A068EC">
        <w:rPr>
          <w:lang w:val="fr-FR"/>
        </w:rPr>
        <w:t>), pays d</w:t>
      </w:r>
      <w:r w:rsidR="00DE166D" w:rsidRPr="00A068EC">
        <w:rPr>
          <w:lang w:val="fr-FR"/>
        </w:rPr>
        <w:t>’</w:t>
      </w:r>
      <w:r w:rsidRPr="00A068EC">
        <w:rPr>
          <w:lang w:val="fr-FR"/>
        </w:rPr>
        <w:t>Asie centrale, du Caucase et d</w:t>
      </w:r>
      <w:r w:rsidR="00DE166D" w:rsidRPr="00A068EC">
        <w:rPr>
          <w:lang w:val="fr-FR"/>
        </w:rPr>
        <w:t>’</w:t>
      </w:r>
      <w:r w:rsidRPr="00A068EC">
        <w:rPr>
          <w:lang w:val="fr-FR"/>
        </w:rPr>
        <w:t>Europe orientale (deux</w:t>
      </w:r>
      <w:r w:rsidRPr="00A068EC">
        <w:rPr>
          <w:rStyle w:val="FootnoteReference"/>
          <w:lang w:val="fr-FR"/>
        </w:rPr>
        <w:footnoteReference w:id="4"/>
      </w:r>
      <w:r w:rsidRPr="00A068EC">
        <w:rPr>
          <w:lang w:val="fr-FR"/>
        </w:rPr>
        <w:t>), pays d</w:t>
      </w:r>
      <w:r w:rsidR="00DE166D" w:rsidRPr="00A068EC">
        <w:rPr>
          <w:lang w:val="fr-FR"/>
        </w:rPr>
        <w:t>’</w:t>
      </w:r>
      <w:r w:rsidRPr="00A068EC">
        <w:rPr>
          <w:lang w:val="fr-FR"/>
        </w:rPr>
        <w:t>Europe centrale et des États baltes (huit</w:t>
      </w:r>
      <w:r w:rsidRPr="00A068EC">
        <w:rPr>
          <w:rStyle w:val="FootnoteReference"/>
          <w:lang w:val="fr-FR"/>
        </w:rPr>
        <w:footnoteReference w:id="5"/>
      </w:r>
      <w:r w:rsidRPr="00A068EC">
        <w:rPr>
          <w:lang w:val="fr-FR"/>
        </w:rPr>
        <w:t>), Chine (trois), groupe B (vingt</w:t>
      </w:r>
      <w:r w:rsidR="00132BF1">
        <w:rPr>
          <w:lang w:val="fr-FR"/>
        </w:rPr>
        <w:noBreakHyphen/>
      </w:r>
      <w:r w:rsidRPr="00A068EC">
        <w:rPr>
          <w:lang w:val="fr-FR"/>
        </w:rPr>
        <w:t>sept</w:t>
      </w:r>
      <w:r w:rsidRPr="00A068EC">
        <w:rPr>
          <w:rStyle w:val="FootnoteReference"/>
          <w:lang w:val="fr-FR"/>
        </w:rPr>
        <w:footnoteReference w:id="6"/>
      </w:r>
      <w:r w:rsidRPr="00A068EC">
        <w:rPr>
          <w:lang w:val="fr-FR"/>
        </w:rPr>
        <w:t>) et pays d</w:t>
      </w:r>
      <w:r w:rsidR="00DE166D" w:rsidRPr="00A068EC">
        <w:rPr>
          <w:lang w:val="fr-FR"/>
        </w:rPr>
        <w:t>’</w:t>
      </w:r>
      <w:r w:rsidRPr="00A068EC">
        <w:rPr>
          <w:lang w:val="fr-FR"/>
        </w:rPr>
        <w:t>Amérique latine et des Caraïbes (deux</w:t>
      </w:r>
      <w:r w:rsidRPr="00A068EC">
        <w:rPr>
          <w:rStyle w:val="FootnoteReference"/>
          <w:lang w:val="fr-FR"/>
        </w:rPr>
        <w:footnoteReference w:id="7"/>
      </w:r>
      <w:r w:rsidRPr="00A068EC">
        <w:rPr>
          <w:lang w:val="fr-FR"/>
        </w:rPr>
        <w:t>).</w:t>
      </w:r>
    </w:p>
    <w:p w14:paraId="1342B547" w14:textId="6D3F1581" w:rsidR="00132BF1" w:rsidRDefault="00FA04D4" w:rsidP="00132BF1">
      <w:pPr>
        <w:pStyle w:val="ONUMFS"/>
        <w:rPr>
          <w:lang w:val="fr-FR"/>
        </w:rPr>
      </w:pPr>
      <w:r w:rsidRPr="00A068EC">
        <w:rPr>
          <w:lang w:val="fr-FR"/>
        </w:rPr>
        <w:t>Il y a lieu de noter la plus grande diversité géographique au fil du temps, tant au niveau des membres du traité qu</w:t>
      </w:r>
      <w:r w:rsidR="00DE166D" w:rsidRPr="00A068EC">
        <w:rPr>
          <w:lang w:val="fr-FR"/>
        </w:rPr>
        <w:t>’</w:t>
      </w:r>
      <w:r w:rsidRPr="00A068EC">
        <w:rPr>
          <w:lang w:val="fr-FR"/>
        </w:rPr>
        <w:t>au niveau de la répartition des autorités de dépôt international</w:t>
      </w:r>
      <w:r w:rsidR="00A068EC" w:rsidRPr="00A068EC">
        <w:rPr>
          <w:lang w:val="fr-FR"/>
        </w:rPr>
        <w:t>es.  Un</w:t>
      </w:r>
      <w:r w:rsidRPr="00A068EC">
        <w:rPr>
          <w:lang w:val="fr-FR"/>
        </w:rPr>
        <w:t xml:space="preserve">e liste des États parties au Traité de Budapest et des autorités de dépôt internationales est disponible sur le </w:t>
      </w:r>
      <w:hyperlink r:id="rId8" w:history="1">
        <w:r w:rsidRPr="00A068EC">
          <w:rPr>
            <w:rStyle w:val="Hyperlink"/>
            <w:lang w:val="fr-FR"/>
          </w:rPr>
          <w:t>site</w:t>
        </w:r>
        <w:r w:rsidR="003150FB" w:rsidRPr="00A068EC">
          <w:rPr>
            <w:rStyle w:val="Hyperlink"/>
            <w:lang w:val="fr-FR"/>
          </w:rPr>
          <w:t> </w:t>
        </w:r>
        <w:r w:rsidRPr="00A068EC">
          <w:rPr>
            <w:rStyle w:val="Hyperlink"/>
            <w:lang w:val="fr-FR"/>
          </w:rPr>
          <w:t>Web du Traité de B</w:t>
        </w:r>
        <w:r w:rsidRPr="00A068EC">
          <w:rPr>
            <w:rStyle w:val="Hyperlink"/>
            <w:lang w:val="fr-FR"/>
          </w:rPr>
          <w:t>u</w:t>
        </w:r>
        <w:r w:rsidRPr="00A068EC">
          <w:rPr>
            <w:rStyle w:val="Hyperlink"/>
            <w:lang w:val="fr-FR"/>
          </w:rPr>
          <w:t>dapest</w:t>
        </w:r>
      </w:hyperlink>
      <w:r w:rsidRPr="00A068EC">
        <w:rPr>
          <w:lang w:val="fr-FR"/>
        </w:rPr>
        <w:t>.</w:t>
      </w:r>
    </w:p>
    <w:p w14:paraId="5337E3D7" w14:textId="77777777" w:rsidR="00132BF1" w:rsidRDefault="00FA04D4" w:rsidP="00E222FF">
      <w:pPr>
        <w:pStyle w:val="Heading3"/>
      </w:pPr>
      <w:r w:rsidRPr="00A068EC">
        <w:lastRenderedPageBreak/>
        <w:t>Modifications apportées au règlement d</w:t>
      </w:r>
      <w:r w:rsidR="00DE166D" w:rsidRPr="00A068EC">
        <w:t>’</w:t>
      </w:r>
      <w:r w:rsidRPr="00A068EC">
        <w:t>exécution du Traité de Budapest</w:t>
      </w:r>
    </w:p>
    <w:p w14:paraId="349C9A9D" w14:textId="7E6732AC" w:rsidR="00DE166D" w:rsidRPr="00A068EC" w:rsidRDefault="00DE166D" w:rsidP="00132BF1">
      <w:pPr>
        <w:pStyle w:val="ONUMFS"/>
        <w:rPr>
          <w:lang w:val="fr-FR"/>
        </w:rPr>
      </w:pPr>
      <w:r w:rsidRPr="00A068EC">
        <w:rPr>
          <w:lang w:val="fr-FR"/>
        </w:rPr>
        <w:t>En 2022</w:t>
      </w:r>
      <w:r w:rsidR="00FA04D4" w:rsidRPr="00A068EC">
        <w:rPr>
          <w:lang w:val="fr-FR"/>
        </w:rPr>
        <w:t>, l</w:t>
      </w:r>
      <w:r w:rsidRPr="00A068EC">
        <w:rPr>
          <w:lang w:val="fr-FR"/>
        </w:rPr>
        <w:t>’</w:t>
      </w:r>
      <w:r w:rsidR="00FA04D4" w:rsidRPr="00A068EC">
        <w:rPr>
          <w:lang w:val="fr-FR"/>
        </w:rPr>
        <w:t>Assemblée de l</w:t>
      </w:r>
      <w:r w:rsidRPr="00A068EC">
        <w:rPr>
          <w:lang w:val="fr-FR"/>
        </w:rPr>
        <w:t>’</w:t>
      </w:r>
      <w:r w:rsidR="00FA04D4" w:rsidRPr="00A068EC">
        <w:rPr>
          <w:lang w:val="fr-FR"/>
        </w:rPr>
        <w:t>Union de Budapest a décidé de modifier la règle </w:t>
      </w:r>
      <w:proofErr w:type="gramStart"/>
      <w:r w:rsidR="00FA04D4" w:rsidRPr="00A068EC">
        <w:rPr>
          <w:lang w:val="fr-FR"/>
        </w:rPr>
        <w:t>11.4.a)i</w:t>
      </w:r>
      <w:proofErr w:type="gramEnd"/>
      <w:r w:rsidR="00FA04D4" w:rsidRPr="00A068EC">
        <w:rPr>
          <w:lang w:val="fr-FR"/>
        </w:rPr>
        <w:t>) et</w:t>
      </w:r>
      <w:r w:rsidR="00E222FF">
        <w:rPr>
          <w:lang w:val="fr-FR"/>
        </w:rPr>
        <w:t> </w:t>
      </w:r>
      <w:r w:rsidR="00FA04D4" w:rsidRPr="00A068EC">
        <w:rPr>
          <w:lang w:val="fr-FR"/>
        </w:rPr>
        <w:t>b)</w:t>
      </w:r>
      <w:r w:rsidR="003150FB" w:rsidRPr="00A068EC">
        <w:rPr>
          <w:lang w:val="fr-FR"/>
        </w:rPr>
        <w:t> </w:t>
      </w:r>
      <w:r w:rsidR="00FA04D4" w:rsidRPr="00A068EC">
        <w:rPr>
          <w:lang w:val="fr-FR"/>
        </w:rPr>
        <w:t>du Traité de Budapest, mettant ainsi à disposition certaines communications adressées aux autorités de dépôt internationales dans les six</w:t>
      </w:r>
      <w:r w:rsidR="003150FB" w:rsidRPr="00A068EC">
        <w:rPr>
          <w:lang w:val="fr-FR"/>
        </w:rPr>
        <w:t> </w:t>
      </w:r>
      <w:r w:rsidR="00FA04D4" w:rsidRPr="00A068EC">
        <w:rPr>
          <w:lang w:val="fr-FR"/>
        </w:rPr>
        <w:t>langues officielles de l</w:t>
      </w:r>
      <w:r w:rsidRPr="00A068EC">
        <w:rPr>
          <w:lang w:val="fr-FR"/>
        </w:rPr>
        <w:t>’</w:t>
      </w:r>
      <w:r w:rsidR="00FA04D4" w:rsidRPr="00A068EC">
        <w:rPr>
          <w:lang w:val="fr-FR"/>
        </w:rPr>
        <w:t>O</w:t>
      </w:r>
      <w:r w:rsidR="00A068EC" w:rsidRPr="00A068EC">
        <w:rPr>
          <w:lang w:val="fr-FR"/>
        </w:rPr>
        <w:t>MPI.  Ce</w:t>
      </w:r>
      <w:r w:rsidR="00FA04D4" w:rsidRPr="00A068EC">
        <w:rPr>
          <w:lang w:val="fr-FR"/>
        </w:rPr>
        <w:t>s modifications sont entrées en vigueur le</w:t>
      </w:r>
      <w:r w:rsidRPr="00A068EC">
        <w:rPr>
          <w:lang w:val="fr-FR"/>
        </w:rPr>
        <w:t xml:space="preserve"> 1</w:t>
      </w:r>
      <w:r w:rsidRPr="00A068EC">
        <w:rPr>
          <w:vertAlign w:val="superscript"/>
          <w:lang w:val="fr-FR"/>
        </w:rPr>
        <w:t>er</w:t>
      </w:r>
      <w:r w:rsidRPr="00A068EC">
        <w:rPr>
          <w:lang w:val="fr-FR"/>
        </w:rPr>
        <w:t> </w:t>
      </w:r>
      <w:r w:rsidR="00FA04D4" w:rsidRPr="00A068EC">
        <w:rPr>
          <w:lang w:val="fr-FR"/>
        </w:rPr>
        <w:t>janvier 2023.</w:t>
      </w:r>
    </w:p>
    <w:p w14:paraId="2F71B6E1" w14:textId="471B746C" w:rsidR="00DE166D" w:rsidRPr="00A068EC" w:rsidRDefault="00FA04D4" w:rsidP="00132BF1">
      <w:pPr>
        <w:pStyle w:val="ONUMFS"/>
        <w:rPr>
          <w:lang w:val="fr-FR"/>
        </w:rPr>
      </w:pPr>
      <w:r w:rsidRPr="00A068EC">
        <w:rPr>
          <w:lang w:val="fr-FR"/>
        </w:rPr>
        <w:t>En outre, conformément à la décision de l</w:t>
      </w:r>
      <w:r w:rsidR="00DE166D" w:rsidRPr="00A068EC">
        <w:rPr>
          <w:lang w:val="fr-FR"/>
        </w:rPr>
        <w:t>’</w:t>
      </w:r>
      <w:r w:rsidRPr="00A068EC">
        <w:rPr>
          <w:lang w:val="fr-FR"/>
        </w:rPr>
        <w:t xml:space="preserve">Assemblée, le Bureau international a publié </w:t>
      </w:r>
      <w:hyperlink r:id="rId9" w:history="1">
        <w:r w:rsidRPr="00A068EC">
          <w:rPr>
            <w:rStyle w:val="Hyperlink"/>
            <w:lang w:val="fr-FR"/>
          </w:rPr>
          <w:t>les nouvelles formules utilisées en application du Traité de B</w:t>
        </w:r>
        <w:r w:rsidRPr="00A068EC">
          <w:rPr>
            <w:rStyle w:val="Hyperlink"/>
            <w:lang w:val="fr-FR"/>
          </w:rPr>
          <w:t>u</w:t>
        </w:r>
        <w:r w:rsidRPr="00A068EC">
          <w:rPr>
            <w:rStyle w:val="Hyperlink"/>
            <w:lang w:val="fr-FR"/>
          </w:rPr>
          <w:t>dapest</w:t>
        </w:r>
      </w:hyperlink>
      <w:r w:rsidRPr="00A068EC">
        <w:rPr>
          <w:lang w:val="fr-FR"/>
        </w:rPr>
        <w:t xml:space="preserve"> dans les six</w:t>
      </w:r>
      <w:r w:rsidR="003150FB" w:rsidRPr="00A068EC">
        <w:rPr>
          <w:lang w:val="fr-FR"/>
        </w:rPr>
        <w:t> </w:t>
      </w:r>
      <w:r w:rsidRPr="00A068EC">
        <w:rPr>
          <w:lang w:val="fr-FR"/>
        </w:rPr>
        <w:t>langues officielles de l</w:t>
      </w:r>
      <w:r w:rsidR="00DE166D" w:rsidRPr="00A068EC">
        <w:rPr>
          <w:lang w:val="fr-FR"/>
        </w:rPr>
        <w:t>’</w:t>
      </w:r>
      <w:r w:rsidRPr="00A068EC">
        <w:rPr>
          <w:lang w:val="fr-FR"/>
        </w:rPr>
        <w:t>O</w:t>
      </w:r>
      <w:r w:rsidR="00A068EC" w:rsidRPr="00A068EC">
        <w:rPr>
          <w:lang w:val="fr-FR"/>
        </w:rPr>
        <w:t>MPI.  Ce</w:t>
      </w:r>
      <w:r w:rsidRPr="00A068EC">
        <w:rPr>
          <w:lang w:val="fr-FR"/>
        </w:rPr>
        <w:t>s formules comprennent désormais des espaces pour l</w:t>
      </w:r>
      <w:r w:rsidR="00DE166D" w:rsidRPr="00A068EC">
        <w:rPr>
          <w:lang w:val="fr-FR"/>
        </w:rPr>
        <w:t>’</w:t>
      </w:r>
      <w:r w:rsidRPr="00A068EC">
        <w:rPr>
          <w:lang w:val="fr-FR"/>
        </w:rPr>
        <w:t>indication des adresses de courrier électronique et des numéros de téléphone des parties concernées.</w:t>
      </w:r>
    </w:p>
    <w:p w14:paraId="24D0238C" w14:textId="77777777" w:rsidR="00132BF1" w:rsidRDefault="00FA04D4" w:rsidP="00E222FF">
      <w:pPr>
        <w:pStyle w:val="Heading3"/>
      </w:pPr>
      <w:r w:rsidRPr="00A068EC">
        <w:t>Notifications et communications</w:t>
      </w:r>
    </w:p>
    <w:p w14:paraId="2D3B0FE8" w14:textId="68CAE795" w:rsidR="00DE166D" w:rsidRPr="00A068EC" w:rsidRDefault="00FA04D4" w:rsidP="00132BF1">
      <w:pPr>
        <w:pStyle w:val="ONUMFS"/>
        <w:rPr>
          <w:lang w:val="fr-FR"/>
        </w:rPr>
      </w:pPr>
      <w:r w:rsidRPr="00A068EC">
        <w:rPr>
          <w:lang w:val="fr-FR"/>
        </w:rPr>
        <w:t>Le Traité de Budapest régit divers types de communications entre les États contractants et les organisations intergouvernementales de propriété industrielle et le Bureau internation</w:t>
      </w:r>
      <w:r w:rsidR="00A068EC" w:rsidRPr="00A068EC">
        <w:rPr>
          <w:lang w:val="fr-FR"/>
        </w:rPr>
        <w:t>al.  Ce</w:t>
      </w:r>
      <w:r w:rsidRPr="00A068EC">
        <w:rPr>
          <w:lang w:val="fr-FR"/>
        </w:rPr>
        <w:t>s communications concernent, par exemple, l</w:t>
      </w:r>
      <w:r w:rsidR="00DE166D" w:rsidRPr="00A068EC">
        <w:rPr>
          <w:lang w:val="fr-FR"/>
        </w:rPr>
        <w:t>’</w:t>
      </w:r>
      <w:r w:rsidRPr="00A068EC">
        <w:rPr>
          <w:lang w:val="fr-FR"/>
        </w:rPr>
        <w:t>acquisition du statut d</w:t>
      </w:r>
      <w:r w:rsidR="00DE166D" w:rsidRPr="00A068EC">
        <w:rPr>
          <w:lang w:val="fr-FR"/>
        </w:rPr>
        <w:t>’</w:t>
      </w:r>
      <w:r w:rsidRPr="00A068EC">
        <w:rPr>
          <w:lang w:val="fr-FR"/>
        </w:rPr>
        <w:t>autorité de dépôt internationale ou les conditions d</w:t>
      </w:r>
      <w:r w:rsidR="00DE166D" w:rsidRPr="00A068EC">
        <w:rPr>
          <w:lang w:val="fr-FR"/>
        </w:rPr>
        <w:t>’</w:t>
      </w:r>
      <w:r w:rsidRPr="00A068EC">
        <w:rPr>
          <w:lang w:val="fr-FR"/>
        </w:rPr>
        <w:t xml:space="preserve">acceptation des dépôts par une autorité de dépôt internationale, </w:t>
      </w:r>
      <w:r w:rsidR="00DE166D" w:rsidRPr="00A068EC">
        <w:rPr>
          <w:lang w:val="fr-FR"/>
        </w:rPr>
        <w:t>y compris</w:t>
      </w:r>
      <w:r w:rsidRPr="00A068EC">
        <w:rPr>
          <w:lang w:val="fr-FR"/>
        </w:rPr>
        <w:t xml:space="preserve"> les changements dans le barème des taxes perçues par une autorité de dépôt internationa</w:t>
      </w:r>
      <w:r w:rsidR="00A068EC" w:rsidRPr="00A068EC">
        <w:rPr>
          <w:lang w:val="fr-FR"/>
        </w:rPr>
        <w:t>le.  Ou</w:t>
      </w:r>
      <w:r w:rsidRPr="00A068EC">
        <w:rPr>
          <w:lang w:val="fr-FR"/>
        </w:rPr>
        <w:t>tre les notifications de dépôt de nouveaux instruments d</w:t>
      </w:r>
      <w:r w:rsidR="00DE166D" w:rsidRPr="00A068EC">
        <w:rPr>
          <w:lang w:val="fr-FR"/>
        </w:rPr>
        <w:t>’</w:t>
      </w:r>
      <w:r w:rsidRPr="00A068EC">
        <w:rPr>
          <w:lang w:val="fr-FR"/>
        </w:rPr>
        <w:t>adhésion ou de ratification concernant le Traité de Budapest, ou de nouvelles déclarations en vertu de l</w:t>
      </w:r>
      <w:r w:rsidR="00DE166D" w:rsidRPr="00A068EC">
        <w:rPr>
          <w:lang w:val="fr-FR"/>
        </w:rPr>
        <w:t>’</w:t>
      </w:r>
      <w:r w:rsidRPr="00A068EC">
        <w:rPr>
          <w:lang w:val="fr-FR"/>
        </w:rPr>
        <w:t>article </w:t>
      </w:r>
      <w:proofErr w:type="gramStart"/>
      <w:r w:rsidRPr="00A068EC">
        <w:rPr>
          <w:lang w:val="fr-FR"/>
        </w:rPr>
        <w:t>9.1)a</w:t>
      </w:r>
      <w:proofErr w:type="gramEnd"/>
      <w:r w:rsidRPr="00A068EC">
        <w:rPr>
          <w:lang w:val="fr-FR"/>
        </w:rPr>
        <w:t xml:space="preserve">), le Bureau international notifie et publie ces </w:t>
      </w:r>
      <w:hyperlink r:id="rId10" w:history="1">
        <w:r w:rsidRPr="00A068EC">
          <w:rPr>
            <w:rStyle w:val="Hyperlink"/>
            <w:lang w:val="fr-FR"/>
          </w:rPr>
          <w:t>communic</w:t>
        </w:r>
        <w:r w:rsidRPr="00A068EC">
          <w:rPr>
            <w:rStyle w:val="Hyperlink"/>
            <w:lang w:val="fr-FR"/>
          </w:rPr>
          <w:t>a</w:t>
        </w:r>
        <w:r w:rsidRPr="00A068EC">
          <w:rPr>
            <w:rStyle w:val="Hyperlink"/>
            <w:lang w:val="fr-FR"/>
          </w:rPr>
          <w:t>tions</w:t>
        </w:r>
      </w:hyperlink>
      <w:r w:rsidRPr="00A068EC">
        <w:rPr>
          <w:lang w:val="fr-FR"/>
        </w:rPr>
        <w:t xml:space="preserve"> sur le site</w:t>
      </w:r>
      <w:r w:rsidR="003150FB" w:rsidRPr="00A068EC">
        <w:rPr>
          <w:lang w:val="fr-FR"/>
        </w:rPr>
        <w:t> </w:t>
      </w:r>
      <w:r w:rsidRPr="00A068EC">
        <w:rPr>
          <w:lang w:val="fr-FR"/>
        </w:rPr>
        <w:t>Web du Traité de Budapest.</w:t>
      </w:r>
    </w:p>
    <w:p w14:paraId="18FAC820" w14:textId="389E43DE" w:rsidR="00FA04D4" w:rsidRPr="00A068EC" w:rsidRDefault="00FA04D4" w:rsidP="00132BF1">
      <w:pPr>
        <w:pStyle w:val="ONUMFS"/>
        <w:rPr>
          <w:lang w:val="fr-FR"/>
        </w:rPr>
      </w:pPr>
      <w:r w:rsidRPr="00A068EC">
        <w:rPr>
          <w:lang w:val="fr-FR"/>
        </w:rPr>
        <w:t xml:space="preserve">Depuis </w:t>
      </w:r>
      <w:r w:rsidR="00DE166D" w:rsidRPr="00A068EC">
        <w:rPr>
          <w:lang w:val="fr-FR"/>
        </w:rPr>
        <w:t>juillet 20</w:t>
      </w:r>
      <w:r w:rsidRPr="00A068EC">
        <w:rPr>
          <w:lang w:val="fr-FR"/>
        </w:rPr>
        <w:t>22, le Bureau international a notifié et publié les communications reçues du Royaume</w:t>
      </w:r>
      <w:r w:rsidR="00132BF1">
        <w:rPr>
          <w:lang w:val="fr-FR"/>
        </w:rPr>
        <w:noBreakHyphen/>
      </w:r>
      <w:r w:rsidRPr="00A068EC">
        <w:rPr>
          <w:lang w:val="fr-FR"/>
        </w:rPr>
        <w:t>Uni, de l</w:t>
      </w:r>
      <w:r w:rsidR="00DE166D" w:rsidRPr="00A068EC">
        <w:rPr>
          <w:lang w:val="fr-FR"/>
        </w:rPr>
        <w:t>’</w:t>
      </w:r>
      <w:r w:rsidRPr="00A068EC">
        <w:rPr>
          <w:lang w:val="fr-FR"/>
        </w:rPr>
        <w:t>Office européen des brevets, de la Pologne, du Japon, de l</w:t>
      </w:r>
      <w:r w:rsidR="00DE166D" w:rsidRPr="00A068EC">
        <w:rPr>
          <w:lang w:val="fr-FR"/>
        </w:rPr>
        <w:t>’</w:t>
      </w:r>
      <w:r w:rsidRPr="00A068EC">
        <w:rPr>
          <w:lang w:val="fr-FR"/>
        </w:rPr>
        <w:t>Espagne, des États</w:t>
      </w:r>
      <w:r w:rsidR="00132BF1">
        <w:rPr>
          <w:lang w:val="fr-FR"/>
        </w:rPr>
        <w:noBreakHyphen/>
      </w:r>
      <w:r w:rsidRPr="00A068EC">
        <w:rPr>
          <w:lang w:val="fr-FR"/>
        </w:rPr>
        <w:t>Unis d</w:t>
      </w:r>
      <w:r w:rsidR="00DE166D" w:rsidRPr="00A068EC">
        <w:rPr>
          <w:lang w:val="fr-FR"/>
        </w:rPr>
        <w:t>’</w:t>
      </w:r>
      <w:r w:rsidRPr="00A068EC">
        <w:rPr>
          <w:lang w:val="fr-FR"/>
        </w:rPr>
        <w:t>Amérique, de la Finlande et du Portugal (dans l</w:t>
      </w:r>
      <w:r w:rsidR="00DE166D" w:rsidRPr="00A068EC">
        <w:rPr>
          <w:lang w:val="fr-FR"/>
        </w:rPr>
        <w:t>’</w:t>
      </w:r>
      <w:r w:rsidRPr="00A068EC">
        <w:rPr>
          <w:lang w:val="fr-FR"/>
        </w:rPr>
        <w:t>ordre de publication).</w:t>
      </w:r>
    </w:p>
    <w:p w14:paraId="28071C67" w14:textId="1A4222C7" w:rsidR="00132BF1" w:rsidRDefault="00FA04D4" w:rsidP="00E222FF">
      <w:pPr>
        <w:pStyle w:val="Heading3"/>
      </w:pPr>
      <w:r w:rsidRPr="00A068EC">
        <w:t>Mise à jour du Guide du dépôt des micro</w:t>
      </w:r>
      <w:r w:rsidR="00132BF1">
        <w:noBreakHyphen/>
      </w:r>
      <w:r w:rsidRPr="00A068EC">
        <w:t>organismes selon le Traité de Budapest</w:t>
      </w:r>
    </w:p>
    <w:p w14:paraId="7911DB78" w14:textId="1E5655B1" w:rsidR="00FA04D4" w:rsidRPr="00A068EC" w:rsidRDefault="00E222FF" w:rsidP="00132BF1">
      <w:pPr>
        <w:pStyle w:val="ONUMFS"/>
        <w:rPr>
          <w:lang w:val="fr-FR"/>
        </w:rPr>
      </w:pPr>
      <w:r>
        <w:rPr>
          <w:lang w:val="fr-FR"/>
        </w:rPr>
        <w:t xml:space="preserve">Le </w:t>
      </w:r>
      <w:hyperlink r:id="rId11" w:history="1">
        <w:r>
          <w:rPr>
            <w:rStyle w:val="Hyperlink"/>
            <w:lang w:val="fr-FR"/>
          </w:rPr>
          <w:t>Guide du dépôt des micro</w:t>
        </w:r>
        <w:r>
          <w:rPr>
            <w:rStyle w:val="Hyperlink"/>
            <w:lang w:val="fr-FR"/>
          </w:rPr>
          <w:noBreakHyphen/>
          <w:t>or</w:t>
        </w:r>
        <w:r>
          <w:rPr>
            <w:rStyle w:val="Hyperlink"/>
            <w:lang w:val="fr-FR"/>
          </w:rPr>
          <w:t>g</w:t>
        </w:r>
        <w:r>
          <w:rPr>
            <w:rStyle w:val="Hyperlink"/>
            <w:lang w:val="fr-FR"/>
          </w:rPr>
          <w:t>anismes selon le Traité de Budapest</w:t>
        </w:r>
      </w:hyperlink>
      <w:r w:rsidR="00FA04D4" w:rsidRPr="00A068EC">
        <w:rPr>
          <w:lang w:val="fr-FR"/>
        </w:rPr>
        <w:t xml:space="preserve"> contient des informations sur les conditions à remplir et la procédure à suivre par les utilisateurs du système de Budapest pour déposer des micro</w:t>
      </w:r>
      <w:r w:rsidR="00132BF1">
        <w:rPr>
          <w:lang w:val="fr-FR"/>
        </w:rPr>
        <w:noBreakHyphen/>
      </w:r>
      <w:r w:rsidR="00FA04D4" w:rsidRPr="00A068EC">
        <w:rPr>
          <w:lang w:val="fr-FR"/>
        </w:rPr>
        <w:t>organismes et obtenir des échantillons des micro</w:t>
      </w:r>
      <w:r w:rsidR="00132BF1">
        <w:rPr>
          <w:lang w:val="fr-FR"/>
        </w:rPr>
        <w:noBreakHyphen/>
      </w:r>
      <w:r w:rsidR="00FA04D4" w:rsidRPr="00A068EC">
        <w:rPr>
          <w:lang w:val="fr-FR"/>
        </w:rPr>
        <w:t>organismes déposés selon le Traité de Budapest.</w:t>
      </w:r>
    </w:p>
    <w:p w14:paraId="3D1D8EC5" w14:textId="5302ECA5" w:rsidR="00FA04D4" w:rsidRPr="00A068EC" w:rsidRDefault="00FA04D4" w:rsidP="00132BF1">
      <w:pPr>
        <w:pStyle w:val="ONUMFS"/>
        <w:rPr>
          <w:lang w:val="fr-FR"/>
        </w:rPr>
      </w:pPr>
      <w:r w:rsidRPr="00A068EC">
        <w:rPr>
          <w:lang w:val="fr-FR"/>
        </w:rPr>
        <w:t>Outre une présentation générale du Traité de Budapest et des règles générales relatives au dépôt de micro</w:t>
      </w:r>
      <w:r w:rsidR="00132BF1">
        <w:rPr>
          <w:lang w:val="fr-FR"/>
        </w:rPr>
        <w:noBreakHyphen/>
      </w:r>
      <w:r w:rsidRPr="00A068EC">
        <w:rPr>
          <w:lang w:val="fr-FR"/>
        </w:rPr>
        <w:t>organismes et à la remise d</w:t>
      </w:r>
      <w:r w:rsidR="00DE166D" w:rsidRPr="00A068EC">
        <w:rPr>
          <w:lang w:val="fr-FR"/>
        </w:rPr>
        <w:t>’</w:t>
      </w:r>
      <w:r w:rsidRPr="00A068EC">
        <w:rPr>
          <w:lang w:val="fr-FR"/>
        </w:rPr>
        <w:t xml:space="preserve">échantillons, le guide contient, dans la </w:t>
      </w:r>
      <w:r w:rsidR="00DE166D" w:rsidRPr="00A068EC">
        <w:rPr>
          <w:lang w:val="fr-FR"/>
        </w:rPr>
        <w:t>section D</w:t>
      </w:r>
      <w:r w:rsidRPr="00A068EC">
        <w:rPr>
          <w:lang w:val="fr-FR"/>
        </w:rPr>
        <w:t>, les exigences techniques et administratives de chaque autorité de dépôt internationale relatives à la réception du dépôt d</w:t>
      </w:r>
      <w:r w:rsidR="00DE166D" w:rsidRPr="00A068EC">
        <w:rPr>
          <w:lang w:val="fr-FR"/>
        </w:rPr>
        <w:t>’</w:t>
      </w:r>
      <w:r w:rsidRPr="00A068EC">
        <w:rPr>
          <w:lang w:val="fr-FR"/>
        </w:rPr>
        <w:t>un micro</w:t>
      </w:r>
      <w:r w:rsidR="00132BF1">
        <w:rPr>
          <w:lang w:val="fr-FR"/>
        </w:rPr>
        <w:noBreakHyphen/>
      </w:r>
      <w:r w:rsidRPr="00A068EC">
        <w:rPr>
          <w:lang w:val="fr-FR"/>
        </w:rPr>
        <w:t>organisme et la remise d</w:t>
      </w:r>
      <w:r w:rsidR="00DE166D" w:rsidRPr="00A068EC">
        <w:rPr>
          <w:lang w:val="fr-FR"/>
        </w:rPr>
        <w:t>’</w:t>
      </w:r>
      <w:r w:rsidRPr="00A068EC">
        <w:rPr>
          <w:lang w:val="fr-FR"/>
        </w:rPr>
        <w:t>échantillons de micro</w:t>
      </w:r>
      <w:r w:rsidR="00132BF1">
        <w:rPr>
          <w:lang w:val="fr-FR"/>
        </w:rPr>
        <w:noBreakHyphen/>
      </w:r>
      <w:r w:rsidRPr="00A068EC">
        <w:rPr>
          <w:lang w:val="fr-FR"/>
        </w:rPr>
        <w:t>organismes déposés (par exemple, les types de micro</w:t>
      </w:r>
      <w:r w:rsidR="00132BF1">
        <w:rPr>
          <w:lang w:val="fr-FR"/>
        </w:rPr>
        <w:noBreakHyphen/>
      </w:r>
      <w:r w:rsidRPr="00A068EC">
        <w:rPr>
          <w:lang w:val="fr-FR"/>
        </w:rPr>
        <w:t>organismes acceptés, la forme et la quantité dans lesquelles les micro</w:t>
      </w:r>
      <w:r w:rsidR="00132BF1">
        <w:rPr>
          <w:lang w:val="fr-FR"/>
        </w:rPr>
        <w:noBreakHyphen/>
      </w:r>
      <w:r w:rsidRPr="00A068EC">
        <w:rPr>
          <w:lang w:val="fr-FR"/>
        </w:rPr>
        <w:t>organismes doivent être reçus, le barème des taxes, etc.).</w:t>
      </w:r>
    </w:p>
    <w:p w14:paraId="5A0D31E6" w14:textId="6FE06A84" w:rsidR="00DE166D" w:rsidRPr="00A068EC" w:rsidRDefault="00FA04D4" w:rsidP="00132BF1">
      <w:pPr>
        <w:pStyle w:val="ONUMFS"/>
        <w:rPr>
          <w:lang w:val="fr-FR"/>
        </w:rPr>
      </w:pPr>
      <w:r w:rsidRPr="00A068EC">
        <w:rPr>
          <w:lang w:val="fr-FR"/>
        </w:rPr>
        <w:t xml:space="preserve">La </w:t>
      </w:r>
      <w:r w:rsidR="00DE166D" w:rsidRPr="00A068EC">
        <w:rPr>
          <w:lang w:val="fr-FR"/>
        </w:rPr>
        <w:t>section D</w:t>
      </w:r>
      <w:r w:rsidRPr="00A068EC">
        <w:rPr>
          <w:lang w:val="fr-FR"/>
        </w:rPr>
        <w:t xml:space="preserve"> est régulièrement mise à jour à partir des informations qui ont été reçues des États contractants ou des autorités de dépôt internationales (selon le c</w:t>
      </w:r>
      <w:r w:rsidR="00A068EC" w:rsidRPr="00A068EC">
        <w:rPr>
          <w:lang w:val="fr-FR"/>
        </w:rPr>
        <w:t>as).  En</w:t>
      </w:r>
      <w:r w:rsidR="00DE166D" w:rsidRPr="00A068EC">
        <w:rPr>
          <w:lang w:val="fr-FR"/>
        </w:rPr>
        <w:t> 2024</w:t>
      </w:r>
      <w:r w:rsidRPr="00A068EC">
        <w:rPr>
          <w:lang w:val="fr-FR"/>
        </w:rPr>
        <w:t>, les informations concernant 16 autorités de dépôt internationales ont été mises à jour.</w:t>
      </w:r>
    </w:p>
    <w:p w14:paraId="03BC676C" w14:textId="03694DF9" w:rsidR="00FA04D4" w:rsidRPr="00A068EC" w:rsidRDefault="00FA04D4" w:rsidP="00132BF1">
      <w:pPr>
        <w:pStyle w:val="ONUMFS"/>
        <w:rPr>
          <w:lang w:val="fr-FR"/>
        </w:rPr>
      </w:pPr>
      <w:r w:rsidRPr="00A068EC">
        <w:rPr>
          <w:lang w:val="fr-FR"/>
        </w:rPr>
        <w:t xml:space="preserve">La </w:t>
      </w:r>
      <w:r w:rsidR="00DE166D" w:rsidRPr="00A068EC">
        <w:rPr>
          <w:lang w:val="fr-FR"/>
        </w:rPr>
        <w:t>section E</w:t>
      </w:r>
      <w:r w:rsidRPr="00A068EC">
        <w:rPr>
          <w:lang w:val="fr-FR"/>
        </w:rPr>
        <w:t xml:space="preserve"> du guide contient des informations sur les exigences des offices de propriété intellectuelle et des organisations régionales de brevets concernant le dépôt des micro</w:t>
      </w:r>
      <w:r w:rsidR="00132BF1">
        <w:rPr>
          <w:lang w:val="fr-FR"/>
        </w:rPr>
        <w:noBreakHyphen/>
      </w:r>
      <w:r w:rsidRPr="00A068EC">
        <w:rPr>
          <w:lang w:val="fr-FR"/>
        </w:rPr>
        <w:t>organismes et la remise d</w:t>
      </w:r>
      <w:r w:rsidR="00DE166D" w:rsidRPr="00A068EC">
        <w:rPr>
          <w:lang w:val="fr-FR"/>
        </w:rPr>
        <w:t>’</w:t>
      </w:r>
      <w:r w:rsidRPr="00A068EC">
        <w:rPr>
          <w:lang w:val="fr-FR"/>
        </w:rPr>
        <w:t>échantillons des micro</w:t>
      </w:r>
      <w:r w:rsidR="00132BF1">
        <w:rPr>
          <w:lang w:val="fr-FR"/>
        </w:rPr>
        <w:noBreakHyphen/>
      </w:r>
      <w:r w:rsidRPr="00A068EC">
        <w:rPr>
          <w:lang w:val="fr-FR"/>
        </w:rPr>
        <w:t>organismes déposés selon le Traité de Budapest (par exemple le délai à respecter pour le dépôt, les conditions auxquelles un échantillon d</w:t>
      </w:r>
      <w:r w:rsidR="00DE166D" w:rsidRPr="00A068EC">
        <w:rPr>
          <w:lang w:val="fr-FR"/>
        </w:rPr>
        <w:t>’</w:t>
      </w:r>
      <w:r w:rsidRPr="00A068EC">
        <w:rPr>
          <w:lang w:val="fr-FR"/>
        </w:rPr>
        <w:t>un micro</w:t>
      </w:r>
      <w:r w:rsidR="00132BF1">
        <w:rPr>
          <w:lang w:val="fr-FR"/>
        </w:rPr>
        <w:noBreakHyphen/>
      </w:r>
      <w:r w:rsidRPr="00A068EC">
        <w:rPr>
          <w:lang w:val="fr-FR"/>
        </w:rPr>
        <w:t>organisme déposé et utilisé dans une demande de brevet est disponib</w:t>
      </w:r>
      <w:r w:rsidR="00A068EC" w:rsidRPr="00A068EC">
        <w:rPr>
          <w:lang w:val="fr-FR"/>
        </w:rPr>
        <w:t>le).  Le</w:t>
      </w:r>
      <w:r w:rsidRPr="00A068EC">
        <w:rPr>
          <w:lang w:val="fr-FR"/>
        </w:rPr>
        <w:t xml:space="preserve"> Bureau international demande régulièrement aux États contractants de fournir des informations sur leurs exigences en la matière ou de mettre à jour ces informations.</w:t>
      </w:r>
    </w:p>
    <w:p w14:paraId="6DD852A7" w14:textId="447CEF37" w:rsidR="00FA04D4" w:rsidRPr="00A068EC" w:rsidRDefault="00DE166D" w:rsidP="00E222FF">
      <w:pPr>
        <w:pStyle w:val="ONUMFS"/>
        <w:keepLines/>
        <w:rPr>
          <w:lang w:val="fr-FR"/>
        </w:rPr>
      </w:pPr>
      <w:r w:rsidRPr="00A068EC">
        <w:rPr>
          <w:lang w:val="fr-FR"/>
        </w:rPr>
        <w:lastRenderedPageBreak/>
        <w:t>En 2024</w:t>
      </w:r>
      <w:r w:rsidR="00FA04D4" w:rsidRPr="00A068EC">
        <w:rPr>
          <w:lang w:val="fr-FR"/>
        </w:rPr>
        <w:t xml:space="preserve">, le Bureau international a mis à jour la </w:t>
      </w:r>
      <w:r w:rsidRPr="00A068EC">
        <w:rPr>
          <w:lang w:val="fr-FR"/>
        </w:rPr>
        <w:t>section E</w:t>
      </w:r>
      <w:r w:rsidR="00FA04D4" w:rsidRPr="00A068EC">
        <w:rPr>
          <w:lang w:val="fr-FR"/>
        </w:rPr>
        <w:t xml:space="preserve"> avec les informations reçues du Bélarus, de la Bulgarie, du Chili, de l</w:t>
      </w:r>
      <w:r w:rsidRPr="00A068EC">
        <w:rPr>
          <w:lang w:val="fr-FR"/>
        </w:rPr>
        <w:t>’</w:t>
      </w:r>
      <w:r w:rsidR="00FA04D4" w:rsidRPr="00A068EC">
        <w:rPr>
          <w:lang w:val="fr-FR"/>
        </w:rPr>
        <w:t>Espagne, de la Hongrie, de l</w:t>
      </w:r>
      <w:r w:rsidRPr="00A068EC">
        <w:rPr>
          <w:lang w:val="fr-FR"/>
        </w:rPr>
        <w:t>’</w:t>
      </w:r>
      <w:r w:rsidR="00FA04D4" w:rsidRPr="00A068EC">
        <w:rPr>
          <w:lang w:val="fr-FR"/>
        </w:rPr>
        <w:t>Islande, de la Lettonie, du Pérou, de la Pologne, de la République de Moldavie, de la République tchèque, du Royaume</w:t>
      </w:r>
      <w:r w:rsidR="00132BF1">
        <w:rPr>
          <w:lang w:val="fr-FR"/>
        </w:rPr>
        <w:noBreakHyphen/>
      </w:r>
      <w:r w:rsidR="00FA04D4" w:rsidRPr="00A068EC">
        <w:rPr>
          <w:lang w:val="fr-FR"/>
        </w:rPr>
        <w:t xml:space="preserve">Uni, de la Serbie, de Singapour, de la Slovénie, de la </w:t>
      </w:r>
      <w:bookmarkStart w:id="6" w:name="_Hlk163485267"/>
      <w:r w:rsidR="00FA04D4" w:rsidRPr="00A068EC">
        <w:rPr>
          <w:lang w:val="fr-FR"/>
        </w:rPr>
        <w:t>Türkiye</w:t>
      </w:r>
      <w:bookmarkEnd w:id="6"/>
      <w:r w:rsidR="00FA04D4" w:rsidRPr="00A068EC">
        <w:rPr>
          <w:lang w:val="fr-FR"/>
        </w:rPr>
        <w:t>, de l</w:t>
      </w:r>
      <w:r w:rsidRPr="00A068EC">
        <w:rPr>
          <w:lang w:val="fr-FR"/>
        </w:rPr>
        <w:t>’</w:t>
      </w:r>
      <w:r w:rsidR="00FA04D4" w:rsidRPr="00A068EC">
        <w:rPr>
          <w:lang w:val="fr-FR"/>
        </w:rPr>
        <w:t>OEB et de l</w:t>
      </w:r>
      <w:r w:rsidRPr="00A068EC">
        <w:rPr>
          <w:lang w:val="fr-FR"/>
        </w:rPr>
        <w:t>’</w:t>
      </w:r>
      <w:r w:rsidR="00FA04D4" w:rsidRPr="00A068EC">
        <w:rPr>
          <w:lang w:val="fr-FR"/>
        </w:rPr>
        <w:t>OAPI.</w:t>
      </w:r>
    </w:p>
    <w:p w14:paraId="359CF75E" w14:textId="77777777" w:rsidR="00132BF1" w:rsidRDefault="00FA04D4" w:rsidP="00E222FF">
      <w:pPr>
        <w:pStyle w:val="Heading3"/>
      </w:pPr>
      <w:r w:rsidRPr="00A068EC">
        <w:t>Statistiques</w:t>
      </w:r>
    </w:p>
    <w:p w14:paraId="2C6780A4" w14:textId="45CE85EE" w:rsidR="00FA04D4" w:rsidRPr="00A068EC" w:rsidRDefault="00FA04D4" w:rsidP="00132BF1">
      <w:pPr>
        <w:pStyle w:val="ONUMFS"/>
        <w:rPr>
          <w:lang w:val="fr-FR"/>
        </w:rPr>
      </w:pPr>
      <w:r w:rsidRPr="00A068EC">
        <w:rPr>
          <w:lang w:val="fr-FR"/>
        </w:rPr>
        <w:t xml:space="preserve">Le Bureau international recueille et publie des statistiques annuelles concernant </w:t>
      </w:r>
      <w:hyperlink r:id="rId12" w:history="1">
        <w:r w:rsidRPr="00A068EC">
          <w:rPr>
            <w:rStyle w:val="Hyperlink"/>
            <w:lang w:val="fr-FR"/>
          </w:rPr>
          <w:t>le nombre de micro</w:t>
        </w:r>
        <w:r w:rsidR="00132BF1">
          <w:rPr>
            <w:rStyle w:val="Hyperlink"/>
            <w:lang w:val="fr-FR"/>
          </w:rPr>
          <w:noBreakHyphen/>
        </w:r>
        <w:r w:rsidRPr="00A068EC">
          <w:rPr>
            <w:rStyle w:val="Hyperlink"/>
            <w:lang w:val="fr-FR"/>
          </w:rPr>
          <w:t>organism</w:t>
        </w:r>
        <w:r w:rsidRPr="00A068EC">
          <w:rPr>
            <w:rStyle w:val="Hyperlink"/>
            <w:lang w:val="fr-FR"/>
          </w:rPr>
          <w:t>e</w:t>
        </w:r>
        <w:r w:rsidRPr="00A068EC">
          <w:rPr>
            <w:rStyle w:val="Hyperlink"/>
            <w:lang w:val="fr-FR"/>
          </w:rPr>
          <w:t>s déposés et le nombre d</w:t>
        </w:r>
        <w:r w:rsidR="00DE166D" w:rsidRPr="00A068EC">
          <w:rPr>
            <w:rStyle w:val="Hyperlink"/>
            <w:lang w:val="fr-FR"/>
          </w:rPr>
          <w:t>’</w:t>
        </w:r>
        <w:r w:rsidRPr="00A068EC">
          <w:rPr>
            <w:rStyle w:val="Hyperlink"/>
            <w:lang w:val="fr-FR"/>
          </w:rPr>
          <w:t>échantillons de micro</w:t>
        </w:r>
        <w:r w:rsidR="00132BF1">
          <w:rPr>
            <w:rStyle w:val="Hyperlink"/>
            <w:lang w:val="fr-FR"/>
          </w:rPr>
          <w:noBreakHyphen/>
        </w:r>
        <w:r w:rsidRPr="00A068EC">
          <w:rPr>
            <w:rStyle w:val="Hyperlink"/>
            <w:lang w:val="fr-FR"/>
          </w:rPr>
          <w:t>organismes déposés remis</w:t>
        </w:r>
      </w:hyperlink>
      <w:r w:rsidRPr="00A068EC">
        <w:rPr>
          <w:lang w:val="fr-FR"/>
        </w:rPr>
        <w:t xml:space="preserve"> en vertu du Traité de Budapest, à partir des données reçues des autorités de dépôt international</w:t>
      </w:r>
      <w:r w:rsidR="00A068EC" w:rsidRPr="00A068EC">
        <w:rPr>
          <w:lang w:val="fr-FR"/>
        </w:rPr>
        <w:t>es.  La</w:t>
      </w:r>
      <w:r w:rsidRPr="00A068EC">
        <w:rPr>
          <w:lang w:val="fr-FR"/>
        </w:rPr>
        <w:t xml:space="preserve"> figure 1 ci</w:t>
      </w:r>
      <w:r w:rsidR="00132BF1">
        <w:rPr>
          <w:lang w:val="fr-FR"/>
        </w:rPr>
        <w:noBreakHyphen/>
      </w:r>
      <w:r w:rsidRPr="00A068EC">
        <w:rPr>
          <w:lang w:val="fr-FR"/>
        </w:rPr>
        <w:t>dessous montre qu</w:t>
      </w:r>
      <w:r w:rsidR="00DE166D" w:rsidRPr="00A068EC">
        <w:rPr>
          <w:lang w:val="fr-FR"/>
        </w:rPr>
        <w:t>’en 2022</w:t>
      </w:r>
      <w:r w:rsidRPr="00A068EC">
        <w:rPr>
          <w:lang w:val="fr-FR"/>
        </w:rPr>
        <w:t>, au total, 9808 </w:t>
      </w:r>
      <w:proofErr w:type="gramStart"/>
      <w:r w:rsidRPr="00A068EC">
        <w:rPr>
          <w:lang w:val="fr-FR"/>
        </w:rPr>
        <w:t>micro</w:t>
      </w:r>
      <w:proofErr w:type="gramEnd"/>
      <w:r w:rsidR="00132BF1">
        <w:rPr>
          <w:lang w:val="fr-FR"/>
        </w:rPr>
        <w:noBreakHyphen/>
      </w:r>
      <w:r w:rsidRPr="00A068EC">
        <w:rPr>
          <w:lang w:val="fr-FR"/>
        </w:rPr>
        <w:t>organismes ont été déposés auprès des autorités de dépôt international</w:t>
      </w:r>
      <w:r w:rsidR="00A068EC" w:rsidRPr="00A068EC">
        <w:rPr>
          <w:lang w:val="fr-FR"/>
        </w:rPr>
        <w:t>es.  Ce</w:t>
      </w:r>
      <w:r w:rsidRPr="00A068EC">
        <w:rPr>
          <w:lang w:val="fr-FR"/>
        </w:rPr>
        <w:t xml:space="preserve">la représente une augmentation de 12% par rapport au nombre de dépôts effectués </w:t>
      </w:r>
      <w:r w:rsidR="00DE166D" w:rsidRPr="00A068EC">
        <w:rPr>
          <w:lang w:val="fr-FR"/>
        </w:rPr>
        <w:t>en 2021</w:t>
      </w:r>
      <w:r w:rsidRPr="00A068EC">
        <w:rPr>
          <w:lang w:val="fr-FR"/>
        </w:rPr>
        <w:t>.  Le nombre de micro</w:t>
      </w:r>
      <w:r w:rsidR="00132BF1">
        <w:rPr>
          <w:lang w:val="fr-FR"/>
        </w:rPr>
        <w:noBreakHyphen/>
      </w:r>
      <w:r w:rsidRPr="00A068EC">
        <w:rPr>
          <w:lang w:val="fr-FR"/>
        </w:rPr>
        <w:t xml:space="preserve">organismes déposés augmente régulièrement </w:t>
      </w:r>
      <w:r w:rsidR="00DE166D" w:rsidRPr="00A068EC">
        <w:rPr>
          <w:lang w:val="fr-FR"/>
        </w:rPr>
        <w:t>depuis 2002</w:t>
      </w:r>
      <w:r w:rsidRPr="00A068EC">
        <w:rPr>
          <w:lang w:val="fr-FR"/>
        </w:rPr>
        <w:t xml:space="preserve"> (avec une exception notable </w:t>
      </w:r>
      <w:r w:rsidR="00DE166D" w:rsidRPr="00A068EC">
        <w:rPr>
          <w:lang w:val="fr-FR"/>
        </w:rPr>
        <w:t>en 2020</w:t>
      </w:r>
      <w:r w:rsidRPr="00A068EC">
        <w:rPr>
          <w:lang w:val="fr-FR"/>
        </w:rPr>
        <w:t xml:space="preserve">) et a doublé au cours des </w:t>
      </w:r>
      <w:r w:rsidR="003150FB" w:rsidRPr="00A068EC">
        <w:rPr>
          <w:lang w:val="fr-FR"/>
        </w:rPr>
        <w:t>10 </w:t>
      </w:r>
      <w:r w:rsidRPr="00A068EC">
        <w:rPr>
          <w:lang w:val="fr-FR"/>
        </w:rPr>
        <w:t>dernières anné</w:t>
      </w:r>
      <w:r w:rsidR="00A068EC" w:rsidRPr="00A068EC">
        <w:rPr>
          <w:lang w:val="fr-FR"/>
        </w:rPr>
        <w:t>es.  La</w:t>
      </w:r>
      <w:r w:rsidRPr="00A068EC">
        <w:rPr>
          <w:lang w:val="fr-FR"/>
        </w:rPr>
        <w:t xml:space="preserve"> figure 2 présente la répartition des micro</w:t>
      </w:r>
      <w:r w:rsidR="00132BF1">
        <w:rPr>
          <w:lang w:val="fr-FR"/>
        </w:rPr>
        <w:noBreakHyphen/>
      </w:r>
      <w:r w:rsidRPr="00A068EC">
        <w:rPr>
          <w:lang w:val="fr-FR"/>
        </w:rPr>
        <w:t xml:space="preserve">organismes déposés </w:t>
      </w:r>
      <w:r w:rsidR="00DE166D" w:rsidRPr="00A068EC">
        <w:rPr>
          <w:lang w:val="fr-FR"/>
        </w:rPr>
        <w:t>en 2022</w:t>
      </w:r>
      <w:r w:rsidRPr="00A068EC">
        <w:rPr>
          <w:lang w:val="fr-FR"/>
        </w:rPr>
        <w:t>, en fonction du pays dans lequel se situe l</w:t>
      </w:r>
      <w:r w:rsidR="00DE166D" w:rsidRPr="00A068EC">
        <w:rPr>
          <w:lang w:val="fr-FR"/>
        </w:rPr>
        <w:t>’</w:t>
      </w:r>
      <w:r w:rsidRPr="00A068EC">
        <w:rPr>
          <w:lang w:val="fr-FR"/>
        </w:rPr>
        <w:t>autorité de dépôt internationale.</w:t>
      </w:r>
    </w:p>
    <w:p w14:paraId="3802D297" w14:textId="77777777" w:rsidR="00132BF1" w:rsidRDefault="00FA04D4" w:rsidP="00E222FF">
      <w:pPr>
        <w:pStyle w:val="ONUMFS"/>
        <w:numPr>
          <w:ilvl w:val="0"/>
          <w:numId w:val="0"/>
        </w:numPr>
        <w:rPr>
          <w:b/>
          <w:lang w:val="fr-FR"/>
        </w:rPr>
      </w:pPr>
      <w:r w:rsidRPr="00A068EC">
        <w:rPr>
          <w:b/>
          <w:lang w:val="fr-FR"/>
        </w:rPr>
        <w:t>Figure1</w:t>
      </w:r>
    </w:p>
    <w:p w14:paraId="55E2F076" w14:textId="1CD3F924" w:rsidR="00E222FF" w:rsidRPr="00E222FF" w:rsidRDefault="002C56E0" w:rsidP="002C56E0">
      <w:pPr>
        <w:pStyle w:val="ONUMFS"/>
        <w:numPr>
          <w:ilvl w:val="0"/>
          <w:numId w:val="0"/>
        </w:numPr>
        <w:jc w:val="center"/>
        <w:rPr>
          <w:lang w:val="fr-FR"/>
        </w:rPr>
      </w:pPr>
      <w:r w:rsidRPr="002C56E0">
        <w:rPr>
          <w:noProof/>
        </w:rPr>
        <w:drawing>
          <wp:inline distT="0" distB="0" distL="0" distR="0" wp14:anchorId="5194027B" wp14:editId="6ADCEE13">
            <wp:extent cx="4680000" cy="2792705"/>
            <wp:effectExtent l="0" t="0" r="6350" b="8255"/>
            <wp:docPr id="3" name="Picture 3" descr="Nombre total de micro-organismes déposés auprès des autorités de dépôt internationales (2012-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mbre total de micro-organismes déposés auprès des autorités de dépôt internationales (2012-20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2792705"/>
                    </a:xfrm>
                    <a:prstGeom prst="rect">
                      <a:avLst/>
                    </a:prstGeom>
                    <a:noFill/>
                    <a:ln>
                      <a:noFill/>
                    </a:ln>
                  </pic:spPr>
                </pic:pic>
              </a:graphicData>
            </a:graphic>
          </wp:inline>
        </w:drawing>
      </w:r>
    </w:p>
    <w:p w14:paraId="7795DBC6" w14:textId="77777777" w:rsidR="00132BF1" w:rsidRDefault="00FA04D4" w:rsidP="002C56E0">
      <w:pPr>
        <w:pStyle w:val="ONUMFS"/>
        <w:keepNext/>
        <w:numPr>
          <w:ilvl w:val="0"/>
          <w:numId w:val="0"/>
        </w:numPr>
        <w:rPr>
          <w:b/>
          <w:bCs/>
          <w:lang w:val="fr-FR"/>
        </w:rPr>
      </w:pPr>
      <w:r w:rsidRPr="00A068EC">
        <w:rPr>
          <w:b/>
          <w:lang w:val="fr-FR"/>
        </w:rPr>
        <w:lastRenderedPageBreak/>
        <w:t>Figure</w:t>
      </w:r>
      <w:r w:rsidR="003150FB" w:rsidRPr="00A068EC">
        <w:rPr>
          <w:b/>
          <w:lang w:val="fr-FR"/>
        </w:rPr>
        <w:t> </w:t>
      </w:r>
      <w:r w:rsidRPr="00A068EC">
        <w:rPr>
          <w:b/>
          <w:lang w:val="fr-FR"/>
        </w:rPr>
        <w:t>2</w:t>
      </w:r>
    </w:p>
    <w:p w14:paraId="22DD0DFF" w14:textId="4685BFBF" w:rsidR="00FA04D4" w:rsidRPr="00A068EC" w:rsidRDefault="002C56E0" w:rsidP="002C56E0">
      <w:pPr>
        <w:pStyle w:val="ONUMFS"/>
        <w:numPr>
          <w:ilvl w:val="0"/>
          <w:numId w:val="0"/>
        </w:numPr>
        <w:jc w:val="center"/>
        <w:rPr>
          <w:lang w:val="fr-FR"/>
        </w:rPr>
      </w:pPr>
      <w:r w:rsidRPr="002C56E0">
        <w:rPr>
          <w:noProof/>
        </w:rPr>
        <w:drawing>
          <wp:inline distT="0" distB="0" distL="0" distR="0" wp14:anchorId="36F8EF0F" wp14:editId="3D3F85FE">
            <wp:extent cx="4680000" cy="3491613"/>
            <wp:effectExtent l="0" t="0" r="6350" b="0"/>
            <wp:docPr id="6" name="Picture 6" descr="Ce graphique présente la répartition par pays du nombre de micro-organismes déposés e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 graphique présente la répartition par pays du nombre de micro-organismes déposés en 2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0" cy="3491613"/>
                    </a:xfrm>
                    <a:prstGeom prst="rect">
                      <a:avLst/>
                    </a:prstGeom>
                    <a:noFill/>
                    <a:ln>
                      <a:noFill/>
                    </a:ln>
                  </pic:spPr>
                </pic:pic>
              </a:graphicData>
            </a:graphic>
          </wp:inline>
        </w:drawing>
      </w:r>
    </w:p>
    <w:p w14:paraId="053EF350" w14:textId="4375FE84" w:rsidR="00DE166D" w:rsidRPr="00A068EC" w:rsidRDefault="00FA04D4" w:rsidP="00132BF1">
      <w:pPr>
        <w:pStyle w:val="ONUMFS"/>
        <w:rPr>
          <w:lang w:val="fr-FR"/>
        </w:rPr>
      </w:pPr>
      <w:r w:rsidRPr="00A068EC">
        <w:rPr>
          <w:lang w:val="fr-FR"/>
        </w:rPr>
        <w:t>En ce qui concerne les échantillons de micro</w:t>
      </w:r>
      <w:r w:rsidR="00132BF1">
        <w:rPr>
          <w:lang w:val="fr-FR"/>
        </w:rPr>
        <w:noBreakHyphen/>
      </w:r>
      <w:r w:rsidRPr="00A068EC">
        <w:rPr>
          <w:lang w:val="fr-FR"/>
        </w:rPr>
        <w:t xml:space="preserve">organismes déposés remis par les autorités de dépôt internationales, au total, 1751 échantillons ont été remis </w:t>
      </w:r>
      <w:r w:rsidR="00DE166D" w:rsidRPr="00A068EC">
        <w:rPr>
          <w:lang w:val="fr-FR"/>
        </w:rPr>
        <w:t>en 2022</w:t>
      </w:r>
      <w:r w:rsidRPr="00A068EC">
        <w:rPr>
          <w:lang w:val="fr-FR"/>
        </w:rPr>
        <w:t xml:space="preserve"> (figure 3).</w:t>
      </w:r>
    </w:p>
    <w:p w14:paraId="3A784447" w14:textId="77777777" w:rsidR="00132BF1" w:rsidRDefault="00FA04D4" w:rsidP="00E222FF">
      <w:pPr>
        <w:pStyle w:val="ONUMFS"/>
        <w:numPr>
          <w:ilvl w:val="0"/>
          <w:numId w:val="0"/>
        </w:numPr>
        <w:rPr>
          <w:b/>
          <w:lang w:val="fr-FR"/>
        </w:rPr>
      </w:pPr>
      <w:r w:rsidRPr="00A068EC">
        <w:rPr>
          <w:b/>
          <w:lang w:val="fr-FR"/>
        </w:rPr>
        <w:t>Figure</w:t>
      </w:r>
      <w:r w:rsidR="003150FB" w:rsidRPr="00A068EC">
        <w:rPr>
          <w:b/>
          <w:lang w:val="fr-FR"/>
        </w:rPr>
        <w:t> </w:t>
      </w:r>
      <w:r w:rsidRPr="00A068EC">
        <w:rPr>
          <w:b/>
          <w:lang w:val="fr-FR"/>
        </w:rPr>
        <w:t>3</w:t>
      </w:r>
    </w:p>
    <w:p w14:paraId="0954B7D7" w14:textId="6774024A" w:rsidR="00E222FF" w:rsidRPr="00E222FF" w:rsidRDefault="002C56E0" w:rsidP="00DC0B3B">
      <w:pPr>
        <w:pStyle w:val="ONUMFS"/>
        <w:numPr>
          <w:ilvl w:val="0"/>
          <w:numId w:val="0"/>
        </w:numPr>
        <w:jc w:val="center"/>
        <w:rPr>
          <w:lang w:val="fr-FR"/>
        </w:rPr>
      </w:pPr>
      <w:r w:rsidRPr="002C56E0">
        <w:rPr>
          <w:noProof/>
        </w:rPr>
        <w:drawing>
          <wp:inline distT="0" distB="0" distL="0" distR="0" wp14:anchorId="12FD8BC7" wp14:editId="003A0A41">
            <wp:extent cx="4585335" cy="2736215"/>
            <wp:effectExtent l="0" t="0" r="5715" b="6985"/>
            <wp:docPr id="5" name="Picture 5" descr="Nombre d’échantillons des micro-organismes déposés remis par les autorités de dépôt internationales (2012-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mbre d’échantillons des micro-organismes déposés remis par les autorités de dépôt internationales (2012-20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5335" cy="2736215"/>
                    </a:xfrm>
                    <a:prstGeom prst="rect">
                      <a:avLst/>
                    </a:prstGeom>
                    <a:noFill/>
                    <a:ln>
                      <a:noFill/>
                    </a:ln>
                  </pic:spPr>
                </pic:pic>
              </a:graphicData>
            </a:graphic>
          </wp:inline>
        </w:drawing>
      </w:r>
    </w:p>
    <w:p w14:paraId="5D5FCA4E" w14:textId="62C017CE" w:rsidR="00DE166D" w:rsidRPr="00A068EC" w:rsidRDefault="00FA04D4" w:rsidP="00132BF1">
      <w:pPr>
        <w:pStyle w:val="ONUMFS"/>
        <w:rPr>
          <w:lang w:val="fr-FR"/>
        </w:rPr>
      </w:pPr>
      <w:r w:rsidRPr="00A068EC">
        <w:rPr>
          <w:lang w:val="fr-FR"/>
        </w:rPr>
        <w:t>Le tableau n° 3 indique la répartition du nombre d</w:t>
      </w:r>
      <w:r w:rsidR="00DE166D" w:rsidRPr="00A068EC">
        <w:rPr>
          <w:lang w:val="fr-FR"/>
        </w:rPr>
        <w:t>’</w:t>
      </w:r>
      <w:r w:rsidRPr="00A068EC">
        <w:rPr>
          <w:lang w:val="fr-FR"/>
        </w:rPr>
        <w:t>échantillons remis par types de parties ayant demandé des échantillons du matériel déposé selon le Traité de Budape</w:t>
      </w:r>
      <w:r w:rsidR="00A068EC" w:rsidRPr="00A068EC">
        <w:rPr>
          <w:lang w:val="fr-FR"/>
        </w:rPr>
        <w:t>st.  La</w:t>
      </w:r>
      <w:r w:rsidRPr="00A068EC">
        <w:rPr>
          <w:lang w:val="fr-FR"/>
        </w:rPr>
        <w:t xml:space="preserve"> grande majorité des échantillons des micro</w:t>
      </w:r>
      <w:r w:rsidR="00132BF1">
        <w:rPr>
          <w:lang w:val="fr-FR"/>
        </w:rPr>
        <w:noBreakHyphen/>
      </w:r>
      <w:r w:rsidRPr="00A068EC">
        <w:rPr>
          <w:lang w:val="fr-FR"/>
        </w:rPr>
        <w:t>organismes déposés sont remis par les autorités de dépôt internationales au déposant ou à une partie autorisée par le déposant selon la règle 11.2 du règlement d</w:t>
      </w:r>
      <w:r w:rsidR="00DE166D" w:rsidRPr="00A068EC">
        <w:rPr>
          <w:lang w:val="fr-FR"/>
        </w:rPr>
        <w:t>’</w:t>
      </w:r>
      <w:r w:rsidRPr="00A068EC">
        <w:rPr>
          <w:lang w:val="fr-FR"/>
        </w:rPr>
        <w:t>exécuti</w:t>
      </w:r>
      <w:r w:rsidR="00A068EC" w:rsidRPr="00A068EC">
        <w:rPr>
          <w:lang w:val="fr-FR"/>
        </w:rPr>
        <w:t>on.  Le</w:t>
      </w:r>
      <w:r w:rsidRPr="00A068EC">
        <w:rPr>
          <w:lang w:val="fr-FR"/>
        </w:rPr>
        <w:t xml:space="preserve"> nombre total d</w:t>
      </w:r>
      <w:r w:rsidR="00DE166D" w:rsidRPr="00A068EC">
        <w:rPr>
          <w:lang w:val="fr-FR"/>
        </w:rPr>
        <w:t>’</w:t>
      </w:r>
      <w:r w:rsidRPr="00A068EC">
        <w:rPr>
          <w:lang w:val="fr-FR"/>
        </w:rPr>
        <w:t>échantillons remis aux offices de propriété industrielle en vertu de la règle 11.1 a été très faible</w:t>
      </w:r>
      <w:r w:rsidR="00DE166D" w:rsidRPr="00A068EC">
        <w:rPr>
          <w:lang w:val="fr-FR"/>
        </w:rPr>
        <w:t> :</w:t>
      </w:r>
      <w:r w:rsidRPr="00A068EC">
        <w:rPr>
          <w:lang w:val="fr-FR"/>
        </w:rPr>
        <w:t xml:space="preserve"> soit un nombre à un chiffre par an, soit nul certaines anné</w:t>
      </w:r>
      <w:r w:rsidR="00A068EC" w:rsidRPr="00A068EC">
        <w:rPr>
          <w:lang w:val="fr-FR"/>
        </w:rPr>
        <w:t>es.  To</w:t>
      </w:r>
      <w:r w:rsidRPr="00A068EC">
        <w:rPr>
          <w:lang w:val="fr-FR"/>
        </w:rPr>
        <w:t xml:space="preserve">utefois, ce nombre a fortement augmenté </w:t>
      </w:r>
      <w:r w:rsidR="00DE166D" w:rsidRPr="00A068EC">
        <w:rPr>
          <w:lang w:val="fr-FR"/>
        </w:rPr>
        <w:t>en 2021</w:t>
      </w:r>
      <w:r w:rsidRPr="00A068EC">
        <w:rPr>
          <w:lang w:val="fr-FR"/>
        </w:rPr>
        <w:t xml:space="preserve"> – au total, 100 échantillons ont </w:t>
      </w:r>
      <w:r w:rsidRPr="00A068EC">
        <w:rPr>
          <w:lang w:val="fr-FR"/>
        </w:rPr>
        <w:lastRenderedPageBreak/>
        <w:t>été remis aux offices de propriété industriel</w:t>
      </w:r>
      <w:r w:rsidR="00A068EC" w:rsidRPr="00A068EC">
        <w:rPr>
          <w:lang w:val="fr-FR"/>
        </w:rPr>
        <w:t>le.  Ce</w:t>
      </w:r>
      <w:r w:rsidRPr="00A068EC">
        <w:rPr>
          <w:lang w:val="fr-FR"/>
        </w:rPr>
        <w:t>tte tendance s</w:t>
      </w:r>
      <w:r w:rsidR="00DE166D" w:rsidRPr="00A068EC">
        <w:rPr>
          <w:lang w:val="fr-FR"/>
        </w:rPr>
        <w:t>’</w:t>
      </w:r>
      <w:r w:rsidRPr="00A068EC">
        <w:rPr>
          <w:lang w:val="fr-FR"/>
        </w:rPr>
        <w:t xml:space="preserve">est poursuivie </w:t>
      </w:r>
      <w:r w:rsidR="00DE166D" w:rsidRPr="00A068EC">
        <w:rPr>
          <w:lang w:val="fr-FR"/>
        </w:rPr>
        <w:t>en 2022</w:t>
      </w:r>
      <w:r w:rsidRPr="00A068EC">
        <w:rPr>
          <w:lang w:val="fr-FR"/>
        </w:rPr>
        <w:t xml:space="preserve">, avec 87 échantillons remis aux offices de propriété industrielle </w:t>
      </w:r>
      <w:r w:rsidR="00DE166D" w:rsidRPr="00A068EC">
        <w:rPr>
          <w:lang w:val="fr-FR"/>
        </w:rPr>
        <w:t>en 2022</w:t>
      </w:r>
      <w:r w:rsidRPr="00A068EC">
        <w:rPr>
          <w:lang w:val="fr-FR"/>
        </w:rPr>
        <w:t>.</w:t>
      </w:r>
    </w:p>
    <w:p w14:paraId="5815F1E5" w14:textId="7E95126F" w:rsidR="00DE166D" w:rsidRPr="00A068EC" w:rsidRDefault="00FA04D4" w:rsidP="00132BF1">
      <w:pPr>
        <w:pStyle w:val="ONUMFS"/>
        <w:rPr>
          <w:lang w:val="fr-FR"/>
        </w:rPr>
      </w:pPr>
      <w:r w:rsidRPr="00A068EC">
        <w:rPr>
          <w:lang w:val="fr-FR"/>
        </w:rPr>
        <w:t>En ce qui concerne le nombre total d</w:t>
      </w:r>
      <w:r w:rsidR="00DE166D" w:rsidRPr="00A068EC">
        <w:rPr>
          <w:lang w:val="fr-FR"/>
        </w:rPr>
        <w:t>’</w:t>
      </w:r>
      <w:r w:rsidRPr="00A068EC">
        <w:rPr>
          <w:lang w:val="fr-FR"/>
        </w:rPr>
        <w:t>échantillons remis aux parties qui y ont droit en vertu de la règle 11.3, celui</w:t>
      </w:r>
      <w:r w:rsidR="00132BF1">
        <w:rPr>
          <w:lang w:val="fr-FR"/>
        </w:rPr>
        <w:noBreakHyphen/>
      </w:r>
      <w:r w:rsidRPr="00A068EC">
        <w:rPr>
          <w:lang w:val="fr-FR"/>
        </w:rPr>
        <w:t>ci n</w:t>
      </w:r>
      <w:r w:rsidR="00DE166D" w:rsidRPr="00A068EC">
        <w:rPr>
          <w:lang w:val="fr-FR"/>
        </w:rPr>
        <w:t>’</w:t>
      </w:r>
      <w:r w:rsidRPr="00A068EC">
        <w:rPr>
          <w:lang w:val="fr-FR"/>
        </w:rPr>
        <w:t xml:space="preserve">a cessé de diminuer, passant de 467 échantillons </w:t>
      </w:r>
      <w:r w:rsidR="00DE166D" w:rsidRPr="00A068EC">
        <w:rPr>
          <w:lang w:val="fr-FR"/>
        </w:rPr>
        <w:t>en 2017</w:t>
      </w:r>
      <w:r w:rsidRPr="00A068EC">
        <w:rPr>
          <w:lang w:val="fr-FR"/>
        </w:rPr>
        <w:t xml:space="preserve"> à 246 </w:t>
      </w:r>
      <w:r w:rsidR="00DE166D" w:rsidRPr="00A068EC">
        <w:rPr>
          <w:lang w:val="fr-FR"/>
        </w:rPr>
        <w:t>en 2021</w:t>
      </w:r>
      <w:r w:rsidRPr="00A068EC">
        <w:rPr>
          <w:lang w:val="fr-FR"/>
        </w:rPr>
        <w:t>.  Cela représente une diminution de près de 50% au cours des cinq</w:t>
      </w:r>
      <w:r w:rsidR="003150FB" w:rsidRPr="00A068EC">
        <w:rPr>
          <w:lang w:val="fr-FR"/>
        </w:rPr>
        <w:t> </w:t>
      </w:r>
      <w:r w:rsidRPr="00A068EC">
        <w:rPr>
          <w:lang w:val="fr-FR"/>
        </w:rPr>
        <w:t>dernières anné</w:t>
      </w:r>
      <w:r w:rsidR="00A068EC" w:rsidRPr="00A068EC">
        <w:rPr>
          <w:lang w:val="fr-FR"/>
        </w:rPr>
        <w:t>es.  En</w:t>
      </w:r>
      <w:r w:rsidRPr="00A068EC">
        <w:rPr>
          <w:lang w:val="fr-FR"/>
        </w:rPr>
        <w:t> 2022, ce chiffre a légèrement augmenté pour atteindre 287 échantillons remis.</w:t>
      </w:r>
    </w:p>
    <w:p w14:paraId="0AAEB355" w14:textId="4408C48C" w:rsidR="00FA04D4" w:rsidRPr="00A068EC" w:rsidRDefault="00FA04D4" w:rsidP="00E222FF">
      <w:pPr>
        <w:keepNext/>
        <w:spacing w:before="240" w:after="240"/>
        <w:jc w:val="center"/>
        <w:rPr>
          <w:lang w:val="fr-FR"/>
        </w:rPr>
      </w:pPr>
      <w:r w:rsidRPr="00A068EC">
        <w:rPr>
          <w:lang w:val="fr-FR"/>
        </w:rPr>
        <w:t>Tableau n° 3</w:t>
      </w:r>
      <w:r w:rsidR="00DE166D" w:rsidRPr="00A068EC">
        <w:rPr>
          <w:lang w:val="fr-FR"/>
        </w:rPr>
        <w:t> :</w:t>
      </w:r>
      <w:r w:rsidRPr="00A068EC">
        <w:rPr>
          <w:lang w:val="fr-FR"/>
        </w:rPr>
        <w:t xml:space="preserve"> Nombre total d</w:t>
      </w:r>
      <w:r w:rsidR="00DE166D" w:rsidRPr="00A068EC">
        <w:rPr>
          <w:lang w:val="fr-FR"/>
        </w:rPr>
        <w:t>’</w:t>
      </w:r>
      <w:r w:rsidRPr="00A068EC">
        <w:rPr>
          <w:lang w:val="fr-FR"/>
        </w:rPr>
        <w:t>échantillons remis par les autorités de dépôt internationales</w:t>
      </w:r>
    </w:p>
    <w:tbl>
      <w:tblPr>
        <w:tblStyle w:val="TableGrid"/>
        <w:tblW w:w="5000" w:type="pct"/>
        <w:tblLook w:val="04A0" w:firstRow="1" w:lastRow="0" w:firstColumn="1" w:lastColumn="0" w:noHBand="0" w:noVBand="1"/>
      </w:tblPr>
      <w:tblGrid>
        <w:gridCol w:w="3324"/>
        <w:gridCol w:w="1003"/>
        <w:gridCol w:w="1004"/>
        <w:gridCol w:w="1004"/>
        <w:gridCol w:w="1004"/>
        <w:gridCol w:w="1004"/>
        <w:gridCol w:w="1002"/>
      </w:tblGrid>
      <w:tr w:rsidR="00FA04D4" w:rsidRPr="00A068EC" w14:paraId="02CDE2DC" w14:textId="77777777" w:rsidTr="00020572">
        <w:tc>
          <w:tcPr>
            <w:tcW w:w="1779" w:type="pct"/>
          </w:tcPr>
          <w:p w14:paraId="6B227F12" w14:textId="77777777" w:rsidR="00FA04D4" w:rsidRPr="00A068EC" w:rsidRDefault="00FA04D4" w:rsidP="00E222FF">
            <w:pPr>
              <w:keepNext/>
            </w:pPr>
          </w:p>
        </w:tc>
        <w:tc>
          <w:tcPr>
            <w:tcW w:w="537" w:type="pct"/>
          </w:tcPr>
          <w:p w14:paraId="2571C269" w14:textId="77777777" w:rsidR="00FA04D4" w:rsidRPr="00A068EC" w:rsidRDefault="00FA04D4" w:rsidP="00E222FF">
            <w:pPr>
              <w:keepNext/>
              <w:jc w:val="center"/>
            </w:pPr>
            <w:r w:rsidRPr="00A068EC">
              <w:t>2017</w:t>
            </w:r>
            <w:r w:rsidRPr="00A068EC">
              <w:rPr>
                <w:rStyle w:val="FootnoteReference"/>
              </w:rPr>
              <w:footnoteReference w:id="8"/>
            </w:r>
          </w:p>
        </w:tc>
        <w:tc>
          <w:tcPr>
            <w:tcW w:w="537" w:type="pct"/>
          </w:tcPr>
          <w:p w14:paraId="183C0D24" w14:textId="77777777" w:rsidR="00FA04D4" w:rsidRPr="00A068EC" w:rsidRDefault="00FA04D4" w:rsidP="00E222FF">
            <w:pPr>
              <w:keepNext/>
              <w:jc w:val="center"/>
            </w:pPr>
            <w:r w:rsidRPr="00A068EC">
              <w:t>2018</w:t>
            </w:r>
          </w:p>
        </w:tc>
        <w:tc>
          <w:tcPr>
            <w:tcW w:w="537" w:type="pct"/>
          </w:tcPr>
          <w:p w14:paraId="52D0CD22" w14:textId="77777777" w:rsidR="00FA04D4" w:rsidRPr="00A068EC" w:rsidRDefault="00FA04D4" w:rsidP="00E222FF">
            <w:pPr>
              <w:keepNext/>
              <w:jc w:val="center"/>
            </w:pPr>
            <w:r w:rsidRPr="00A068EC">
              <w:t>2019</w:t>
            </w:r>
          </w:p>
        </w:tc>
        <w:tc>
          <w:tcPr>
            <w:tcW w:w="537" w:type="pct"/>
          </w:tcPr>
          <w:p w14:paraId="2F5A6DE4" w14:textId="77777777" w:rsidR="00FA04D4" w:rsidRPr="00A068EC" w:rsidRDefault="00FA04D4" w:rsidP="00E222FF">
            <w:pPr>
              <w:keepNext/>
              <w:jc w:val="center"/>
            </w:pPr>
            <w:r w:rsidRPr="00A068EC">
              <w:t>2020</w:t>
            </w:r>
          </w:p>
        </w:tc>
        <w:tc>
          <w:tcPr>
            <w:tcW w:w="537" w:type="pct"/>
          </w:tcPr>
          <w:p w14:paraId="3B3683D1" w14:textId="77777777" w:rsidR="00FA04D4" w:rsidRPr="00A068EC" w:rsidRDefault="00FA04D4" w:rsidP="00E222FF">
            <w:pPr>
              <w:keepNext/>
              <w:jc w:val="center"/>
            </w:pPr>
            <w:r w:rsidRPr="00A068EC">
              <w:t>2021</w:t>
            </w:r>
          </w:p>
        </w:tc>
        <w:tc>
          <w:tcPr>
            <w:tcW w:w="537" w:type="pct"/>
          </w:tcPr>
          <w:p w14:paraId="356BC769" w14:textId="77777777" w:rsidR="00FA04D4" w:rsidRPr="00A068EC" w:rsidRDefault="00FA04D4" w:rsidP="00E222FF">
            <w:pPr>
              <w:keepNext/>
              <w:spacing w:after="120"/>
              <w:jc w:val="center"/>
            </w:pPr>
            <w:r w:rsidRPr="00A068EC">
              <w:t>2022</w:t>
            </w:r>
          </w:p>
        </w:tc>
      </w:tr>
      <w:tr w:rsidR="00FA04D4" w:rsidRPr="00A068EC" w14:paraId="56AA9021" w14:textId="77777777" w:rsidTr="00020572">
        <w:tc>
          <w:tcPr>
            <w:tcW w:w="1779" w:type="pct"/>
          </w:tcPr>
          <w:p w14:paraId="2F84D1FD" w14:textId="77777777" w:rsidR="00FA04D4" w:rsidRPr="00A068EC" w:rsidRDefault="00FA04D4" w:rsidP="009D796C">
            <w:r w:rsidRPr="00A068EC">
              <w:t>Échantillons remis aux offices de propriété industrielle (règle 11.1)</w:t>
            </w:r>
          </w:p>
        </w:tc>
        <w:tc>
          <w:tcPr>
            <w:tcW w:w="537" w:type="pct"/>
          </w:tcPr>
          <w:p w14:paraId="15789601" w14:textId="77777777" w:rsidR="00FA04D4" w:rsidRPr="00A068EC" w:rsidRDefault="00FA04D4" w:rsidP="009D796C">
            <w:pPr>
              <w:jc w:val="center"/>
            </w:pPr>
            <w:r w:rsidRPr="00A068EC">
              <w:t>5</w:t>
            </w:r>
          </w:p>
        </w:tc>
        <w:tc>
          <w:tcPr>
            <w:tcW w:w="537" w:type="pct"/>
          </w:tcPr>
          <w:p w14:paraId="4E1F6C98" w14:textId="77777777" w:rsidR="00FA04D4" w:rsidRPr="00A068EC" w:rsidRDefault="00FA04D4" w:rsidP="009D796C">
            <w:pPr>
              <w:jc w:val="center"/>
            </w:pPr>
            <w:r w:rsidRPr="00A068EC">
              <w:t>1</w:t>
            </w:r>
          </w:p>
        </w:tc>
        <w:tc>
          <w:tcPr>
            <w:tcW w:w="537" w:type="pct"/>
          </w:tcPr>
          <w:p w14:paraId="2695E0F5" w14:textId="77777777" w:rsidR="00FA04D4" w:rsidRPr="00A068EC" w:rsidRDefault="00FA04D4" w:rsidP="009D796C">
            <w:pPr>
              <w:jc w:val="center"/>
            </w:pPr>
            <w:r w:rsidRPr="00A068EC">
              <w:t>3</w:t>
            </w:r>
          </w:p>
        </w:tc>
        <w:tc>
          <w:tcPr>
            <w:tcW w:w="537" w:type="pct"/>
          </w:tcPr>
          <w:p w14:paraId="5EE3D365" w14:textId="77777777" w:rsidR="00FA04D4" w:rsidRPr="00A068EC" w:rsidRDefault="00FA04D4" w:rsidP="009D796C">
            <w:pPr>
              <w:jc w:val="center"/>
            </w:pPr>
            <w:r w:rsidRPr="00A068EC">
              <w:t>8</w:t>
            </w:r>
          </w:p>
        </w:tc>
        <w:tc>
          <w:tcPr>
            <w:tcW w:w="537" w:type="pct"/>
          </w:tcPr>
          <w:p w14:paraId="6531B2F7" w14:textId="77777777" w:rsidR="00FA04D4" w:rsidRPr="00A068EC" w:rsidRDefault="00FA04D4" w:rsidP="009D796C">
            <w:pPr>
              <w:jc w:val="center"/>
            </w:pPr>
            <w:r w:rsidRPr="00A068EC">
              <w:t>100</w:t>
            </w:r>
          </w:p>
        </w:tc>
        <w:tc>
          <w:tcPr>
            <w:tcW w:w="537" w:type="pct"/>
          </w:tcPr>
          <w:p w14:paraId="3EAB8F70" w14:textId="77777777" w:rsidR="00FA04D4" w:rsidRPr="00A068EC" w:rsidRDefault="00FA04D4" w:rsidP="009D796C">
            <w:pPr>
              <w:jc w:val="center"/>
            </w:pPr>
            <w:r w:rsidRPr="00A068EC">
              <w:t>87</w:t>
            </w:r>
          </w:p>
        </w:tc>
      </w:tr>
      <w:tr w:rsidR="00FA04D4" w:rsidRPr="00A068EC" w14:paraId="577FA450" w14:textId="77777777" w:rsidTr="00020572">
        <w:tc>
          <w:tcPr>
            <w:tcW w:w="1779" w:type="pct"/>
          </w:tcPr>
          <w:p w14:paraId="68683706" w14:textId="77777777" w:rsidR="00FA04D4" w:rsidRPr="00A068EC" w:rsidRDefault="00FA04D4" w:rsidP="009D796C">
            <w:r w:rsidRPr="00A068EC">
              <w:t>Échantillons remis au déposant ou aux parties autorisées (règle 11.2)</w:t>
            </w:r>
          </w:p>
        </w:tc>
        <w:tc>
          <w:tcPr>
            <w:tcW w:w="537" w:type="pct"/>
          </w:tcPr>
          <w:p w14:paraId="0113D6BF" w14:textId="77777777" w:rsidR="00FA04D4" w:rsidRPr="00A068EC" w:rsidRDefault="00FA04D4" w:rsidP="009D796C">
            <w:pPr>
              <w:jc w:val="center"/>
            </w:pPr>
            <w:r w:rsidRPr="00A068EC">
              <w:t>1 243</w:t>
            </w:r>
          </w:p>
        </w:tc>
        <w:tc>
          <w:tcPr>
            <w:tcW w:w="537" w:type="pct"/>
          </w:tcPr>
          <w:p w14:paraId="712210A3" w14:textId="77777777" w:rsidR="00FA04D4" w:rsidRPr="00A068EC" w:rsidRDefault="00FA04D4" w:rsidP="009D796C">
            <w:pPr>
              <w:jc w:val="center"/>
            </w:pPr>
            <w:r w:rsidRPr="00A068EC">
              <w:t>1 275</w:t>
            </w:r>
          </w:p>
        </w:tc>
        <w:tc>
          <w:tcPr>
            <w:tcW w:w="537" w:type="pct"/>
          </w:tcPr>
          <w:p w14:paraId="42E52059" w14:textId="77777777" w:rsidR="00FA04D4" w:rsidRPr="00A068EC" w:rsidRDefault="00FA04D4" w:rsidP="009D796C">
            <w:pPr>
              <w:jc w:val="center"/>
            </w:pPr>
            <w:r w:rsidRPr="00A068EC">
              <w:t>1 174</w:t>
            </w:r>
          </w:p>
        </w:tc>
        <w:tc>
          <w:tcPr>
            <w:tcW w:w="537" w:type="pct"/>
          </w:tcPr>
          <w:p w14:paraId="6B16C155" w14:textId="77777777" w:rsidR="00FA04D4" w:rsidRPr="00A068EC" w:rsidRDefault="00FA04D4" w:rsidP="009D796C">
            <w:pPr>
              <w:jc w:val="center"/>
            </w:pPr>
            <w:r w:rsidRPr="00A068EC">
              <w:t>1 619</w:t>
            </w:r>
          </w:p>
        </w:tc>
        <w:tc>
          <w:tcPr>
            <w:tcW w:w="537" w:type="pct"/>
          </w:tcPr>
          <w:p w14:paraId="6303D343" w14:textId="77777777" w:rsidR="00FA04D4" w:rsidRPr="00A068EC" w:rsidRDefault="00FA04D4" w:rsidP="009D796C">
            <w:pPr>
              <w:jc w:val="center"/>
            </w:pPr>
            <w:r w:rsidRPr="00A068EC">
              <w:t>1 354</w:t>
            </w:r>
          </w:p>
        </w:tc>
        <w:tc>
          <w:tcPr>
            <w:tcW w:w="537" w:type="pct"/>
          </w:tcPr>
          <w:p w14:paraId="24CC9512" w14:textId="77777777" w:rsidR="00FA04D4" w:rsidRPr="00A068EC" w:rsidRDefault="00FA04D4" w:rsidP="009D796C">
            <w:pPr>
              <w:jc w:val="center"/>
            </w:pPr>
            <w:r w:rsidRPr="00A068EC">
              <w:t>1 377</w:t>
            </w:r>
          </w:p>
        </w:tc>
      </w:tr>
      <w:tr w:rsidR="00FA04D4" w:rsidRPr="00A068EC" w14:paraId="3811E043" w14:textId="77777777" w:rsidTr="00020572">
        <w:tc>
          <w:tcPr>
            <w:tcW w:w="1779" w:type="pct"/>
          </w:tcPr>
          <w:p w14:paraId="56CF638F" w14:textId="77777777" w:rsidR="00FA04D4" w:rsidRPr="00A068EC" w:rsidRDefault="00FA04D4" w:rsidP="009D796C">
            <w:r w:rsidRPr="00A068EC">
              <w:t>Échantillons remis aux parties qui y ont droit (règle 11.3)</w:t>
            </w:r>
          </w:p>
        </w:tc>
        <w:tc>
          <w:tcPr>
            <w:tcW w:w="537" w:type="pct"/>
          </w:tcPr>
          <w:p w14:paraId="6D2B3E43" w14:textId="77777777" w:rsidR="00FA04D4" w:rsidRPr="00A068EC" w:rsidRDefault="00FA04D4" w:rsidP="009D796C">
            <w:pPr>
              <w:jc w:val="center"/>
            </w:pPr>
            <w:r w:rsidRPr="00A068EC">
              <w:t>467</w:t>
            </w:r>
          </w:p>
        </w:tc>
        <w:tc>
          <w:tcPr>
            <w:tcW w:w="537" w:type="pct"/>
          </w:tcPr>
          <w:p w14:paraId="2F007DF6" w14:textId="77777777" w:rsidR="00FA04D4" w:rsidRPr="00A068EC" w:rsidRDefault="00FA04D4" w:rsidP="009D796C">
            <w:pPr>
              <w:jc w:val="center"/>
            </w:pPr>
            <w:r w:rsidRPr="00A068EC">
              <w:t>413</w:t>
            </w:r>
          </w:p>
        </w:tc>
        <w:tc>
          <w:tcPr>
            <w:tcW w:w="537" w:type="pct"/>
          </w:tcPr>
          <w:p w14:paraId="40ED1651" w14:textId="77777777" w:rsidR="00FA04D4" w:rsidRPr="00A068EC" w:rsidRDefault="00FA04D4" w:rsidP="009D796C">
            <w:pPr>
              <w:jc w:val="center"/>
            </w:pPr>
            <w:r w:rsidRPr="00A068EC">
              <w:t>307</w:t>
            </w:r>
          </w:p>
        </w:tc>
        <w:tc>
          <w:tcPr>
            <w:tcW w:w="537" w:type="pct"/>
          </w:tcPr>
          <w:p w14:paraId="627DF3FF" w14:textId="77777777" w:rsidR="00FA04D4" w:rsidRPr="00A068EC" w:rsidRDefault="00FA04D4" w:rsidP="009D796C">
            <w:pPr>
              <w:jc w:val="center"/>
            </w:pPr>
            <w:r w:rsidRPr="00A068EC">
              <w:t>259</w:t>
            </w:r>
          </w:p>
        </w:tc>
        <w:tc>
          <w:tcPr>
            <w:tcW w:w="537" w:type="pct"/>
          </w:tcPr>
          <w:p w14:paraId="15065DEC" w14:textId="77777777" w:rsidR="00FA04D4" w:rsidRPr="00A068EC" w:rsidRDefault="00FA04D4" w:rsidP="009D796C">
            <w:pPr>
              <w:jc w:val="center"/>
            </w:pPr>
            <w:r w:rsidRPr="00A068EC">
              <w:t>246</w:t>
            </w:r>
          </w:p>
        </w:tc>
        <w:tc>
          <w:tcPr>
            <w:tcW w:w="537" w:type="pct"/>
          </w:tcPr>
          <w:p w14:paraId="304DE9DF" w14:textId="77777777" w:rsidR="00FA04D4" w:rsidRPr="00A068EC" w:rsidRDefault="00FA04D4" w:rsidP="009D796C">
            <w:pPr>
              <w:jc w:val="center"/>
            </w:pPr>
            <w:r w:rsidRPr="00A068EC">
              <w:t>287</w:t>
            </w:r>
          </w:p>
        </w:tc>
      </w:tr>
    </w:tbl>
    <w:p w14:paraId="5A08B19F" w14:textId="77777777" w:rsidR="00132BF1" w:rsidRDefault="00FA04D4" w:rsidP="00E222FF">
      <w:pPr>
        <w:pStyle w:val="Heading3"/>
      </w:pPr>
      <w:r w:rsidRPr="00A068EC">
        <w:t>Réunion des États membres et des autorités de dépôt internationales en application du Traité de Budapest</w:t>
      </w:r>
    </w:p>
    <w:p w14:paraId="63DF4071" w14:textId="37BC6605" w:rsidR="00FA04D4" w:rsidRPr="00A068EC" w:rsidRDefault="00FA04D4" w:rsidP="00132BF1">
      <w:pPr>
        <w:pStyle w:val="ONUMFS"/>
        <w:rPr>
          <w:lang w:val="fr-FR"/>
        </w:rPr>
      </w:pPr>
      <w:r w:rsidRPr="00A068EC">
        <w:rPr>
          <w:lang w:val="fr-FR"/>
        </w:rPr>
        <w:t>L</w:t>
      </w:r>
      <w:r w:rsidR="00DE166D" w:rsidRPr="00A068EC">
        <w:rPr>
          <w:lang w:val="fr-FR"/>
        </w:rPr>
        <w:t>’</w:t>
      </w:r>
      <w:r w:rsidRPr="00A068EC">
        <w:rPr>
          <w:lang w:val="fr-FR"/>
        </w:rPr>
        <w:t>une des principales caractéristiques du système de Budapest est que les États contractants reconnaissent l</w:t>
      </w:r>
      <w:r w:rsidR="00DE166D" w:rsidRPr="00A068EC">
        <w:rPr>
          <w:lang w:val="fr-FR"/>
        </w:rPr>
        <w:t>’</w:t>
      </w:r>
      <w:r w:rsidRPr="00A068EC">
        <w:rPr>
          <w:lang w:val="fr-FR"/>
        </w:rPr>
        <w:t>effet du dépôt d</w:t>
      </w:r>
      <w:r w:rsidR="00DE166D" w:rsidRPr="00A068EC">
        <w:rPr>
          <w:lang w:val="fr-FR"/>
        </w:rPr>
        <w:t>’</w:t>
      </w:r>
      <w:r w:rsidRPr="00A068EC">
        <w:rPr>
          <w:lang w:val="fr-FR"/>
        </w:rPr>
        <w:t>un micro</w:t>
      </w:r>
      <w:r w:rsidR="00132BF1">
        <w:rPr>
          <w:lang w:val="fr-FR"/>
        </w:rPr>
        <w:noBreakHyphen/>
      </w:r>
      <w:r w:rsidRPr="00A068EC">
        <w:rPr>
          <w:lang w:val="fr-FR"/>
        </w:rPr>
        <w:t>organisme effectué auprès de toute autorité de dépôt internationale aux fins de leur procédure en matière de breve</w:t>
      </w:r>
      <w:r w:rsidR="00A068EC" w:rsidRPr="00A068EC">
        <w:rPr>
          <w:lang w:val="fr-FR"/>
        </w:rPr>
        <w:t>ts.  Pa</w:t>
      </w:r>
      <w:r w:rsidRPr="00A068EC">
        <w:rPr>
          <w:lang w:val="fr-FR"/>
        </w:rPr>
        <w:t>r conséquent, bien que les autorités de dépôt internationales se situent dans certains États contractants seulement, les services qu</w:t>
      </w:r>
      <w:r w:rsidR="00DE166D" w:rsidRPr="00A068EC">
        <w:rPr>
          <w:lang w:val="fr-FR"/>
        </w:rPr>
        <w:t>’</w:t>
      </w:r>
      <w:r w:rsidRPr="00A068EC">
        <w:rPr>
          <w:lang w:val="fr-FR"/>
        </w:rPr>
        <w:t>elles fournissent peuvent potentiellement concerner les offices de propriété industrielle de tous les États membr</w:t>
      </w:r>
      <w:r w:rsidR="00A068EC" w:rsidRPr="00A068EC">
        <w:rPr>
          <w:lang w:val="fr-FR"/>
        </w:rPr>
        <w:t>es.  Ce</w:t>
      </w:r>
      <w:r w:rsidRPr="00A068EC">
        <w:rPr>
          <w:lang w:val="fr-FR"/>
        </w:rPr>
        <w:t>la signifie que la coopération entre les offices de propriété industrielle et les autorités de dépôt internationales intervient tant au niveau national qu</w:t>
      </w:r>
      <w:r w:rsidR="00DE166D" w:rsidRPr="00A068EC">
        <w:rPr>
          <w:lang w:val="fr-FR"/>
        </w:rPr>
        <w:t>’</w:t>
      </w:r>
      <w:r w:rsidRPr="00A068EC">
        <w:rPr>
          <w:lang w:val="fr-FR"/>
        </w:rPr>
        <w:t>au niveau international.</w:t>
      </w:r>
    </w:p>
    <w:p w14:paraId="77690721" w14:textId="60606770" w:rsidR="00DE166D" w:rsidRPr="00A068EC" w:rsidRDefault="00FA04D4" w:rsidP="00132BF1">
      <w:pPr>
        <w:pStyle w:val="ONUMFS"/>
        <w:rPr>
          <w:lang w:val="fr-FR"/>
        </w:rPr>
      </w:pPr>
      <w:r w:rsidRPr="00A068EC">
        <w:rPr>
          <w:lang w:val="fr-FR"/>
        </w:rPr>
        <w:t>Comme le montrent les tableaux n</w:t>
      </w:r>
      <w:r w:rsidRPr="00A068EC">
        <w:rPr>
          <w:vertAlign w:val="superscript"/>
          <w:lang w:val="fr-FR"/>
        </w:rPr>
        <w:t>os</w:t>
      </w:r>
      <w:r w:rsidRPr="00A068EC">
        <w:rPr>
          <w:lang w:val="fr-FR"/>
        </w:rPr>
        <w:t> 1 et 2, depuis l</w:t>
      </w:r>
      <w:r w:rsidR="00DE166D" w:rsidRPr="00A068EC">
        <w:rPr>
          <w:lang w:val="fr-FR"/>
        </w:rPr>
        <w:t>’</w:t>
      </w:r>
      <w:r w:rsidRPr="00A068EC">
        <w:rPr>
          <w:lang w:val="fr-FR"/>
        </w:rPr>
        <w:t xml:space="preserve">entrée en vigueur du Traité de Budapest </w:t>
      </w:r>
      <w:r w:rsidR="00DE166D" w:rsidRPr="00A068EC">
        <w:rPr>
          <w:lang w:val="fr-FR"/>
        </w:rPr>
        <w:t>en 1980</w:t>
      </w:r>
      <w:r w:rsidRPr="00A068EC">
        <w:rPr>
          <w:lang w:val="fr-FR"/>
        </w:rPr>
        <w:t>, le nombre d</w:t>
      </w:r>
      <w:r w:rsidR="00DE166D" w:rsidRPr="00A068EC">
        <w:rPr>
          <w:lang w:val="fr-FR"/>
        </w:rPr>
        <w:t>’</w:t>
      </w:r>
      <w:r w:rsidRPr="00A068EC">
        <w:rPr>
          <w:lang w:val="fr-FR"/>
        </w:rPr>
        <w:t>États contractants et d</w:t>
      </w:r>
      <w:r w:rsidR="00DE166D" w:rsidRPr="00A068EC">
        <w:rPr>
          <w:lang w:val="fr-FR"/>
        </w:rPr>
        <w:t>’</w:t>
      </w:r>
      <w:r w:rsidRPr="00A068EC">
        <w:rPr>
          <w:lang w:val="fr-FR"/>
        </w:rPr>
        <w:t>autorités de dépôt internationales n</w:t>
      </w:r>
      <w:r w:rsidR="00DE166D" w:rsidRPr="00A068EC">
        <w:rPr>
          <w:lang w:val="fr-FR"/>
        </w:rPr>
        <w:t>’</w:t>
      </w:r>
      <w:r w:rsidRPr="00A068EC">
        <w:rPr>
          <w:lang w:val="fr-FR"/>
        </w:rPr>
        <w:t>a cessé de croît</w:t>
      </w:r>
      <w:r w:rsidR="00A068EC" w:rsidRPr="00A068EC">
        <w:rPr>
          <w:lang w:val="fr-FR"/>
        </w:rPr>
        <w:t>re.  Af</w:t>
      </w:r>
      <w:r w:rsidRPr="00A068EC">
        <w:rPr>
          <w:lang w:val="fr-FR"/>
        </w:rPr>
        <w:t>in de donner aux États membres et aux autorités de dépôt internationales la possibilité d</w:t>
      </w:r>
      <w:r w:rsidR="00DE166D" w:rsidRPr="00A068EC">
        <w:rPr>
          <w:lang w:val="fr-FR"/>
        </w:rPr>
        <w:t>’</w:t>
      </w:r>
      <w:r w:rsidRPr="00A068EC">
        <w:rPr>
          <w:lang w:val="fr-FR"/>
        </w:rPr>
        <w:t>échanger des informations et des données d</w:t>
      </w:r>
      <w:r w:rsidR="00DE166D" w:rsidRPr="00A068EC">
        <w:rPr>
          <w:lang w:val="fr-FR"/>
        </w:rPr>
        <w:t>’</w:t>
      </w:r>
      <w:r w:rsidRPr="00A068EC">
        <w:rPr>
          <w:lang w:val="fr-FR"/>
        </w:rPr>
        <w:t xml:space="preserve">expérience au niveau international sur la mise en œuvre du traité, le Bureau international a organisé une réunion des États membres et des autorités de dépôt internationales </w:t>
      </w:r>
      <w:bookmarkStart w:id="7" w:name="_Hlk163230670"/>
      <w:r w:rsidRPr="00A068EC">
        <w:rPr>
          <w:lang w:val="fr-FR"/>
        </w:rPr>
        <w:t>en application du Traité de Budapest, les 13 et 14 </w:t>
      </w:r>
      <w:r w:rsidR="00DE166D" w:rsidRPr="00A068EC">
        <w:rPr>
          <w:lang w:val="fr-FR"/>
        </w:rPr>
        <w:t>novembre 20</w:t>
      </w:r>
      <w:r w:rsidRPr="00A068EC">
        <w:rPr>
          <w:lang w:val="fr-FR"/>
        </w:rPr>
        <w:t>23, à Genève.</w:t>
      </w:r>
    </w:p>
    <w:p w14:paraId="28634971" w14:textId="1F691597" w:rsidR="00DE166D" w:rsidRPr="00A068EC" w:rsidRDefault="00FA04D4" w:rsidP="00132BF1">
      <w:pPr>
        <w:pStyle w:val="ONUMFS"/>
        <w:rPr>
          <w:lang w:val="fr-FR"/>
        </w:rPr>
      </w:pPr>
      <w:r w:rsidRPr="00A068EC">
        <w:rPr>
          <w:lang w:val="fr-FR"/>
        </w:rPr>
        <w:t>Cette réunion a rassemblé 92 participants de 36 États membres, deux</w:t>
      </w:r>
      <w:r w:rsidR="003150FB" w:rsidRPr="00A068EC">
        <w:rPr>
          <w:lang w:val="fr-FR"/>
        </w:rPr>
        <w:t> </w:t>
      </w:r>
      <w:r w:rsidRPr="00A068EC">
        <w:rPr>
          <w:lang w:val="fr-FR"/>
        </w:rPr>
        <w:t>organisations intergouvernementales de propriété industrielle et 29 autorités de dépôt internationales.</w:t>
      </w:r>
    </w:p>
    <w:bookmarkEnd w:id="7"/>
    <w:p w14:paraId="7F7258CE" w14:textId="64D92E4D" w:rsidR="00DE166D" w:rsidRPr="00A068EC" w:rsidRDefault="00FA04D4" w:rsidP="00132BF1">
      <w:pPr>
        <w:pStyle w:val="ONUMFS"/>
        <w:rPr>
          <w:lang w:val="fr-FR"/>
        </w:rPr>
      </w:pPr>
      <w:r w:rsidRPr="00A068EC">
        <w:rPr>
          <w:lang w:val="fr-FR"/>
        </w:rPr>
        <w:t>L</w:t>
      </w:r>
      <w:r w:rsidR="00DE166D" w:rsidRPr="00A068EC">
        <w:rPr>
          <w:lang w:val="fr-FR"/>
        </w:rPr>
        <w:t>’</w:t>
      </w:r>
      <w:r w:rsidRPr="00A068EC">
        <w:rPr>
          <w:lang w:val="fr-FR"/>
        </w:rPr>
        <w:t>objectif de la réunion était d</w:t>
      </w:r>
      <w:r w:rsidR="00DE166D" w:rsidRPr="00A068EC">
        <w:rPr>
          <w:lang w:val="fr-FR"/>
        </w:rPr>
        <w:t>’</w:t>
      </w:r>
      <w:r w:rsidRPr="00A068EC">
        <w:rPr>
          <w:lang w:val="fr-FR"/>
        </w:rPr>
        <w:t>organiser des discussions entre les États membres et les autorités de dépôt internationales, en présentiel, sur divers sujets concernant le dépôt des micro</w:t>
      </w:r>
      <w:r w:rsidR="00132BF1">
        <w:rPr>
          <w:lang w:val="fr-FR"/>
        </w:rPr>
        <w:noBreakHyphen/>
      </w:r>
      <w:r w:rsidRPr="00A068EC">
        <w:rPr>
          <w:lang w:val="fr-FR"/>
        </w:rPr>
        <w:t>organismes dans le cadre de la procédure en matière de breve</w:t>
      </w:r>
      <w:r w:rsidR="00A068EC" w:rsidRPr="00A068EC">
        <w:rPr>
          <w:lang w:val="fr-FR"/>
        </w:rPr>
        <w:t>ts.  Il</w:t>
      </w:r>
      <w:r w:rsidRPr="00A068EC">
        <w:rPr>
          <w:lang w:val="fr-FR"/>
        </w:rPr>
        <w:t xml:space="preserve"> s</w:t>
      </w:r>
      <w:r w:rsidR="00DE166D" w:rsidRPr="00A068EC">
        <w:rPr>
          <w:lang w:val="fr-FR"/>
        </w:rPr>
        <w:t>’</w:t>
      </w:r>
      <w:r w:rsidRPr="00A068EC">
        <w:rPr>
          <w:lang w:val="fr-FR"/>
        </w:rPr>
        <w:t>agissait d</w:t>
      </w:r>
      <w:r w:rsidR="00DE166D" w:rsidRPr="00A068EC">
        <w:rPr>
          <w:lang w:val="fr-FR"/>
        </w:rPr>
        <w:t>’</w:t>
      </w:r>
      <w:r w:rsidRPr="00A068EC">
        <w:rPr>
          <w:lang w:val="fr-FR"/>
        </w:rPr>
        <w:t>une réunion ponctuelle, qui ne visait pas à prendre des décisions ou à formuler des recommandatio</w:t>
      </w:r>
      <w:r w:rsidR="00A068EC" w:rsidRPr="00A068EC">
        <w:rPr>
          <w:lang w:val="fr-FR"/>
        </w:rPr>
        <w:t>ns.  La</w:t>
      </w:r>
      <w:r w:rsidRPr="00A068EC">
        <w:rPr>
          <w:lang w:val="fr-FR"/>
        </w:rPr>
        <w:t xml:space="preserve"> réunion a permis aux participants de procéder à un échange de vues fructueux dans une atmosphère informelle.</w:t>
      </w:r>
    </w:p>
    <w:p w14:paraId="72656DF7" w14:textId="6B71187F" w:rsidR="00DE166D" w:rsidRPr="00A068EC" w:rsidRDefault="00FA04D4" w:rsidP="00132BF1">
      <w:pPr>
        <w:pStyle w:val="ONUMFS"/>
        <w:rPr>
          <w:lang w:val="fr-FR"/>
        </w:rPr>
      </w:pPr>
      <w:r w:rsidRPr="00A068EC">
        <w:rPr>
          <w:lang w:val="fr-FR"/>
        </w:rPr>
        <w:lastRenderedPageBreak/>
        <w:t>Le programme de la réunion a abordé les thèmes ci</w:t>
      </w:r>
      <w:r w:rsidR="00132BF1">
        <w:rPr>
          <w:lang w:val="fr-FR"/>
        </w:rPr>
        <w:noBreakHyphen/>
      </w:r>
      <w:r w:rsidRPr="00A068EC">
        <w:rPr>
          <w:lang w:val="fr-FR"/>
        </w:rPr>
        <w:t>après</w:t>
      </w:r>
      <w:r w:rsidR="00DE166D" w:rsidRPr="00A068EC">
        <w:rPr>
          <w:lang w:val="fr-FR"/>
        </w:rPr>
        <w:t> :</w:t>
      </w:r>
    </w:p>
    <w:p w14:paraId="3DAEB745" w14:textId="217B7295" w:rsidR="00FA04D4" w:rsidRPr="00A068EC" w:rsidRDefault="00FA04D4" w:rsidP="00E222FF">
      <w:pPr>
        <w:pStyle w:val="ONUMFS"/>
        <w:numPr>
          <w:ilvl w:val="0"/>
          <w:numId w:val="0"/>
        </w:numPr>
        <w:tabs>
          <w:tab w:val="left" w:pos="1701"/>
        </w:tabs>
        <w:ind w:left="1701" w:hanging="1134"/>
        <w:rPr>
          <w:lang w:val="fr-FR"/>
        </w:rPr>
      </w:pPr>
      <w:r w:rsidRPr="00A068EC">
        <w:rPr>
          <w:lang w:val="fr-FR"/>
        </w:rPr>
        <w:t>Thème 1</w:t>
      </w:r>
      <w:r w:rsidR="00DE166D" w:rsidRPr="00A068EC">
        <w:rPr>
          <w:lang w:val="fr-FR"/>
        </w:rPr>
        <w:t> :</w:t>
      </w:r>
      <w:r w:rsidRPr="00A068EC">
        <w:rPr>
          <w:lang w:val="fr-FR"/>
        </w:rPr>
        <w:t xml:space="preserve"> </w:t>
      </w:r>
      <w:r w:rsidR="00E222FF">
        <w:rPr>
          <w:lang w:val="fr-FR"/>
        </w:rPr>
        <w:tab/>
      </w:r>
      <w:r w:rsidRPr="00A068EC">
        <w:rPr>
          <w:lang w:val="fr-FR"/>
        </w:rPr>
        <w:t xml:space="preserve">Présentation des faits nouveaux concernant le système de </w:t>
      </w:r>
      <w:proofErr w:type="gramStart"/>
      <w:r w:rsidRPr="00A068EC">
        <w:rPr>
          <w:lang w:val="fr-FR"/>
        </w:rPr>
        <w:t>Budapest;</w:t>
      </w:r>
      <w:proofErr w:type="gramEnd"/>
    </w:p>
    <w:p w14:paraId="6A93C07D" w14:textId="28969AC2" w:rsidR="00DE166D" w:rsidRPr="00A068EC" w:rsidRDefault="00FA04D4" w:rsidP="00E222FF">
      <w:pPr>
        <w:pStyle w:val="ONUMFS"/>
        <w:numPr>
          <w:ilvl w:val="0"/>
          <w:numId w:val="0"/>
        </w:numPr>
        <w:tabs>
          <w:tab w:val="left" w:pos="1701"/>
        </w:tabs>
        <w:ind w:left="1701" w:hanging="1134"/>
        <w:rPr>
          <w:lang w:val="fr-FR"/>
        </w:rPr>
      </w:pPr>
      <w:r w:rsidRPr="00A068EC">
        <w:rPr>
          <w:lang w:val="fr-FR"/>
        </w:rPr>
        <w:t>Thème 2</w:t>
      </w:r>
      <w:r w:rsidR="00DE166D" w:rsidRPr="00A068EC">
        <w:rPr>
          <w:lang w:val="fr-FR"/>
        </w:rPr>
        <w:t> :</w:t>
      </w:r>
      <w:r w:rsidRPr="00A068EC">
        <w:rPr>
          <w:lang w:val="fr-FR"/>
        </w:rPr>
        <w:t xml:space="preserve"> </w:t>
      </w:r>
      <w:r w:rsidR="00E222FF">
        <w:rPr>
          <w:lang w:val="fr-FR"/>
        </w:rPr>
        <w:tab/>
      </w:r>
      <w:r w:rsidRPr="00A068EC">
        <w:rPr>
          <w:lang w:val="fr-FR"/>
        </w:rPr>
        <w:t xml:space="preserve">Dépôt de matériel </w:t>
      </w:r>
      <w:proofErr w:type="gramStart"/>
      <w:r w:rsidRPr="00A068EC">
        <w:rPr>
          <w:lang w:val="fr-FR"/>
        </w:rPr>
        <w:t>biologique;</w:t>
      </w:r>
      <w:proofErr w:type="gramEnd"/>
    </w:p>
    <w:p w14:paraId="2C157FE4" w14:textId="34BBBE2C" w:rsidR="00DE166D" w:rsidRPr="00A068EC" w:rsidRDefault="00FA04D4" w:rsidP="00E222FF">
      <w:pPr>
        <w:pStyle w:val="ONUMFS"/>
        <w:numPr>
          <w:ilvl w:val="0"/>
          <w:numId w:val="0"/>
        </w:numPr>
        <w:tabs>
          <w:tab w:val="left" w:pos="1701"/>
        </w:tabs>
        <w:ind w:left="1701" w:hanging="1134"/>
        <w:rPr>
          <w:lang w:val="fr-FR"/>
        </w:rPr>
      </w:pPr>
      <w:r w:rsidRPr="00A068EC">
        <w:rPr>
          <w:lang w:val="fr-FR"/>
        </w:rPr>
        <w:t>Thème 3</w:t>
      </w:r>
      <w:r w:rsidR="00DE166D" w:rsidRPr="00A068EC">
        <w:rPr>
          <w:lang w:val="fr-FR"/>
        </w:rPr>
        <w:t> :</w:t>
      </w:r>
      <w:r w:rsidRPr="00A068EC">
        <w:rPr>
          <w:lang w:val="fr-FR"/>
        </w:rPr>
        <w:t xml:space="preserve"> </w:t>
      </w:r>
      <w:r w:rsidR="00E222FF">
        <w:rPr>
          <w:lang w:val="fr-FR"/>
        </w:rPr>
        <w:tab/>
      </w:r>
      <w:r w:rsidRPr="00A068EC">
        <w:rPr>
          <w:lang w:val="fr-FR"/>
        </w:rPr>
        <w:t>Remise d</w:t>
      </w:r>
      <w:r w:rsidR="00DE166D" w:rsidRPr="00A068EC">
        <w:rPr>
          <w:lang w:val="fr-FR"/>
        </w:rPr>
        <w:t>’</w:t>
      </w:r>
      <w:r w:rsidRPr="00A068EC">
        <w:rPr>
          <w:lang w:val="fr-FR"/>
        </w:rPr>
        <w:t xml:space="preserve">échantillons du matériel biologique </w:t>
      </w:r>
      <w:proofErr w:type="gramStart"/>
      <w:r w:rsidRPr="00A068EC">
        <w:rPr>
          <w:lang w:val="fr-FR"/>
        </w:rPr>
        <w:t>déposé;</w:t>
      </w:r>
      <w:proofErr w:type="gramEnd"/>
    </w:p>
    <w:p w14:paraId="00F6AFD0" w14:textId="17E77461" w:rsidR="00FA04D4" w:rsidRPr="00A068EC" w:rsidRDefault="00FA04D4" w:rsidP="00E222FF">
      <w:pPr>
        <w:pStyle w:val="ONUMFS"/>
        <w:numPr>
          <w:ilvl w:val="0"/>
          <w:numId w:val="0"/>
        </w:numPr>
        <w:tabs>
          <w:tab w:val="left" w:pos="1701"/>
        </w:tabs>
        <w:ind w:left="1701" w:hanging="1134"/>
        <w:rPr>
          <w:lang w:val="fr-FR"/>
        </w:rPr>
      </w:pPr>
      <w:r w:rsidRPr="00A068EC">
        <w:rPr>
          <w:lang w:val="fr-FR"/>
        </w:rPr>
        <w:t>Thème 4</w:t>
      </w:r>
      <w:r w:rsidR="00DE166D" w:rsidRPr="00A068EC">
        <w:rPr>
          <w:lang w:val="fr-FR"/>
        </w:rPr>
        <w:t> :</w:t>
      </w:r>
      <w:r w:rsidRPr="00A068EC">
        <w:rPr>
          <w:lang w:val="fr-FR"/>
        </w:rPr>
        <w:t xml:space="preserve"> </w:t>
      </w:r>
      <w:r w:rsidR="00E222FF">
        <w:rPr>
          <w:lang w:val="fr-FR"/>
        </w:rPr>
        <w:tab/>
      </w:r>
      <w:r w:rsidRPr="00A068EC">
        <w:rPr>
          <w:lang w:val="fr-FR"/>
        </w:rPr>
        <w:t xml:space="preserve">Coopération entre les autorités de dépôt internationales et les offices de propriété </w:t>
      </w:r>
      <w:proofErr w:type="gramStart"/>
      <w:r w:rsidRPr="00A068EC">
        <w:rPr>
          <w:lang w:val="fr-FR"/>
        </w:rPr>
        <w:t>intellectuelle;</w:t>
      </w:r>
      <w:proofErr w:type="gramEnd"/>
    </w:p>
    <w:p w14:paraId="12C35D96" w14:textId="25687433" w:rsidR="00FA04D4" w:rsidRPr="00A068EC" w:rsidRDefault="00FA04D4" w:rsidP="00E222FF">
      <w:pPr>
        <w:pStyle w:val="ONUMFS"/>
        <w:numPr>
          <w:ilvl w:val="0"/>
          <w:numId w:val="0"/>
        </w:numPr>
        <w:tabs>
          <w:tab w:val="left" w:pos="1701"/>
        </w:tabs>
        <w:ind w:left="1701" w:hanging="1134"/>
        <w:rPr>
          <w:lang w:val="fr-FR"/>
        </w:rPr>
      </w:pPr>
      <w:r w:rsidRPr="00A068EC">
        <w:rPr>
          <w:lang w:val="fr-FR"/>
        </w:rPr>
        <w:t>Thème 5</w:t>
      </w:r>
      <w:r w:rsidR="00DE166D" w:rsidRPr="00A068EC">
        <w:rPr>
          <w:lang w:val="fr-FR"/>
        </w:rPr>
        <w:t> :</w:t>
      </w:r>
      <w:r w:rsidRPr="00A068EC">
        <w:rPr>
          <w:lang w:val="fr-FR"/>
        </w:rPr>
        <w:t xml:space="preserve"> </w:t>
      </w:r>
      <w:r w:rsidR="00E222FF">
        <w:rPr>
          <w:lang w:val="fr-FR"/>
        </w:rPr>
        <w:tab/>
      </w:r>
      <w:r w:rsidRPr="00A068EC">
        <w:rPr>
          <w:lang w:val="fr-FR"/>
        </w:rPr>
        <w:t>Pratiques des autorités de dépôt internationales en application du Traité de Budape</w:t>
      </w:r>
      <w:r w:rsidR="00A068EC" w:rsidRPr="00A068EC">
        <w:rPr>
          <w:lang w:val="fr-FR"/>
        </w:rPr>
        <w:t>st.  Da</w:t>
      </w:r>
      <w:r w:rsidRPr="00A068EC">
        <w:rPr>
          <w:lang w:val="fr-FR"/>
        </w:rPr>
        <w:t>ns le cadre de ce thème, les autorités de dépôt internationales ont présenté leurs pratiques en ce qui concerne</w:t>
      </w:r>
      <w:r w:rsidR="00DE166D" w:rsidRPr="00A068EC">
        <w:rPr>
          <w:lang w:val="fr-FR"/>
        </w:rPr>
        <w:t> :</w:t>
      </w:r>
      <w:r w:rsidRPr="00A068EC">
        <w:rPr>
          <w:lang w:val="fr-FR"/>
        </w:rPr>
        <w:t xml:space="preserve"> a)</w:t>
      </w:r>
      <w:r w:rsidR="003150FB" w:rsidRPr="00A068EC">
        <w:rPr>
          <w:lang w:val="fr-FR"/>
        </w:rPr>
        <w:t> </w:t>
      </w:r>
      <w:r w:rsidRPr="00A068EC">
        <w:rPr>
          <w:lang w:val="fr-FR"/>
        </w:rPr>
        <w:t>la gestion du matériel biologique déposé au terme de la période de conservation prescrite par le règlement d</w:t>
      </w:r>
      <w:r w:rsidR="00DE166D" w:rsidRPr="00A068EC">
        <w:rPr>
          <w:lang w:val="fr-FR"/>
        </w:rPr>
        <w:t>’</w:t>
      </w:r>
      <w:r w:rsidRPr="00A068EC">
        <w:rPr>
          <w:lang w:val="fr-FR"/>
        </w:rPr>
        <w:t xml:space="preserve">exécution du Traité de </w:t>
      </w:r>
      <w:proofErr w:type="gramStart"/>
      <w:r w:rsidRPr="00A068EC">
        <w:rPr>
          <w:lang w:val="fr-FR"/>
        </w:rPr>
        <w:t xml:space="preserve">Budapest; </w:t>
      </w:r>
      <w:r w:rsidR="003150FB" w:rsidRPr="00A068EC">
        <w:rPr>
          <w:lang w:val="fr-FR"/>
        </w:rPr>
        <w:t xml:space="preserve"> </w:t>
      </w:r>
      <w:r w:rsidRPr="00A068EC">
        <w:rPr>
          <w:lang w:val="fr-FR"/>
        </w:rPr>
        <w:t>b</w:t>
      </w:r>
      <w:proofErr w:type="gramEnd"/>
      <w:r w:rsidRPr="00A068EC">
        <w:rPr>
          <w:lang w:val="fr-FR"/>
        </w:rPr>
        <w:t>)</w:t>
      </w:r>
      <w:r w:rsidR="003150FB" w:rsidRPr="00A068EC">
        <w:rPr>
          <w:lang w:val="fr-FR"/>
        </w:rPr>
        <w:t> </w:t>
      </w:r>
      <w:r w:rsidRPr="00A068EC">
        <w:rPr>
          <w:lang w:val="fr-FR"/>
        </w:rPr>
        <w:t xml:space="preserve">le Protocole de Nagoya; </w:t>
      </w:r>
      <w:r w:rsidR="003150FB" w:rsidRPr="00A068EC">
        <w:rPr>
          <w:lang w:val="fr-FR"/>
        </w:rPr>
        <w:t xml:space="preserve"> </w:t>
      </w:r>
      <w:r w:rsidRPr="00A068EC">
        <w:rPr>
          <w:lang w:val="fr-FR"/>
        </w:rPr>
        <w:t>c)</w:t>
      </w:r>
      <w:r w:rsidR="003150FB" w:rsidRPr="00A068EC">
        <w:rPr>
          <w:lang w:val="fr-FR"/>
        </w:rPr>
        <w:t> </w:t>
      </w:r>
      <w:r w:rsidRPr="00A068EC">
        <w:rPr>
          <w:lang w:val="fr-FR"/>
        </w:rPr>
        <w:t>autres questions;</w:t>
      </w:r>
    </w:p>
    <w:p w14:paraId="6BE9FE9C" w14:textId="333E7C87" w:rsidR="00FA04D4" w:rsidRPr="00A068EC" w:rsidRDefault="00FA04D4" w:rsidP="00E222FF">
      <w:pPr>
        <w:pStyle w:val="ONUMFS"/>
        <w:numPr>
          <w:ilvl w:val="0"/>
          <w:numId w:val="0"/>
        </w:numPr>
        <w:tabs>
          <w:tab w:val="left" w:pos="1701"/>
        </w:tabs>
        <w:ind w:left="1701" w:hanging="1134"/>
        <w:rPr>
          <w:lang w:val="fr-FR"/>
        </w:rPr>
      </w:pPr>
      <w:r w:rsidRPr="00A068EC">
        <w:rPr>
          <w:lang w:val="fr-FR"/>
        </w:rPr>
        <w:t>Thème 6</w:t>
      </w:r>
      <w:r w:rsidR="00DE166D" w:rsidRPr="00A068EC">
        <w:rPr>
          <w:lang w:val="fr-FR"/>
        </w:rPr>
        <w:t> :</w:t>
      </w:r>
      <w:r w:rsidRPr="00A068EC">
        <w:rPr>
          <w:lang w:val="fr-FR"/>
        </w:rPr>
        <w:t xml:space="preserve"> </w:t>
      </w:r>
      <w:r w:rsidR="00E222FF">
        <w:rPr>
          <w:lang w:val="fr-FR"/>
        </w:rPr>
        <w:tab/>
      </w:r>
      <w:r w:rsidRPr="00A068EC">
        <w:rPr>
          <w:lang w:val="fr-FR"/>
        </w:rPr>
        <w:t>Dépôt de matériel biologique</w:t>
      </w:r>
      <w:r w:rsidR="00DE166D" w:rsidRPr="00A068EC">
        <w:rPr>
          <w:lang w:val="fr-FR"/>
        </w:rPr>
        <w:t> :</w:t>
      </w:r>
      <w:r w:rsidRPr="00A068EC">
        <w:rPr>
          <w:lang w:val="fr-FR"/>
        </w:rPr>
        <w:t xml:space="preserve"> tendances technologiques et pratiques émergentes au sein des autorités de dépôt </w:t>
      </w:r>
      <w:proofErr w:type="gramStart"/>
      <w:r w:rsidRPr="00A068EC">
        <w:rPr>
          <w:lang w:val="fr-FR"/>
        </w:rPr>
        <w:t>internationales;</w:t>
      </w:r>
      <w:proofErr w:type="gramEnd"/>
    </w:p>
    <w:p w14:paraId="0AD99814" w14:textId="7F3C2320" w:rsidR="00FA04D4" w:rsidRPr="00A068EC" w:rsidRDefault="00FA04D4" w:rsidP="00E222FF">
      <w:pPr>
        <w:pStyle w:val="ONUMFS"/>
        <w:numPr>
          <w:ilvl w:val="0"/>
          <w:numId w:val="0"/>
        </w:numPr>
        <w:tabs>
          <w:tab w:val="left" w:pos="1701"/>
        </w:tabs>
        <w:ind w:left="1701" w:hanging="1134"/>
        <w:rPr>
          <w:lang w:val="fr-FR"/>
        </w:rPr>
      </w:pPr>
      <w:r w:rsidRPr="00A068EC">
        <w:rPr>
          <w:lang w:val="fr-FR"/>
        </w:rPr>
        <w:t>Thème 7</w:t>
      </w:r>
      <w:r w:rsidR="00DE166D" w:rsidRPr="00A068EC">
        <w:rPr>
          <w:lang w:val="fr-FR"/>
        </w:rPr>
        <w:t> :</w:t>
      </w:r>
      <w:r w:rsidRPr="00A068EC">
        <w:rPr>
          <w:lang w:val="fr-FR"/>
        </w:rPr>
        <w:t xml:space="preserve"> </w:t>
      </w:r>
      <w:r w:rsidR="00E222FF">
        <w:rPr>
          <w:lang w:val="fr-FR"/>
        </w:rPr>
        <w:tab/>
      </w:r>
      <w:r w:rsidRPr="00A068EC">
        <w:rPr>
          <w:lang w:val="fr-FR"/>
        </w:rPr>
        <w:t>Progrès technologiques dans le domaine de la biotechnologie</w:t>
      </w:r>
      <w:r w:rsidR="00DE166D" w:rsidRPr="00A068EC">
        <w:rPr>
          <w:lang w:val="fr-FR"/>
        </w:rPr>
        <w:t> :</w:t>
      </w:r>
      <w:r w:rsidRPr="00A068EC">
        <w:rPr>
          <w:lang w:val="fr-FR"/>
        </w:rPr>
        <w:t xml:space="preserve"> incidences sur l</w:t>
      </w:r>
      <w:r w:rsidR="00DE166D" w:rsidRPr="00A068EC">
        <w:rPr>
          <w:lang w:val="fr-FR"/>
        </w:rPr>
        <w:t>’</w:t>
      </w:r>
      <w:r w:rsidRPr="00A068EC">
        <w:rPr>
          <w:lang w:val="fr-FR"/>
        </w:rPr>
        <w:t xml:space="preserve">obligation de divulgation et le dépôt de matériel </w:t>
      </w:r>
      <w:proofErr w:type="gramStart"/>
      <w:r w:rsidRPr="00A068EC">
        <w:rPr>
          <w:lang w:val="fr-FR"/>
        </w:rPr>
        <w:t>biologique;</w:t>
      </w:r>
      <w:proofErr w:type="gramEnd"/>
    </w:p>
    <w:p w14:paraId="20533255" w14:textId="411C8BE5" w:rsidR="00DE166D" w:rsidRPr="00A068EC" w:rsidRDefault="00FA04D4" w:rsidP="00E222FF">
      <w:pPr>
        <w:pStyle w:val="ONUMFS"/>
        <w:numPr>
          <w:ilvl w:val="0"/>
          <w:numId w:val="0"/>
        </w:numPr>
        <w:tabs>
          <w:tab w:val="left" w:pos="1701"/>
        </w:tabs>
        <w:ind w:left="1701" w:hanging="1134"/>
        <w:rPr>
          <w:lang w:val="fr-FR"/>
        </w:rPr>
      </w:pPr>
      <w:r w:rsidRPr="00A068EC">
        <w:rPr>
          <w:lang w:val="fr-FR"/>
        </w:rPr>
        <w:t>Thème 8</w:t>
      </w:r>
      <w:r w:rsidR="00DE166D" w:rsidRPr="00A068EC">
        <w:rPr>
          <w:lang w:val="fr-FR"/>
        </w:rPr>
        <w:t> :</w:t>
      </w:r>
      <w:r w:rsidRPr="00A068EC">
        <w:rPr>
          <w:lang w:val="fr-FR"/>
        </w:rPr>
        <w:t xml:space="preserve"> </w:t>
      </w:r>
      <w:r w:rsidR="00E222FF">
        <w:rPr>
          <w:lang w:val="fr-FR"/>
        </w:rPr>
        <w:tab/>
      </w:r>
      <w:r w:rsidRPr="00A068EC">
        <w:rPr>
          <w:lang w:val="fr-FR"/>
        </w:rPr>
        <w:t>Évolution future du système de Budapest.</w:t>
      </w:r>
    </w:p>
    <w:p w14:paraId="32E6B7C0" w14:textId="61376CFF" w:rsidR="00DE166D" w:rsidRPr="00A068EC" w:rsidRDefault="00FA04D4" w:rsidP="00132BF1">
      <w:pPr>
        <w:pStyle w:val="ONUMFS"/>
        <w:rPr>
          <w:lang w:val="fr-FR"/>
        </w:rPr>
      </w:pPr>
      <w:r w:rsidRPr="00A068EC">
        <w:rPr>
          <w:shd w:val="clear" w:color="auto" w:fill="FFFFFF"/>
          <w:lang w:val="fr-FR"/>
        </w:rPr>
        <w:t>Afin de faciliter des discussions approfondies sur chaque thème, des exposés ont été présentés par des conférenciers représentant des offices de propriété industrielle ou des autorités de dépôt internationales, ainsi que des experts externes, comme indiqué dans le program</w:t>
      </w:r>
      <w:r w:rsidR="00A068EC" w:rsidRPr="00A068EC">
        <w:rPr>
          <w:shd w:val="clear" w:color="auto" w:fill="FFFFFF"/>
          <w:lang w:val="fr-FR"/>
        </w:rPr>
        <w:t xml:space="preserve">me.  </w:t>
      </w:r>
      <w:r w:rsidR="00A068EC" w:rsidRPr="00A068EC">
        <w:rPr>
          <w:lang w:val="fr-FR"/>
        </w:rPr>
        <w:t>Tr</w:t>
      </w:r>
      <w:r w:rsidRPr="00A068EC">
        <w:rPr>
          <w:lang w:val="fr-FR"/>
        </w:rPr>
        <w:t>ois</w:t>
      </w:r>
      <w:r w:rsidR="003150FB" w:rsidRPr="00A068EC">
        <w:rPr>
          <w:lang w:val="fr-FR"/>
        </w:rPr>
        <w:t> </w:t>
      </w:r>
      <w:r w:rsidRPr="00A068EC">
        <w:rPr>
          <w:lang w:val="fr-FR"/>
        </w:rPr>
        <w:t>documents d</w:t>
      </w:r>
      <w:r w:rsidR="00DE166D" w:rsidRPr="00A068EC">
        <w:rPr>
          <w:lang w:val="fr-FR"/>
        </w:rPr>
        <w:t>’</w:t>
      </w:r>
      <w:r w:rsidRPr="00A068EC">
        <w:rPr>
          <w:lang w:val="fr-FR"/>
        </w:rPr>
        <w:t>information, concernant la manipulation de micro</w:t>
      </w:r>
      <w:r w:rsidR="00132BF1">
        <w:rPr>
          <w:lang w:val="fr-FR"/>
        </w:rPr>
        <w:noBreakHyphen/>
      </w:r>
      <w:r w:rsidRPr="00A068EC">
        <w:rPr>
          <w:lang w:val="fr-FR"/>
        </w:rPr>
        <w:t>organismes déposés en application du Traité de Budapest après la période de conservation, la remise d</w:t>
      </w:r>
      <w:r w:rsidR="00DE166D" w:rsidRPr="00A068EC">
        <w:rPr>
          <w:lang w:val="fr-FR"/>
        </w:rPr>
        <w:t>’</w:t>
      </w:r>
      <w:r w:rsidRPr="00A068EC">
        <w:rPr>
          <w:lang w:val="fr-FR"/>
        </w:rPr>
        <w:t xml:space="preserve">échantillons du matériel biologique déposé, ainsi que le Protocole de Nagoya et le Traité de Budapest, ont été établis par le Bureau international pour étayer les discussions sur les thèmes 3 et 5.  </w:t>
      </w:r>
      <w:hyperlink r:id="rId16" w:history="1">
        <w:r w:rsidRPr="00A068EC">
          <w:rPr>
            <w:rStyle w:val="Hyperlink"/>
            <w:lang w:val="fr-FR"/>
          </w:rPr>
          <w:t>Tous les</w:t>
        </w:r>
        <w:r w:rsidRPr="00A068EC">
          <w:rPr>
            <w:rStyle w:val="Hyperlink"/>
            <w:lang w:val="fr-FR"/>
          </w:rPr>
          <w:t xml:space="preserve"> </w:t>
        </w:r>
        <w:r w:rsidRPr="00A068EC">
          <w:rPr>
            <w:rStyle w:val="Hyperlink"/>
            <w:lang w:val="fr-FR"/>
          </w:rPr>
          <w:t>documents</w:t>
        </w:r>
      </w:hyperlink>
      <w:r w:rsidRPr="00A068EC">
        <w:rPr>
          <w:lang w:val="fr-FR"/>
        </w:rPr>
        <w:t xml:space="preserve"> établis par le Bureau international, </w:t>
      </w:r>
      <w:r w:rsidR="00DE166D" w:rsidRPr="00A068EC">
        <w:rPr>
          <w:lang w:val="fr-FR"/>
        </w:rPr>
        <w:t>y compris</w:t>
      </w:r>
      <w:r w:rsidRPr="00A068EC">
        <w:rPr>
          <w:lang w:val="fr-FR"/>
        </w:rPr>
        <w:t xml:space="preserve"> le Rapport de synthèse de la réunion, de même que les exposés, sont disponibles sur le site</w:t>
      </w:r>
      <w:r w:rsidR="003150FB" w:rsidRPr="00A068EC">
        <w:rPr>
          <w:lang w:val="fr-FR"/>
        </w:rPr>
        <w:t> </w:t>
      </w:r>
      <w:r w:rsidRPr="00A068EC">
        <w:rPr>
          <w:lang w:val="fr-FR"/>
        </w:rPr>
        <w:t>Web de la réunion.</w:t>
      </w:r>
    </w:p>
    <w:p w14:paraId="1D5D5C9E" w14:textId="736C5848" w:rsidR="00DE166D" w:rsidRPr="00A068EC" w:rsidRDefault="00FA04D4" w:rsidP="00132BF1">
      <w:pPr>
        <w:pStyle w:val="ONUMFS"/>
        <w:rPr>
          <w:lang w:val="fr-FR"/>
        </w:rPr>
      </w:pPr>
      <w:bookmarkStart w:id="8" w:name="_Hlk163230602"/>
      <w:r w:rsidRPr="00A068EC">
        <w:rPr>
          <w:lang w:val="fr-FR"/>
        </w:rPr>
        <w:t>Au titre du thème 8, les participants ont eu des discussions sur les améliorations possibles du système de Budapest et comment elles pourraient être apporté</w:t>
      </w:r>
      <w:r w:rsidR="00A068EC" w:rsidRPr="00A068EC">
        <w:rPr>
          <w:lang w:val="fr-FR"/>
        </w:rPr>
        <w:t>es.  Le</w:t>
      </w:r>
      <w:r w:rsidRPr="00A068EC">
        <w:rPr>
          <w:lang w:val="fr-FR"/>
        </w:rPr>
        <w:t xml:space="preserve"> paragraphe 38 du Rapport de synthèse </w:t>
      </w:r>
      <w:bookmarkEnd w:id="8"/>
      <w:r w:rsidRPr="00A068EC">
        <w:rPr>
          <w:lang w:val="fr-FR"/>
        </w:rPr>
        <w:t>présente les principaux messages qui sont ressortis du débat sur ce thème</w:t>
      </w:r>
      <w:r w:rsidR="00DE166D" w:rsidRPr="00A068EC">
        <w:rPr>
          <w:lang w:val="fr-FR"/>
        </w:rPr>
        <w:t> :</w:t>
      </w:r>
    </w:p>
    <w:p w14:paraId="7EB9AC4B" w14:textId="5BCF6A5D" w:rsidR="00FA04D4" w:rsidRPr="00A068EC" w:rsidRDefault="00FA04D4" w:rsidP="00E222FF">
      <w:pPr>
        <w:pStyle w:val="ONUMFS"/>
        <w:numPr>
          <w:ilvl w:val="0"/>
          <w:numId w:val="8"/>
        </w:numPr>
        <w:ind w:left="1134" w:hanging="567"/>
        <w:rPr>
          <w:lang w:val="fr-FR"/>
        </w:rPr>
      </w:pPr>
      <w:proofErr w:type="gramStart"/>
      <w:r w:rsidRPr="00A068EC">
        <w:rPr>
          <w:lang w:val="fr-FR"/>
        </w:rPr>
        <w:t>la</w:t>
      </w:r>
      <w:proofErr w:type="gramEnd"/>
      <w:r w:rsidRPr="00A068EC">
        <w:rPr>
          <w:lang w:val="fr-FR"/>
        </w:rPr>
        <w:t xml:space="preserve"> communication entre les offices de propriété intellectuelle, les autorités de dépôt internationales et le Bureau international, aux niveaux national et international, ainsi qu</w:t>
      </w:r>
      <w:r w:rsidR="00DE166D" w:rsidRPr="00A068EC">
        <w:rPr>
          <w:lang w:val="fr-FR"/>
        </w:rPr>
        <w:t>’</w:t>
      </w:r>
      <w:r w:rsidRPr="00A068EC">
        <w:rPr>
          <w:lang w:val="fr-FR"/>
        </w:rPr>
        <w:t>avec les déposants et les déposants de demandes de brevet, devrait être améliorée;</w:t>
      </w:r>
    </w:p>
    <w:p w14:paraId="3413C00B" w14:textId="2669830F" w:rsidR="00FA04D4" w:rsidRPr="00A068EC" w:rsidRDefault="00FA04D4" w:rsidP="00E222FF">
      <w:pPr>
        <w:pStyle w:val="ONUMFS"/>
        <w:numPr>
          <w:ilvl w:val="0"/>
          <w:numId w:val="8"/>
        </w:numPr>
        <w:ind w:left="1134" w:hanging="567"/>
        <w:rPr>
          <w:lang w:val="fr-FR"/>
        </w:rPr>
      </w:pPr>
      <w:proofErr w:type="gramStart"/>
      <w:r w:rsidRPr="00A068EC">
        <w:rPr>
          <w:lang w:val="fr-FR"/>
        </w:rPr>
        <w:t>les</w:t>
      </w:r>
      <w:proofErr w:type="gramEnd"/>
      <w:r w:rsidRPr="00A068EC">
        <w:rPr>
          <w:lang w:val="fr-FR"/>
        </w:rPr>
        <w:t xml:space="preserve"> offices de propriété intellectuelle, les autorités de dépôt internationales et le Bureau international pourraient envisager de créer davantage d</w:t>
      </w:r>
      <w:r w:rsidR="00DE166D" w:rsidRPr="00A068EC">
        <w:rPr>
          <w:lang w:val="fr-FR"/>
        </w:rPr>
        <w:t>’</w:t>
      </w:r>
      <w:r w:rsidRPr="00A068EC">
        <w:rPr>
          <w:lang w:val="fr-FR"/>
        </w:rPr>
        <w:t>opportunités d</w:t>
      </w:r>
      <w:r w:rsidR="00DE166D" w:rsidRPr="00A068EC">
        <w:rPr>
          <w:lang w:val="fr-FR"/>
        </w:rPr>
        <w:t>’</w:t>
      </w:r>
      <w:r w:rsidRPr="00A068EC">
        <w:rPr>
          <w:lang w:val="fr-FR"/>
        </w:rPr>
        <w:t>échange de bonnes pratiques et de données d</w:t>
      </w:r>
      <w:r w:rsidR="00DE166D" w:rsidRPr="00A068EC">
        <w:rPr>
          <w:lang w:val="fr-FR"/>
        </w:rPr>
        <w:t>’</w:t>
      </w:r>
      <w:r w:rsidRPr="00A068EC">
        <w:rPr>
          <w:lang w:val="fr-FR"/>
        </w:rPr>
        <w:t>expérience;</w:t>
      </w:r>
    </w:p>
    <w:p w14:paraId="74BB3724" w14:textId="74A5C8EB" w:rsidR="00FA04D4" w:rsidRPr="00A068EC" w:rsidRDefault="00FA04D4" w:rsidP="00E222FF">
      <w:pPr>
        <w:pStyle w:val="ONUMFS"/>
        <w:numPr>
          <w:ilvl w:val="0"/>
          <w:numId w:val="8"/>
        </w:numPr>
        <w:ind w:left="1134" w:hanging="567"/>
        <w:rPr>
          <w:lang w:val="fr-FR"/>
        </w:rPr>
      </w:pPr>
      <w:proofErr w:type="gramStart"/>
      <w:r w:rsidRPr="00A068EC">
        <w:rPr>
          <w:lang w:val="fr-FR"/>
        </w:rPr>
        <w:t>les</w:t>
      </w:r>
      <w:proofErr w:type="gramEnd"/>
      <w:r w:rsidRPr="00A068EC">
        <w:rPr>
          <w:lang w:val="fr-FR"/>
        </w:rPr>
        <w:t xml:space="preserve"> autorités de dépôt internationales et les offices de propriété intellectuelle pourraient envisager de nouveaux moyens d</w:t>
      </w:r>
      <w:r w:rsidR="00DE166D" w:rsidRPr="00A068EC">
        <w:rPr>
          <w:lang w:val="fr-FR"/>
        </w:rPr>
        <w:t>’</w:t>
      </w:r>
      <w:r w:rsidRPr="00A068EC">
        <w:rPr>
          <w:lang w:val="fr-FR"/>
        </w:rPr>
        <w:t>échanger des informations et des données afin de soutenir le fonctionnement des organisations;</w:t>
      </w:r>
    </w:p>
    <w:p w14:paraId="013CACBE" w14:textId="77777777" w:rsidR="00DE166D" w:rsidRPr="00A068EC" w:rsidRDefault="00FA04D4" w:rsidP="00E222FF">
      <w:pPr>
        <w:pStyle w:val="ONUMFS"/>
        <w:numPr>
          <w:ilvl w:val="0"/>
          <w:numId w:val="8"/>
        </w:numPr>
        <w:ind w:left="1134" w:hanging="567"/>
        <w:rPr>
          <w:lang w:val="fr-FR"/>
        </w:rPr>
      </w:pPr>
      <w:proofErr w:type="gramStart"/>
      <w:r w:rsidRPr="00A068EC">
        <w:rPr>
          <w:lang w:val="fr-FR"/>
        </w:rPr>
        <w:lastRenderedPageBreak/>
        <w:t>les</w:t>
      </w:r>
      <w:proofErr w:type="gramEnd"/>
      <w:r w:rsidRPr="00A068EC">
        <w:rPr>
          <w:lang w:val="fr-FR"/>
        </w:rPr>
        <w:t xml:space="preserve"> États contractants du Traité de Budapest pourraient fournir des orientations sur la manière dont les échantillons de matériel biologique déposé devraient être traités par les autorités de dépôt internationales au terme de la période de conservation prescrite par le Traité de Budapest;</w:t>
      </w:r>
    </w:p>
    <w:p w14:paraId="11BCAEBC" w14:textId="57945149" w:rsidR="00FA04D4" w:rsidRPr="00A068EC" w:rsidRDefault="00FA04D4" w:rsidP="00E222FF">
      <w:pPr>
        <w:pStyle w:val="ONUMFS"/>
        <w:numPr>
          <w:ilvl w:val="0"/>
          <w:numId w:val="8"/>
        </w:numPr>
        <w:ind w:left="1134" w:hanging="567"/>
        <w:rPr>
          <w:lang w:val="fr-FR"/>
        </w:rPr>
      </w:pPr>
      <w:proofErr w:type="gramStart"/>
      <w:r w:rsidRPr="00A068EC">
        <w:rPr>
          <w:lang w:val="fr-FR"/>
        </w:rPr>
        <w:t>les</w:t>
      </w:r>
      <w:proofErr w:type="gramEnd"/>
      <w:r w:rsidRPr="00A068EC">
        <w:rPr>
          <w:lang w:val="fr-FR"/>
        </w:rPr>
        <w:t xml:space="preserve"> progrès technologiques susceptibles d</w:t>
      </w:r>
      <w:r w:rsidR="00DE166D" w:rsidRPr="00A068EC">
        <w:rPr>
          <w:lang w:val="fr-FR"/>
        </w:rPr>
        <w:t>’</w:t>
      </w:r>
      <w:r w:rsidRPr="00A068EC">
        <w:rPr>
          <w:lang w:val="fr-FR"/>
        </w:rPr>
        <w:t xml:space="preserve">aider les autorités de dépôt internationales à mieux préserver et transmettre le matériel biologique déposé, </w:t>
      </w:r>
      <w:r w:rsidR="00DE166D" w:rsidRPr="00A068EC">
        <w:rPr>
          <w:lang w:val="fr-FR"/>
        </w:rPr>
        <w:t>y compris</w:t>
      </w:r>
      <w:r w:rsidRPr="00A068EC">
        <w:rPr>
          <w:lang w:val="fr-FR"/>
        </w:rPr>
        <w:t xml:space="preserve"> les nouveaux types de matériel, devraient être suivis;</w:t>
      </w:r>
    </w:p>
    <w:p w14:paraId="0E881301" w14:textId="77777777" w:rsidR="00FA04D4" w:rsidRPr="00A068EC" w:rsidRDefault="00FA04D4" w:rsidP="00E222FF">
      <w:pPr>
        <w:pStyle w:val="ONUMFS"/>
        <w:numPr>
          <w:ilvl w:val="0"/>
          <w:numId w:val="8"/>
        </w:numPr>
        <w:ind w:left="1134" w:hanging="567"/>
        <w:rPr>
          <w:lang w:val="fr-FR"/>
        </w:rPr>
      </w:pPr>
      <w:proofErr w:type="gramStart"/>
      <w:r w:rsidRPr="00A068EC">
        <w:rPr>
          <w:lang w:val="fr-FR"/>
        </w:rPr>
        <w:t>les</w:t>
      </w:r>
      <w:proofErr w:type="gramEnd"/>
      <w:r w:rsidRPr="00A068EC">
        <w:rPr>
          <w:lang w:val="fr-FR"/>
        </w:rPr>
        <w:t xml:space="preserve"> possibilités offertes par les informations issues du séquençage du génome pour compléter le dépôt de matériel biologique physique pourraient être explorées.</w:t>
      </w:r>
    </w:p>
    <w:p w14:paraId="2E641ADB" w14:textId="44FE3311" w:rsidR="00DE166D" w:rsidRPr="00A068EC" w:rsidRDefault="00FA04D4" w:rsidP="00132BF1">
      <w:pPr>
        <w:pStyle w:val="ONUMFS"/>
        <w:rPr>
          <w:lang w:val="fr-FR"/>
        </w:rPr>
      </w:pPr>
      <w:r w:rsidRPr="00A068EC">
        <w:rPr>
          <w:lang w:val="fr-FR"/>
        </w:rPr>
        <w:t xml:space="preserve">Afin de faciliter la communication et la coopération entre les offices de propriété industrielle et les autorités de dépôt internationales, et compte tenu de la demande de mise à jour de la </w:t>
      </w:r>
      <w:r w:rsidR="00DE166D" w:rsidRPr="00A068EC">
        <w:rPr>
          <w:lang w:val="fr-FR"/>
        </w:rPr>
        <w:t>section E</w:t>
      </w:r>
      <w:r w:rsidRPr="00A068EC">
        <w:rPr>
          <w:lang w:val="fr-FR"/>
        </w:rPr>
        <w:t xml:space="preserve"> du guide (voir le paragraphe 13), le Bureau international a invité les offices de propriété industrielle à fournir une adresse de courrier électronique qui pourrait être utilisée par les autorités de dépôt internationales pour les contact</w:t>
      </w:r>
      <w:r w:rsidR="00A068EC" w:rsidRPr="00A068EC">
        <w:rPr>
          <w:lang w:val="fr-FR"/>
        </w:rPr>
        <w:t>er.  La</w:t>
      </w:r>
      <w:r w:rsidRPr="00A068EC">
        <w:rPr>
          <w:lang w:val="fr-FR"/>
        </w:rPr>
        <w:t xml:space="preserve"> </w:t>
      </w:r>
      <w:r w:rsidR="00DE166D" w:rsidRPr="00A068EC">
        <w:rPr>
          <w:lang w:val="fr-FR"/>
        </w:rPr>
        <w:t>section E</w:t>
      </w:r>
      <w:r w:rsidRPr="00A068EC">
        <w:rPr>
          <w:lang w:val="fr-FR"/>
        </w:rPr>
        <w:t xml:space="preserve"> du guide a été mise à jour en conséquence à partir des informations reçu</w:t>
      </w:r>
      <w:r w:rsidR="00A068EC" w:rsidRPr="00A068EC">
        <w:rPr>
          <w:lang w:val="fr-FR"/>
        </w:rPr>
        <w:t>es.  Le</w:t>
      </w:r>
      <w:r w:rsidRPr="00A068EC">
        <w:rPr>
          <w:lang w:val="fr-FR"/>
        </w:rPr>
        <w:t xml:space="preserve"> Bureau international réfléchit également à la manière d</w:t>
      </w:r>
      <w:r w:rsidR="00DE166D" w:rsidRPr="00A068EC">
        <w:rPr>
          <w:lang w:val="fr-FR"/>
        </w:rPr>
        <w:t>’</w:t>
      </w:r>
      <w:r w:rsidRPr="00A068EC">
        <w:rPr>
          <w:lang w:val="fr-FR"/>
        </w:rPr>
        <w:t>améliorer les possibilités de recherche en ce qui concerne les documents de brevet publiés qui sont liés au matériel biologique déposé dans PATENTSCOPE.</w:t>
      </w:r>
    </w:p>
    <w:p w14:paraId="634D8561" w14:textId="425ACF18" w:rsidR="00FA04D4" w:rsidRPr="00E222FF" w:rsidRDefault="00FA04D4" w:rsidP="00E222FF">
      <w:pPr>
        <w:pStyle w:val="ONUMFS"/>
        <w:ind w:left="5533"/>
        <w:rPr>
          <w:i/>
        </w:rPr>
      </w:pPr>
      <w:r w:rsidRPr="00E222FF">
        <w:rPr>
          <w:i/>
        </w:rPr>
        <w:t>L</w:t>
      </w:r>
      <w:r w:rsidR="00DE166D" w:rsidRPr="00E222FF">
        <w:rPr>
          <w:i/>
        </w:rPr>
        <w:t>’</w:t>
      </w:r>
      <w:r w:rsidRPr="00E222FF">
        <w:rPr>
          <w:i/>
        </w:rPr>
        <w:t>Assemblée de l</w:t>
      </w:r>
      <w:r w:rsidR="00DE166D" w:rsidRPr="00E222FF">
        <w:rPr>
          <w:i/>
        </w:rPr>
        <w:t>’</w:t>
      </w:r>
      <w:r w:rsidRPr="00E222FF">
        <w:rPr>
          <w:i/>
        </w:rPr>
        <w:t>Union de Budapest est invitée à prendre note du “Rapport d</w:t>
      </w:r>
      <w:r w:rsidR="00DE166D" w:rsidRPr="00E222FF">
        <w:rPr>
          <w:i/>
        </w:rPr>
        <w:t>’</w:t>
      </w:r>
      <w:r w:rsidRPr="00E222FF">
        <w:rPr>
          <w:i/>
        </w:rPr>
        <w:t>activité sur le fonctionnement du système de Budapest” (</w:t>
      </w:r>
      <w:r w:rsidR="00DE166D" w:rsidRPr="00E222FF">
        <w:rPr>
          <w:i/>
        </w:rPr>
        <w:t>document</w:t>
      </w:r>
      <w:r w:rsidR="00132BF1" w:rsidRPr="00E222FF">
        <w:rPr>
          <w:i/>
        </w:rPr>
        <w:t> </w:t>
      </w:r>
      <w:r w:rsidR="00DE166D" w:rsidRPr="00E222FF">
        <w:rPr>
          <w:i/>
        </w:rPr>
        <w:t>BP</w:t>
      </w:r>
      <w:r w:rsidRPr="00E222FF">
        <w:rPr>
          <w:i/>
        </w:rPr>
        <w:t>/A/41/1).</w:t>
      </w:r>
    </w:p>
    <w:p w14:paraId="487C2F5D" w14:textId="0BF7DC09" w:rsidR="000F5E56" w:rsidRPr="00E222FF" w:rsidRDefault="00FA04D4" w:rsidP="00E222FF">
      <w:pPr>
        <w:pStyle w:val="Endofdocument-Annex"/>
      </w:pPr>
      <w:r w:rsidRPr="00E222FF">
        <w:t>[Fin du document]</w:t>
      </w:r>
      <w:bookmarkStart w:id="9" w:name="TITUS1HeaderEvenPages"/>
      <w:bookmarkEnd w:id="9"/>
    </w:p>
    <w:sectPr w:rsidR="000F5E56" w:rsidRPr="00E222FF" w:rsidSect="009D796C">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4625" w14:textId="77777777" w:rsidR="00FA04D4" w:rsidRDefault="00FA04D4">
      <w:r>
        <w:separator/>
      </w:r>
    </w:p>
  </w:endnote>
  <w:endnote w:type="continuationSeparator" w:id="0">
    <w:p w14:paraId="3303D4E1" w14:textId="77777777" w:rsidR="00FA04D4" w:rsidRPr="009D30E6" w:rsidRDefault="00FA04D4" w:rsidP="00D45252">
      <w:pPr>
        <w:rPr>
          <w:sz w:val="17"/>
          <w:szCs w:val="17"/>
        </w:rPr>
      </w:pPr>
      <w:r w:rsidRPr="009D30E6">
        <w:rPr>
          <w:sz w:val="17"/>
          <w:szCs w:val="17"/>
        </w:rPr>
        <w:separator/>
      </w:r>
    </w:p>
    <w:p w14:paraId="350A84B8" w14:textId="77777777" w:rsidR="00FA04D4" w:rsidRPr="009D30E6" w:rsidRDefault="00FA04D4" w:rsidP="00D45252">
      <w:pPr>
        <w:spacing w:after="60"/>
        <w:rPr>
          <w:sz w:val="17"/>
          <w:szCs w:val="17"/>
        </w:rPr>
      </w:pPr>
      <w:r w:rsidRPr="009D30E6">
        <w:rPr>
          <w:sz w:val="17"/>
          <w:szCs w:val="17"/>
        </w:rPr>
        <w:t>[Suite de la note de la page précédente]</w:t>
      </w:r>
    </w:p>
  </w:endnote>
  <w:endnote w:type="continuationNotice" w:id="1">
    <w:p w14:paraId="5D1B30AD" w14:textId="77777777" w:rsidR="00FA04D4" w:rsidRPr="009D30E6" w:rsidRDefault="00FA04D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C9F5" w14:textId="77777777" w:rsidR="00FA04D4" w:rsidRDefault="00FA04D4">
      <w:r>
        <w:separator/>
      </w:r>
    </w:p>
  </w:footnote>
  <w:footnote w:type="continuationSeparator" w:id="0">
    <w:p w14:paraId="4DFDB9DD" w14:textId="77777777" w:rsidR="00FA04D4" w:rsidRDefault="00FA04D4" w:rsidP="007461F1">
      <w:r>
        <w:separator/>
      </w:r>
    </w:p>
    <w:p w14:paraId="19D01FCA" w14:textId="77777777" w:rsidR="00FA04D4" w:rsidRPr="009D30E6" w:rsidRDefault="00FA04D4" w:rsidP="007461F1">
      <w:pPr>
        <w:spacing w:after="60"/>
        <w:rPr>
          <w:sz w:val="17"/>
          <w:szCs w:val="17"/>
        </w:rPr>
      </w:pPr>
      <w:r w:rsidRPr="009D30E6">
        <w:rPr>
          <w:sz w:val="17"/>
          <w:szCs w:val="17"/>
        </w:rPr>
        <w:t>[Suite de la note de la page précédente]</w:t>
      </w:r>
    </w:p>
  </w:footnote>
  <w:footnote w:type="continuationNotice" w:id="1">
    <w:p w14:paraId="6982FA75" w14:textId="77777777" w:rsidR="00FA04D4" w:rsidRPr="009D30E6" w:rsidRDefault="00FA04D4" w:rsidP="007461F1">
      <w:pPr>
        <w:spacing w:before="60"/>
        <w:jc w:val="right"/>
        <w:rPr>
          <w:sz w:val="17"/>
          <w:szCs w:val="17"/>
        </w:rPr>
      </w:pPr>
      <w:r w:rsidRPr="009D30E6">
        <w:rPr>
          <w:sz w:val="17"/>
          <w:szCs w:val="17"/>
        </w:rPr>
        <w:t>[Suite de la note page suivante]</w:t>
      </w:r>
    </w:p>
  </w:footnote>
  <w:footnote w:id="2">
    <w:p w14:paraId="5D21D9C5" w14:textId="3949F9ED"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zCs w:val="18"/>
        </w:rPr>
        <w:t>Au Maroc.</w:t>
      </w:r>
    </w:p>
  </w:footnote>
  <w:footnote w:id="3">
    <w:p w14:paraId="76AC42F0" w14:textId="0712C307"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zCs w:val="18"/>
        </w:rPr>
        <w:t>En Inde (3) et en République de Corée (4).</w:t>
      </w:r>
    </w:p>
  </w:footnote>
  <w:footnote w:id="4">
    <w:p w14:paraId="4990F25D" w14:textId="75D0A6FA"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zCs w:val="18"/>
        </w:rPr>
        <w:t>En Fédération de Russie (2).</w:t>
      </w:r>
    </w:p>
  </w:footnote>
  <w:footnote w:id="5">
    <w:p w14:paraId="58AEB951" w14:textId="49276BE8"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pacing w:val="-2"/>
          <w:szCs w:val="18"/>
        </w:rPr>
        <w:t>En Bulgarie (1), en Hongrie (1), en Lettonie (1), en Pologne (3), en République tchèque (1) et en Slovaquie</w:t>
      </w:r>
      <w:r w:rsidR="00E222FF" w:rsidRPr="00E222FF">
        <w:rPr>
          <w:spacing w:val="-2"/>
          <w:szCs w:val="18"/>
        </w:rPr>
        <w:t> </w:t>
      </w:r>
      <w:r w:rsidRPr="00E222FF">
        <w:rPr>
          <w:spacing w:val="-2"/>
          <w:szCs w:val="18"/>
        </w:rPr>
        <w:t>(1).</w:t>
      </w:r>
    </w:p>
  </w:footnote>
  <w:footnote w:id="6">
    <w:p w14:paraId="420848F8" w14:textId="483F00BC"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zCs w:val="18"/>
        </w:rPr>
        <w:t>En Allemagne (1), en Australie (2), en Belgique (1), au Canada (1), en Espagne (2), aux États</w:t>
      </w:r>
      <w:r w:rsidR="00DC0B3B">
        <w:rPr>
          <w:szCs w:val="18"/>
        </w:rPr>
        <w:noBreakHyphen/>
      </w:r>
      <w:r w:rsidRPr="00E222FF">
        <w:rPr>
          <w:szCs w:val="18"/>
        </w:rPr>
        <w:t>Unis d</w:t>
      </w:r>
      <w:r w:rsidR="003B4164" w:rsidRPr="00E222FF">
        <w:rPr>
          <w:szCs w:val="18"/>
        </w:rPr>
        <w:t>’</w:t>
      </w:r>
      <w:r w:rsidRPr="00E222FF">
        <w:rPr>
          <w:szCs w:val="18"/>
        </w:rPr>
        <w:t>Amérique (3), en Finlande (1), en France (1), en Italie (3), au Japon (2), aux Pays</w:t>
      </w:r>
      <w:r w:rsidR="00DC0B3B">
        <w:rPr>
          <w:szCs w:val="18"/>
        </w:rPr>
        <w:noBreakHyphen/>
      </w:r>
      <w:r w:rsidRPr="00E222FF">
        <w:rPr>
          <w:szCs w:val="18"/>
        </w:rPr>
        <w:t>Bas (Royaume des) (1), au Portugal (1), au Royaume</w:t>
      </w:r>
      <w:r w:rsidR="00DC0B3B">
        <w:rPr>
          <w:szCs w:val="18"/>
        </w:rPr>
        <w:noBreakHyphen/>
      </w:r>
      <w:r w:rsidRPr="00E222FF">
        <w:rPr>
          <w:szCs w:val="18"/>
        </w:rPr>
        <w:t>Uni (7) et en Suisse (1).</w:t>
      </w:r>
    </w:p>
  </w:footnote>
  <w:footnote w:id="7">
    <w:p w14:paraId="52E42530" w14:textId="0CDCB1C3"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Pr="00E222FF">
        <w:rPr>
          <w:szCs w:val="18"/>
        </w:rPr>
        <w:t>Au Chili (1) et au Mexique (1).</w:t>
      </w:r>
    </w:p>
  </w:footnote>
  <w:footnote w:id="8">
    <w:p w14:paraId="15738D23" w14:textId="548849EB" w:rsidR="00FA04D4" w:rsidRPr="00E222FF" w:rsidRDefault="00FA04D4" w:rsidP="00E222FF">
      <w:pPr>
        <w:pStyle w:val="FootnoteText"/>
        <w:tabs>
          <w:tab w:val="left" w:pos="567"/>
        </w:tabs>
        <w:rPr>
          <w:szCs w:val="18"/>
        </w:rPr>
      </w:pPr>
      <w:r w:rsidRPr="00E222FF">
        <w:rPr>
          <w:rStyle w:val="FootnoteReference"/>
          <w:szCs w:val="18"/>
        </w:rPr>
        <w:footnoteRef/>
      </w:r>
      <w:r w:rsidRPr="00E222FF">
        <w:rPr>
          <w:szCs w:val="18"/>
        </w:rPr>
        <w:t xml:space="preserve"> </w:t>
      </w:r>
      <w:r w:rsidR="00E222FF">
        <w:rPr>
          <w:szCs w:val="18"/>
        </w:rPr>
        <w:tab/>
      </w:r>
      <w:r w:rsidR="003B4164" w:rsidRPr="00E222FF">
        <w:rPr>
          <w:szCs w:val="18"/>
        </w:rPr>
        <w:t>En 2017</w:t>
      </w:r>
      <w:r w:rsidRPr="00E222FF">
        <w:rPr>
          <w:szCs w:val="18"/>
        </w:rPr>
        <w:t>, une autorité de dépôt internationale a notifié le nombre total d</w:t>
      </w:r>
      <w:r w:rsidR="003B4164" w:rsidRPr="00E222FF">
        <w:rPr>
          <w:szCs w:val="18"/>
        </w:rPr>
        <w:t>’</w:t>
      </w:r>
      <w:r w:rsidRPr="00E222FF">
        <w:rPr>
          <w:szCs w:val="18"/>
        </w:rPr>
        <w:t>échantillons remis (7 échantillons), sans préciser la répartition par types des parties auxquelles les échantillons ont été remis.</w:t>
      </w:r>
      <w:r w:rsidR="003150FB" w:rsidRPr="00E222FF">
        <w:rPr>
          <w:szCs w:val="18"/>
        </w:rPr>
        <w:t xml:space="preserve"> </w:t>
      </w:r>
      <w:r w:rsidRPr="00E222FF">
        <w:rPr>
          <w:szCs w:val="18"/>
        </w:rPr>
        <w:t xml:space="preserve"> Par conséquent, le nombre total d</w:t>
      </w:r>
      <w:r w:rsidR="003B4164" w:rsidRPr="00E222FF">
        <w:rPr>
          <w:szCs w:val="18"/>
        </w:rPr>
        <w:t>’</w:t>
      </w:r>
      <w:r w:rsidRPr="00E222FF">
        <w:rPr>
          <w:szCs w:val="18"/>
        </w:rPr>
        <w:t xml:space="preserve">échantillons remis </w:t>
      </w:r>
      <w:r w:rsidR="003B4164" w:rsidRPr="00E222FF">
        <w:rPr>
          <w:szCs w:val="18"/>
        </w:rPr>
        <w:t>en 2017</w:t>
      </w:r>
      <w:r w:rsidRPr="00E222FF">
        <w:rPr>
          <w:szCs w:val="18"/>
        </w:rPr>
        <w:t xml:space="preserve"> (figure 3) s</w:t>
      </w:r>
      <w:r w:rsidR="003B4164" w:rsidRPr="00E222FF">
        <w:rPr>
          <w:szCs w:val="18"/>
        </w:rPr>
        <w:t>’</w:t>
      </w:r>
      <w:r w:rsidRPr="00E222FF">
        <w:rPr>
          <w:szCs w:val="18"/>
        </w:rPr>
        <w:t>élève à 1722 échantillons, tandis que le nombre total calculé à partir des données du tableau n° 3 s</w:t>
      </w:r>
      <w:r w:rsidR="003B4164" w:rsidRPr="00E222FF">
        <w:rPr>
          <w:szCs w:val="18"/>
        </w:rPr>
        <w:t>’</w:t>
      </w:r>
      <w:r w:rsidRPr="00E222FF">
        <w:rPr>
          <w:szCs w:val="18"/>
        </w:rPr>
        <w:t>élève à 1715 échantillons.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AE81" w14:textId="77777777" w:rsidR="00F16975" w:rsidRDefault="00FA04D4" w:rsidP="00477D6B">
    <w:pPr>
      <w:jc w:val="right"/>
    </w:pPr>
    <w:bookmarkStart w:id="10" w:name="Code2"/>
    <w:bookmarkEnd w:id="10"/>
    <w:r>
      <w:t>BP/A/41/1</w:t>
    </w:r>
  </w:p>
  <w:p w14:paraId="59BCF6A1" w14:textId="32820CCB" w:rsidR="004F4E31" w:rsidRDefault="00F16975" w:rsidP="009309D0">
    <w:pPr>
      <w:spacing w:after="480"/>
      <w:jc w:val="right"/>
    </w:pPr>
    <w:proofErr w:type="gramStart"/>
    <w:r>
      <w:t>page</w:t>
    </w:r>
    <w:proofErr w:type="gramEnd"/>
    <w:r w:rsidR="009309D0">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B0C79"/>
    <w:multiLevelType w:val="hybridMultilevel"/>
    <w:tmpl w:val="53EAC83C"/>
    <w:lvl w:ilvl="0" w:tplc="8EA24C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36763F"/>
    <w:multiLevelType w:val="hybridMultilevel"/>
    <w:tmpl w:val="51BAE572"/>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0975923">
    <w:abstractNumId w:val="3"/>
  </w:num>
  <w:num w:numId="2" w16cid:durableId="415637826">
    <w:abstractNumId w:val="5"/>
  </w:num>
  <w:num w:numId="3" w16cid:durableId="237522126">
    <w:abstractNumId w:val="0"/>
  </w:num>
  <w:num w:numId="4" w16cid:durableId="1041594395">
    <w:abstractNumId w:val="6"/>
  </w:num>
  <w:num w:numId="5" w16cid:durableId="401678042">
    <w:abstractNumId w:val="1"/>
  </w:num>
  <w:num w:numId="6" w16cid:durableId="808859600">
    <w:abstractNumId w:val="4"/>
  </w:num>
  <w:num w:numId="7" w16cid:durableId="872501803">
    <w:abstractNumId w:val="2"/>
  </w:num>
  <w:num w:numId="8" w16cid:durableId="1493983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4"/>
    <w:rsid w:val="00011B7D"/>
    <w:rsid w:val="00075432"/>
    <w:rsid w:val="000F5E56"/>
    <w:rsid w:val="00132BF1"/>
    <w:rsid w:val="001362EE"/>
    <w:rsid w:val="00170776"/>
    <w:rsid w:val="00172A07"/>
    <w:rsid w:val="001832A6"/>
    <w:rsid w:val="00195C6E"/>
    <w:rsid w:val="001B266A"/>
    <w:rsid w:val="001D3D56"/>
    <w:rsid w:val="00240654"/>
    <w:rsid w:val="002634C4"/>
    <w:rsid w:val="002C56E0"/>
    <w:rsid w:val="002D4918"/>
    <w:rsid w:val="002E4D1A"/>
    <w:rsid w:val="002F16BC"/>
    <w:rsid w:val="002F4E68"/>
    <w:rsid w:val="003150FB"/>
    <w:rsid w:val="00315FCA"/>
    <w:rsid w:val="003532E4"/>
    <w:rsid w:val="003845C1"/>
    <w:rsid w:val="003A1BCD"/>
    <w:rsid w:val="003B4164"/>
    <w:rsid w:val="004008A2"/>
    <w:rsid w:val="004025DF"/>
    <w:rsid w:val="00423E3E"/>
    <w:rsid w:val="00427AF4"/>
    <w:rsid w:val="004647DA"/>
    <w:rsid w:val="00477D6B"/>
    <w:rsid w:val="004D6471"/>
    <w:rsid w:val="004F4E31"/>
    <w:rsid w:val="00525B63"/>
    <w:rsid w:val="00547476"/>
    <w:rsid w:val="00561DB8"/>
    <w:rsid w:val="005671A9"/>
    <w:rsid w:val="00567A4C"/>
    <w:rsid w:val="005A156F"/>
    <w:rsid w:val="005E6516"/>
    <w:rsid w:val="00605827"/>
    <w:rsid w:val="00676936"/>
    <w:rsid w:val="006B0DB5"/>
    <w:rsid w:val="006E4243"/>
    <w:rsid w:val="007461F1"/>
    <w:rsid w:val="00760844"/>
    <w:rsid w:val="007D6961"/>
    <w:rsid w:val="007F07CB"/>
    <w:rsid w:val="00810CEF"/>
    <w:rsid w:val="0081208D"/>
    <w:rsid w:val="00842A13"/>
    <w:rsid w:val="008B2CC1"/>
    <w:rsid w:val="008E7930"/>
    <w:rsid w:val="0090731E"/>
    <w:rsid w:val="0092233F"/>
    <w:rsid w:val="009309D0"/>
    <w:rsid w:val="00966A22"/>
    <w:rsid w:val="00974CD6"/>
    <w:rsid w:val="009D30E6"/>
    <w:rsid w:val="009D796C"/>
    <w:rsid w:val="009E3F6F"/>
    <w:rsid w:val="009F499F"/>
    <w:rsid w:val="00A02BD3"/>
    <w:rsid w:val="00A068EC"/>
    <w:rsid w:val="00AC0AE4"/>
    <w:rsid w:val="00AD61DB"/>
    <w:rsid w:val="00B87BCF"/>
    <w:rsid w:val="00B9791A"/>
    <w:rsid w:val="00BA62D4"/>
    <w:rsid w:val="00C40E15"/>
    <w:rsid w:val="00C664C8"/>
    <w:rsid w:val="00C76A79"/>
    <w:rsid w:val="00CA15F5"/>
    <w:rsid w:val="00CF0460"/>
    <w:rsid w:val="00D100B3"/>
    <w:rsid w:val="00D45252"/>
    <w:rsid w:val="00D71B4D"/>
    <w:rsid w:val="00D75C1E"/>
    <w:rsid w:val="00D93D55"/>
    <w:rsid w:val="00DB0349"/>
    <w:rsid w:val="00DC0B3B"/>
    <w:rsid w:val="00DD6A16"/>
    <w:rsid w:val="00DE166D"/>
    <w:rsid w:val="00E0091A"/>
    <w:rsid w:val="00E02D5D"/>
    <w:rsid w:val="00E203AA"/>
    <w:rsid w:val="00E222FF"/>
    <w:rsid w:val="00E527A5"/>
    <w:rsid w:val="00E76456"/>
    <w:rsid w:val="00EC2772"/>
    <w:rsid w:val="00EE71CB"/>
    <w:rsid w:val="00F16975"/>
    <w:rsid w:val="00F66152"/>
    <w:rsid w:val="00FA04D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FD52F"/>
  <w15:docId w15:val="{24F7EA34-94BC-42A4-A31B-A2F6D7B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E222FF"/>
    <w:pPr>
      <w:keepNext/>
      <w:spacing w:before="240" w:after="24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E222F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FA04D4"/>
    <w:rPr>
      <w:vertAlign w:val="superscript"/>
    </w:rPr>
  </w:style>
  <w:style w:type="table" w:styleId="TableGrid">
    <w:name w:val="Table Grid"/>
    <w:basedOn w:val="TableNormal"/>
    <w:rsid w:val="00FA04D4"/>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FA04D4"/>
    <w:rPr>
      <w:rFonts w:ascii="Arial" w:eastAsia="SimSun" w:hAnsi="Arial" w:cs="Arial"/>
      <w:sz w:val="18"/>
      <w:lang w:eastAsia="zh-CN"/>
    </w:rPr>
  </w:style>
  <w:style w:type="character" w:styleId="Hyperlink">
    <w:name w:val="Hyperlink"/>
    <w:basedOn w:val="DefaultParagraphFont"/>
    <w:unhideWhenUsed/>
    <w:rsid w:val="00FA04D4"/>
    <w:rPr>
      <w:color w:val="0000FF" w:themeColor="hyperlink"/>
      <w:u w:val="single"/>
    </w:rPr>
  </w:style>
  <w:style w:type="character" w:styleId="FollowedHyperlink">
    <w:name w:val="FollowedHyperlink"/>
    <w:basedOn w:val="DefaultParagraphFont"/>
    <w:semiHidden/>
    <w:unhideWhenUsed/>
    <w:rsid w:val="00922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reaties/fr/registration/budapest/"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budapest/fr/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meetings/fr/details.jsp?meeting_id=76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budapest/fr/guide"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www.wipo.int/wipolex/fr/treaties/ShowResults?search_what=N&amp;treaty_id=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budapest/fr/guide/appendix_3/index.html"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_A_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BP_A_41 (F)</Template>
  <TotalTime>31</TotalTime>
  <Pages>8</Pages>
  <Words>2552</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BP/A/41/1</vt:lpstr>
    </vt:vector>
  </TitlesOfParts>
  <Company>WIPO</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BP/A/41/1</dc:title>
  <dc:subject>Sixty-Fifth Series of Meetings</dc:subject>
  <dc:creator>WIPO</dc:creator>
  <cp:keywords>FOR OFFICIAL USE ONLY</cp:keywords>
  <cp:lastModifiedBy>MARIN-CUDRAZ DAVI Nicoletta</cp:lastModifiedBy>
  <cp:revision>11</cp:revision>
  <cp:lastPrinted>2011-05-19T12:37:00Z</cp:lastPrinted>
  <dcterms:created xsi:type="dcterms:W3CDTF">2024-05-01T13:37:00Z</dcterms:created>
  <dcterms:modified xsi:type="dcterms:W3CDTF">2024-05-06T14:13:00Z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09b4ce2b-7643-4659-afbb-8585ae2a9861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2024-05-01T13:39:18Z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d4a84594-b1a1-481a-8e59-1bf21dcb09ee</vt:lpwstr>
  </property>
  <property fmtid="{D5CDD505-2E9C-101B-9397-08002B2CF9AE}" pid="14" name="MSIP_Label_20773ee6-353b-4fb9-a59d-0b94c8c67bea_ContentBits">
    <vt:lpwstr>0</vt:lpwstr>
  </property>
</Properties>
</file>