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EFFC8" w14:textId="77777777" w:rsidR="008B2CC1" w:rsidRPr="00F32187" w:rsidRDefault="0040540C" w:rsidP="00897816">
      <w:pPr>
        <w:pBdr>
          <w:bottom w:val="single" w:sz="4" w:space="11" w:color="auto"/>
        </w:pBdr>
        <w:spacing w:after="120"/>
        <w:jc w:val="right"/>
        <w:rPr>
          <w:lang w:val="fr-FR"/>
        </w:rPr>
      </w:pPr>
      <w:r w:rsidRPr="00F32187">
        <w:rPr>
          <w:noProof/>
          <w:lang w:val="fr-FR" w:eastAsia="fr-CH"/>
        </w:rPr>
        <w:drawing>
          <wp:inline distT="0" distB="0" distL="0" distR="0" wp14:anchorId="76EFB040" wp14:editId="644989EC">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6D276ADA" w14:textId="548A4647" w:rsidR="00B1090C" w:rsidRPr="00F32187" w:rsidRDefault="00897816" w:rsidP="0040540C">
      <w:pPr>
        <w:jc w:val="right"/>
        <w:rPr>
          <w:rFonts w:ascii="Arial Black" w:hAnsi="Arial Black"/>
          <w:caps/>
          <w:sz w:val="15"/>
          <w:lang w:val="fr-FR"/>
        </w:rPr>
      </w:pPr>
      <w:r w:rsidRPr="00F32187">
        <w:rPr>
          <w:rFonts w:ascii="Arial Black" w:hAnsi="Arial Black"/>
          <w:caps/>
          <w:sz w:val="15"/>
          <w:lang w:val="fr-FR"/>
        </w:rPr>
        <w:t>CDIP/3</w:t>
      </w:r>
      <w:r w:rsidR="000760CD" w:rsidRPr="00F32187">
        <w:rPr>
          <w:rFonts w:ascii="Arial Black" w:hAnsi="Arial Black"/>
          <w:caps/>
          <w:sz w:val="15"/>
          <w:lang w:val="fr-FR"/>
        </w:rPr>
        <w:t>1</w:t>
      </w:r>
      <w:r w:rsidRPr="00F32187">
        <w:rPr>
          <w:rFonts w:ascii="Arial Black" w:hAnsi="Arial Black"/>
          <w:caps/>
          <w:sz w:val="15"/>
          <w:lang w:val="fr-FR"/>
        </w:rPr>
        <w:t>/</w:t>
      </w:r>
      <w:bookmarkStart w:id="0" w:name="Code"/>
      <w:bookmarkEnd w:id="0"/>
      <w:r w:rsidR="00E045F1" w:rsidRPr="00F32187">
        <w:rPr>
          <w:rFonts w:ascii="Arial Black" w:hAnsi="Arial Black"/>
          <w:caps/>
          <w:sz w:val="15"/>
          <w:lang w:val="fr-FR"/>
        </w:rPr>
        <w:t>8</w:t>
      </w:r>
    </w:p>
    <w:p w14:paraId="1C3B2D2D" w14:textId="355FBA6E" w:rsidR="008B2CC1" w:rsidRPr="00F32187" w:rsidRDefault="00B1090C" w:rsidP="0040540C">
      <w:pPr>
        <w:jc w:val="right"/>
        <w:rPr>
          <w:rFonts w:ascii="Arial Black" w:hAnsi="Arial Black"/>
          <w:sz w:val="15"/>
          <w:szCs w:val="15"/>
          <w:lang w:val="fr-FR"/>
        </w:rPr>
      </w:pPr>
      <w:r w:rsidRPr="00F32187">
        <w:rPr>
          <w:rFonts w:ascii="Arial Black" w:hAnsi="Arial Black"/>
          <w:caps/>
          <w:sz w:val="15"/>
          <w:lang w:val="fr-FR"/>
        </w:rPr>
        <w:t>ORIGINAL</w:t>
      </w:r>
      <w:r w:rsidR="00535418" w:rsidRPr="00F32187">
        <w:rPr>
          <w:rFonts w:ascii="Arial Black" w:hAnsi="Arial Black"/>
          <w:caps/>
          <w:sz w:val="15"/>
          <w:lang w:val="fr-FR"/>
        </w:rPr>
        <w:t> :</w:t>
      </w:r>
      <w:r w:rsidR="002956DE" w:rsidRPr="00F32187">
        <w:rPr>
          <w:rFonts w:ascii="Arial Black" w:hAnsi="Arial Black"/>
          <w:caps/>
          <w:sz w:val="15"/>
          <w:lang w:val="fr-FR"/>
        </w:rPr>
        <w:t xml:space="preserve"> </w:t>
      </w:r>
      <w:bookmarkStart w:id="1" w:name="Original"/>
      <w:r w:rsidR="00E045F1" w:rsidRPr="00F32187">
        <w:rPr>
          <w:rFonts w:ascii="Arial Black" w:hAnsi="Arial Black"/>
          <w:caps/>
          <w:sz w:val="15"/>
          <w:szCs w:val="15"/>
          <w:lang w:val="fr-FR"/>
        </w:rPr>
        <w:t>anglais</w:t>
      </w:r>
    </w:p>
    <w:bookmarkEnd w:id="1"/>
    <w:p w14:paraId="2540D41E" w14:textId="25D90417" w:rsidR="008B2CC1" w:rsidRPr="00F32187" w:rsidRDefault="00B1090C" w:rsidP="00B1090C">
      <w:pPr>
        <w:spacing w:after="1200"/>
        <w:jc w:val="right"/>
        <w:rPr>
          <w:rFonts w:ascii="Arial Black" w:hAnsi="Arial Black"/>
          <w:sz w:val="15"/>
          <w:szCs w:val="15"/>
          <w:lang w:val="fr-FR"/>
        </w:rPr>
      </w:pPr>
      <w:r w:rsidRPr="00F32187">
        <w:rPr>
          <w:rFonts w:ascii="Arial Black" w:hAnsi="Arial Black"/>
          <w:caps/>
          <w:sz w:val="15"/>
          <w:szCs w:val="15"/>
          <w:lang w:val="fr-FR"/>
        </w:rPr>
        <w:t>DATE</w:t>
      </w:r>
      <w:r w:rsidR="00535418" w:rsidRPr="00F32187">
        <w:rPr>
          <w:rFonts w:ascii="Arial Black" w:hAnsi="Arial Black"/>
          <w:caps/>
          <w:sz w:val="15"/>
          <w:szCs w:val="15"/>
          <w:lang w:val="fr-FR"/>
        </w:rPr>
        <w:t> :</w:t>
      </w:r>
      <w:r w:rsidR="002956DE" w:rsidRPr="00F32187">
        <w:rPr>
          <w:rFonts w:ascii="Arial Black" w:hAnsi="Arial Black"/>
          <w:caps/>
          <w:sz w:val="15"/>
          <w:szCs w:val="15"/>
          <w:lang w:val="fr-FR"/>
        </w:rPr>
        <w:t xml:space="preserve"> </w:t>
      </w:r>
      <w:bookmarkStart w:id="2" w:name="Date"/>
      <w:r w:rsidR="00E045F1" w:rsidRPr="00F32187">
        <w:rPr>
          <w:rFonts w:ascii="Arial Black" w:hAnsi="Arial Black"/>
          <w:caps/>
          <w:sz w:val="15"/>
          <w:szCs w:val="15"/>
          <w:lang w:val="fr-FR"/>
        </w:rPr>
        <w:t>11 septembre 2023</w:t>
      </w:r>
    </w:p>
    <w:bookmarkEnd w:id="2"/>
    <w:p w14:paraId="4316424A" w14:textId="77777777" w:rsidR="003845C1" w:rsidRPr="00F32187" w:rsidRDefault="001060FF" w:rsidP="00AB3257">
      <w:pPr>
        <w:pStyle w:val="Title"/>
      </w:pPr>
      <w:r w:rsidRPr="00F32187">
        <w:t>Comité d</w:t>
      </w:r>
      <w:r w:rsidR="00897816" w:rsidRPr="00F32187">
        <w:t>u développement et de la propriété intellectuelle</w:t>
      </w:r>
      <w:r w:rsidR="003637BB" w:rsidRPr="00F32187">
        <w:t> </w:t>
      </w:r>
      <w:r w:rsidR="00897816" w:rsidRPr="00F32187">
        <w:t>(CDIP)</w:t>
      </w:r>
    </w:p>
    <w:p w14:paraId="47F9DDFC" w14:textId="0CEA9C4B" w:rsidR="00FE19E9" w:rsidRPr="00F32187" w:rsidRDefault="000760CD" w:rsidP="00FE19E9">
      <w:pPr>
        <w:outlineLvl w:val="1"/>
        <w:rPr>
          <w:b/>
          <w:sz w:val="24"/>
          <w:szCs w:val="24"/>
          <w:lang w:val="fr-FR"/>
        </w:rPr>
      </w:pPr>
      <w:r w:rsidRPr="00F32187">
        <w:rPr>
          <w:b/>
          <w:sz w:val="24"/>
          <w:szCs w:val="24"/>
          <w:lang w:val="fr-FR"/>
        </w:rPr>
        <w:t>Trente</w:t>
      </w:r>
      <w:r w:rsidR="00535418" w:rsidRPr="00F32187">
        <w:rPr>
          <w:b/>
          <w:sz w:val="24"/>
          <w:szCs w:val="24"/>
          <w:lang w:val="fr-FR"/>
        </w:rPr>
        <w:t> et unième session</w:t>
      </w:r>
    </w:p>
    <w:p w14:paraId="57C5E2DD" w14:textId="43DFC9C3" w:rsidR="008B2CC1" w:rsidRPr="00F32187" w:rsidRDefault="000760CD" w:rsidP="001060FF">
      <w:pPr>
        <w:spacing w:after="720"/>
        <w:outlineLvl w:val="1"/>
        <w:rPr>
          <w:b/>
          <w:sz w:val="24"/>
          <w:szCs w:val="24"/>
          <w:lang w:val="fr-FR"/>
        </w:rPr>
      </w:pPr>
      <w:r w:rsidRPr="00F32187">
        <w:rPr>
          <w:b/>
          <w:sz w:val="24"/>
          <w:szCs w:val="24"/>
          <w:lang w:val="fr-FR"/>
        </w:rPr>
        <w:t>Genève, 27</w:t>
      </w:r>
      <w:r w:rsidR="003637BB" w:rsidRPr="00F32187">
        <w:rPr>
          <w:b/>
          <w:sz w:val="24"/>
          <w:szCs w:val="24"/>
          <w:lang w:val="fr-FR"/>
        </w:rPr>
        <w:t> </w:t>
      </w:r>
      <w:r w:rsidRPr="00F32187">
        <w:rPr>
          <w:b/>
          <w:sz w:val="24"/>
          <w:szCs w:val="24"/>
          <w:lang w:val="fr-FR"/>
        </w:rPr>
        <w:t>novembre –</w:t>
      </w:r>
      <w:r w:rsidR="00535418" w:rsidRPr="00F32187">
        <w:rPr>
          <w:b/>
          <w:sz w:val="24"/>
          <w:szCs w:val="24"/>
          <w:lang w:val="fr-FR"/>
        </w:rPr>
        <w:t xml:space="preserve"> 1</w:t>
      </w:r>
      <w:r w:rsidR="00535418" w:rsidRPr="00F32187">
        <w:rPr>
          <w:b/>
          <w:sz w:val="24"/>
          <w:szCs w:val="24"/>
          <w:vertAlign w:val="superscript"/>
          <w:lang w:val="fr-FR"/>
        </w:rPr>
        <w:t>er</w:t>
      </w:r>
      <w:r w:rsidR="00535418" w:rsidRPr="00F32187">
        <w:rPr>
          <w:b/>
          <w:sz w:val="24"/>
          <w:szCs w:val="24"/>
          <w:lang w:val="fr-FR"/>
        </w:rPr>
        <w:t> </w:t>
      </w:r>
      <w:r w:rsidRPr="00F32187">
        <w:rPr>
          <w:b/>
          <w:sz w:val="24"/>
          <w:szCs w:val="24"/>
          <w:lang w:val="fr-FR"/>
        </w:rPr>
        <w:t>décembre</w:t>
      </w:r>
      <w:r w:rsidR="003637BB" w:rsidRPr="00F32187">
        <w:rPr>
          <w:b/>
          <w:sz w:val="24"/>
          <w:szCs w:val="24"/>
          <w:lang w:val="fr-FR"/>
        </w:rPr>
        <w:t> </w:t>
      </w:r>
      <w:r w:rsidR="00897816" w:rsidRPr="00F32187">
        <w:rPr>
          <w:b/>
          <w:sz w:val="24"/>
          <w:szCs w:val="24"/>
          <w:lang w:val="fr-FR"/>
        </w:rPr>
        <w:t>2023</w:t>
      </w:r>
    </w:p>
    <w:p w14:paraId="5D9D1BB7" w14:textId="0231B347" w:rsidR="008B2CC1" w:rsidRPr="00F32187" w:rsidRDefault="005A1200" w:rsidP="00E045F1">
      <w:pPr>
        <w:spacing w:after="360"/>
        <w:rPr>
          <w:caps/>
          <w:sz w:val="24"/>
          <w:lang w:val="fr-FR"/>
        </w:rPr>
      </w:pPr>
      <w:bookmarkStart w:id="3" w:name="TitleOfDoc"/>
      <w:r>
        <w:rPr>
          <w:caps/>
          <w:sz w:val="24"/>
          <w:lang w:val="fr-FR"/>
        </w:rPr>
        <w:t>Rapport d’é</w:t>
      </w:r>
      <w:r w:rsidR="00E045F1" w:rsidRPr="00F32187">
        <w:rPr>
          <w:caps/>
          <w:sz w:val="24"/>
          <w:lang w:val="fr-FR"/>
        </w:rPr>
        <w:t>valuation de l</w:t>
      </w:r>
      <w:r w:rsidR="00535418" w:rsidRPr="00F32187">
        <w:rPr>
          <w:caps/>
          <w:sz w:val="24"/>
          <w:lang w:val="fr-FR"/>
        </w:rPr>
        <w:t>’</w:t>
      </w:r>
      <w:r w:rsidR="00E045F1" w:rsidRPr="00F32187">
        <w:rPr>
          <w:caps/>
          <w:sz w:val="24"/>
          <w:lang w:val="fr-FR"/>
        </w:rPr>
        <w:t>impact du projet relatif à la propriété intellectuelle et au développement socioéconomique</w:t>
      </w:r>
    </w:p>
    <w:p w14:paraId="6F3D16BE" w14:textId="0B090046" w:rsidR="008B2CC1" w:rsidRPr="00F32187" w:rsidRDefault="00E045F1" w:rsidP="00020C7E">
      <w:pPr>
        <w:spacing w:after="960"/>
        <w:rPr>
          <w:i/>
          <w:lang w:val="fr-FR"/>
        </w:rPr>
      </w:pPr>
      <w:bookmarkStart w:id="4" w:name="Prepared"/>
      <w:bookmarkEnd w:id="4"/>
      <w:bookmarkEnd w:id="3"/>
      <w:r w:rsidRPr="00F32187">
        <w:rPr>
          <w:i/>
          <w:iCs/>
          <w:lang w:val="fr-FR"/>
        </w:rPr>
        <w:t>Document établi par M.</w:t>
      </w:r>
      <w:r w:rsidR="00B37BEF" w:rsidRPr="00F32187">
        <w:rPr>
          <w:i/>
          <w:iCs/>
          <w:lang w:val="fr-FR"/>
        </w:rPr>
        <w:t> </w:t>
      </w:r>
      <w:r w:rsidRPr="00F32187">
        <w:rPr>
          <w:i/>
          <w:iCs/>
          <w:lang w:val="fr-FR"/>
        </w:rPr>
        <w:t>Keith Child, spécialiste de l</w:t>
      </w:r>
      <w:r w:rsidR="00535418" w:rsidRPr="00F32187">
        <w:rPr>
          <w:i/>
          <w:iCs/>
          <w:lang w:val="fr-FR"/>
        </w:rPr>
        <w:t>’</w:t>
      </w:r>
      <w:r w:rsidRPr="00F32187">
        <w:rPr>
          <w:i/>
          <w:iCs/>
          <w:lang w:val="fr-FR"/>
        </w:rPr>
        <w:t>évaluation et du suivi de l</w:t>
      </w:r>
      <w:r w:rsidR="00535418" w:rsidRPr="00F32187">
        <w:rPr>
          <w:i/>
          <w:iCs/>
          <w:lang w:val="fr-FR"/>
        </w:rPr>
        <w:t>’</w:t>
      </w:r>
      <w:r w:rsidRPr="00F32187">
        <w:rPr>
          <w:i/>
          <w:iCs/>
          <w:lang w:val="fr-FR"/>
        </w:rPr>
        <w:t>impact</w:t>
      </w:r>
    </w:p>
    <w:p w14:paraId="7E0FF7D0" w14:textId="71DE0948" w:rsidR="00E045F1" w:rsidRPr="00F32187" w:rsidRDefault="00E045F1" w:rsidP="00A508D4">
      <w:pPr>
        <w:pStyle w:val="ONUMFS"/>
        <w:rPr>
          <w:lang w:val="fr-FR"/>
        </w:rPr>
      </w:pPr>
      <w:r w:rsidRPr="00F32187">
        <w:rPr>
          <w:lang w:val="fr-FR"/>
        </w:rPr>
        <w:t>Durant la vingt</w:t>
      </w:r>
      <w:r w:rsidR="00444006">
        <w:rPr>
          <w:lang w:val="fr-FR"/>
        </w:rPr>
        <w:noBreakHyphen/>
      </w:r>
      <w:r w:rsidRPr="00F32187">
        <w:rPr>
          <w:lang w:val="fr-FR"/>
        </w:rPr>
        <w:t>neuv</w:t>
      </w:r>
      <w:r w:rsidR="00535418" w:rsidRPr="00F32187">
        <w:rPr>
          <w:lang w:val="fr-FR"/>
        </w:rPr>
        <w:t>ième session du CDI</w:t>
      </w:r>
      <w:r w:rsidRPr="00F32187">
        <w:rPr>
          <w:lang w:val="fr-FR"/>
        </w:rPr>
        <w:t>P, dans le cadre de l</w:t>
      </w:r>
      <w:r w:rsidR="00535418" w:rsidRPr="00F32187">
        <w:rPr>
          <w:lang w:val="fr-FR"/>
        </w:rPr>
        <w:t>’</w:t>
      </w:r>
      <w:r w:rsidRPr="00F32187">
        <w:rPr>
          <w:lang w:val="fr-FR"/>
        </w:rPr>
        <w:t>examen du document intitulé “Mise en œuvre des recommandations de l</w:t>
      </w:r>
      <w:r w:rsidR="00535418" w:rsidRPr="00F32187">
        <w:rPr>
          <w:lang w:val="fr-FR"/>
        </w:rPr>
        <w:t>’</w:t>
      </w:r>
      <w:r w:rsidRPr="00F32187">
        <w:rPr>
          <w:lang w:val="fr-FR"/>
        </w:rPr>
        <w:t>étude indépendante qui ont été adoptées – Proposition mise à jour du Secrétariat et contributions des États membres” (CDIP/29/6), le comité a adopté un certain nombre de stratégies de mise en œuvre de ces recommandations (paragraphe 6.2 du résumé présenté par le président), dans lesquelles il était notamment demandé au Secrétariat de procéder chaque année à une évaluation d</w:t>
      </w:r>
      <w:r w:rsidR="00535418" w:rsidRPr="00F32187">
        <w:rPr>
          <w:lang w:val="fr-FR"/>
        </w:rPr>
        <w:t>’</w:t>
      </w:r>
      <w:r w:rsidRPr="00F32187">
        <w:rPr>
          <w:lang w:val="fr-FR"/>
        </w:rPr>
        <w:t>impact d</w:t>
      </w:r>
      <w:r w:rsidR="00535418" w:rsidRPr="00F32187">
        <w:rPr>
          <w:lang w:val="fr-FR"/>
        </w:rPr>
        <w:t>’</w:t>
      </w:r>
      <w:r w:rsidRPr="00F32187">
        <w:rPr>
          <w:lang w:val="fr-FR"/>
        </w:rPr>
        <w:t>un projet achevé du Plan d</w:t>
      </w:r>
      <w:r w:rsidR="00535418" w:rsidRPr="00F32187">
        <w:rPr>
          <w:lang w:val="fr-FR"/>
        </w:rPr>
        <w:t>’</w:t>
      </w:r>
      <w:r w:rsidRPr="00F32187">
        <w:rPr>
          <w:lang w:val="fr-FR"/>
        </w:rPr>
        <w:t>action pour le développement.</w:t>
      </w:r>
    </w:p>
    <w:p w14:paraId="16DA6F2D" w14:textId="0177E65B" w:rsidR="00E045F1" w:rsidRPr="00F32187" w:rsidRDefault="00E045F1" w:rsidP="00A508D4">
      <w:pPr>
        <w:pStyle w:val="ONUMFS"/>
        <w:rPr>
          <w:lang w:val="fr-FR"/>
        </w:rPr>
      </w:pPr>
      <w:r w:rsidRPr="00F32187">
        <w:rPr>
          <w:color w:val="000000"/>
          <w:szCs w:val="22"/>
          <w:lang w:val="fr-FR"/>
        </w:rPr>
        <w:t>L</w:t>
      </w:r>
      <w:r w:rsidR="00535418" w:rsidRPr="00F32187">
        <w:rPr>
          <w:color w:val="000000"/>
          <w:szCs w:val="22"/>
          <w:lang w:val="fr-FR"/>
        </w:rPr>
        <w:t>’</w:t>
      </w:r>
      <w:r w:rsidRPr="00F32187">
        <w:rPr>
          <w:color w:val="000000"/>
          <w:szCs w:val="22"/>
          <w:lang w:val="fr-FR"/>
        </w:rPr>
        <w:t>annexe du présent document contient un rapport d</w:t>
      </w:r>
      <w:r w:rsidR="00535418" w:rsidRPr="00F32187">
        <w:rPr>
          <w:color w:val="000000"/>
          <w:szCs w:val="22"/>
          <w:lang w:val="fr-FR"/>
        </w:rPr>
        <w:t>’</w:t>
      </w:r>
      <w:r w:rsidRPr="00F32187">
        <w:rPr>
          <w:color w:val="000000"/>
          <w:szCs w:val="22"/>
          <w:lang w:val="fr-FR"/>
        </w:rPr>
        <w:t>évaluation d</w:t>
      </w:r>
      <w:r w:rsidR="00535418" w:rsidRPr="00F32187">
        <w:rPr>
          <w:color w:val="000000"/>
          <w:szCs w:val="22"/>
          <w:lang w:val="fr-FR"/>
        </w:rPr>
        <w:t>’</w:t>
      </w:r>
      <w:r w:rsidRPr="00F32187">
        <w:rPr>
          <w:color w:val="000000"/>
          <w:szCs w:val="22"/>
          <w:lang w:val="fr-FR"/>
        </w:rPr>
        <w:t>impact indépendante externe du projet relevant du Plan d</w:t>
      </w:r>
      <w:r w:rsidR="00535418" w:rsidRPr="00F32187">
        <w:rPr>
          <w:color w:val="000000"/>
          <w:szCs w:val="22"/>
          <w:lang w:val="fr-FR"/>
        </w:rPr>
        <w:t>’</w:t>
      </w:r>
      <w:r w:rsidRPr="00F32187">
        <w:rPr>
          <w:color w:val="000000"/>
          <w:szCs w:val="22"/>
          <w:lang w:val="fr-FR"/>
        </w:rPr>
        <w:t>action pour le développement relatif à la propriété intellectuelle et au développement socioéconomique (phases I et</w:t>
      </w:r>
      <w:r w:rsidR="00AB3257">
        <w:rPr>
          <w:color w:val="000000"/>
          <w:szCs w:val="22"/>
          <w:lang w:val="fr-FR"/>
        </w:rPr>
        <w:t> </w:t>
      </w:r>
      <w:r w:rsidRPr="00F32187">
        <w:rPr>
          <w:color w:val="000000"/>
          <w:szCs w:val="22"/>
          <w:lang w:val="fr-FR"/>
        </w:rPr>
        <w:t>II), établi par M.</w:t>
      </w:r>
      <w:r w:rsidR="00B37BEF" w:rsidRPr="00F32187">
        <w:rPr>
          <w:color w:val="000000"/>
          <w:szCs w:val="22"/>
          <w:lang w:val="fr-FR"/>
        </w:rPr>
        <w:t> </w:t>
      </w:r>
      <w:r w:rsidRPr="00F32187">
        <w:rPr>
          <w:color w:val="000000"/>
          <w:szCs w:val="22"/>
          <w:lang w:val="fr-FR"/>
        </w:rPr>
        <w:t>Keith Child (Québec, Canada), spécialiste de l</w:t>
      </w:r>
      <w:r w:rsidR="00535418" w:rsidRPr="00F32187">
        <w:rPr>
          <w:color w:val="000000"/>
          <w:szCs w:val="22"/>
          <w:lang w:val="fr-FR"/>
        </w:rPr>
        <w:t>’</w:t>
      </w:r>
      <w:r w:rsidRPr="00F32187">
        <w:rPr>
          <w:color w:val="000000"/>
          <w:szCs w:val="22"/>
          <w:lang w:val="fr-FR"/>
        </w:rPr>
        <w:t>évaluation et du suivi de l</w:t>
      </w:r>
      <w:r w:rsidR="00535418" w:rsidRPr="00F32187">
        <w:rPr>
          <w:color w:val="000000"/>
          <w:szCs w:val="22"/>
          <w:lang w:val="fr-FR"/>
        </w:rPr>
        <w:t>’</w:t>
      </w:r>
      <w:r w:rsidRPr="00F32187">
        <w:rPr>
          <w:color w:val="000000"/>
          <w:szCs w:val="22"/>
          <w:lang w:val="fr-FR"/>
        </w:rPr>
        <w:t>impact</w:t>
      </w:r>
      <w:r w:rsidRPr="00F32187">
        <w:rPr>
          <w:szCs w:val="22"/>
          <w:lang w:val="fr-FR"/>
        </w:rPr>
        <w:t>.</w:t>
      </w:r>
    </w:p>
    <w:p w14:paraId="5AD5800E" w14:textId="356AC7D2" w:rsidR="00E045F1" w:rsidRPr="00F32187" w:rsidRDefault="00E045F1" w:rsidP="00A508D4">
      <w:pPr>
        <w:pStyle w:val="ONUMFS"/>
        <w:ind w:left="5533"/>
        <w:rPr>
          <w:i/>
          <w:lang w:val="fr-FR"/>
        </w:rPr>
      </w:pPr>
      <w:r w:rsidRPr="00F32187">
        <w:rPr>
          <w:i/>
          <w:lang w:val="fr-FR"/>
        </w:rPr>
        <w:t xml:space="preserve">Le </w:t>
      </w:r>
      <w:r w:rsidR="00B37BEF" w:rsidRPr="00F32187">
        <w:rPr>
          <w:i/>
          <w:lang w:val="fr-FR"/>
        </w:rPr>
        <w:t>comité</w:t>
      </w:r>
      <w:r w:rsidRPr="00F32187">
        <w:rPr>
          <w:i/>
          <w:lang w:val="fr-FR"/>
        </w:rPr>
        <w:t xml:space="preserve"> est invité à examiner les informations contenues dans l</w:t>
      </w:r>
      <w:r w:rsidR="00535418" w:rsidRPr="00F32187">
        <w:rPr>
          <w:i/>
          <w:lang w:val="fr-FR"/>
        </w:rPr>
        <w:t>’</w:t>
      </w:r>
      <w:r w:rsidRPr="00F32187">
        <w:rPr>
          <w:i/>
          <w:lang w:val="fr-FR"/>
        </w:rPr>
        <w:t>annexe du présent document.</w:t>
      </w:r>
    </w:p>
    <w:p w14:paraId="4B9E83EF" w14:textId="2393F0B1" w:rsidR="00E045F1" w:rsidRPr="00F32187" w:rsidRDefault="00E045F1" w:rsidP="00A508D4">
      <w:pPr>
        <w:pStyle w:val="Endofdocument-Annex"/>
      </w:pPr>
      <w:r w:rsidRPr="00F32187">
        <w:t>[L</w:t>
      </w:r>
      <w:r w:rsidR="00535418" w:rsidRPr="00F32187">
        <w:t>’</w:t>
      </w:r>
      <w:r w:rsidRPr="00F32187">
        <w:t>annexe suit]</w:t>
      </w:r>
      <w:r w:rsidRPr="00F32187">
        <w:br w:type="page"/>
      </w:r>
    </w:p>
    <w:p w14:paraId="1B38426A" w14:textId="77777777" w:rsidR="00E045F1" w:rsidRPr="00F32187" w:rsidRDefault="00E045F1" w:rsidP="00E045F1">
      <w:pPr>
        <w:spacing w:after="960"/>
        <w:ind w:left="4963" w:firstLine="567"/>
        <w:rPr>
          <w:lang w:val="fr-FR"/>
        </w:rPr>
        <w:sectPr w:rsidR="00E045F1" w:rsidRPr="00F32187" w:rsidSect="00E045F1">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pPr>
    </w:p>
    <w:p w14:paraId="341AC6A5" w14:textId="2CF9FC17" w:rsidR="00AB3257" w:rsidRDefault="00AB3257" w:rsidP="00AB3257">
      <w:pPr>
        <w:pStyle w:val="TOC1"/>
        <w:rPr>
          <w:rFonts w:asciiTheme="minorHAnsi" w:eastAsiaTheme="minorEastAsia" w:hAnsiTheme="minorHAnsi" w:cstheme="minorBidi"/>
          <w:noProof/>
          <w:szCs w:val="22"/>
          <w:lang w:val="fr-FR" w:eastAsia="fr-FR"/>
        </w:rPr>
      </w:pPr>
      <w:r>
        <w:rPr>
          <w:bCs/>
          <w:lang w:val="fr-FR"/>
        </w:rPr>
        <w:lastRenderedPageBreak/>
        <w:fldChar w:fldCharType="begin"/>
      </w:r>
      <w:r>
        <w:rPr>
          <w:bCs/>
          <w:lang w:val="fr-FR"/>
        </w:rPr>
        <w:instrText xml:space="preserve"> TOC \o "2-3" \h \z \t "Heading 1;1" </w:instrText>
      </w:r>
      <w:r>
        <w:rPr>
          <w:bCs/>
          <w:lang w:val="fr-FR"/>
        </w:rPr>
        <w:fldChar w:fldCharType="separate"/>
      </w:r>
      <w:hyperlink w:anchor="_Toc146025093" w:history="1">
        <w:r w:rsidRPr="00C07DBF">
          <w:rPr>
            <w:rStyle w:val="Hyperlink"/>
            <w:noProof/>
          </w:rPr>
          <w:t>Liste des sigles</w:t>
        </w:r>
        <w:r>
          <w:rPr>
            <w:noProof/>
            <w:webHidden/>
          </w:rPr>
          <w:tab/>
        </w:r>
        <w:r>
          <w:rPr>
            <w:noProof/>
            <w:webHidden/>
          </w:rPr>
          <w:fldChar w:fldCharType="begin"/>
        </w:r>
        <w:r>
          <w:rPr>
            <w:noProof/>
            <w:webHidden/>
          </w:rPr>
          <w:instrText xml:space="preserve"> PAGEREF _Toc146025093 \h </w:instrText>
        </w:r>
        <w:r>
          <w:rPr>
            <w:noProof/>
            <w:webHidden/>
          </w:rPr>
        </w:r>
        <w:r>
          <w:rPr>
            <w:noProof/>
            <w:webHidden/>
          </w:rPr>
          <w:fldChar w:fldCharType="separate"/>
        </w:r>
        <w:r w:rsidR="0094636A">
          <w:rPr>
            <w:noProof/>
            <w:webHidden/>
          </w:rPr>
          <w:t>2</w:t>
        </w:r>
        <w:r>
          <w:rPr>
            <w:noProof/>
            <w:webHidden/>
          </w:rPr>
          <w:fldChar w:fldCharType="end"/>
        </w:r>
      </w:hyperlink>
    </w:p>
    <w:p w14:paraId="0243787E" w14:textId="4D783934" w:rsidR="00AB3257" w:rsidRDefault="00B731CD" w:rsidP="00AB3257">
      <w:pPr>
        <w:pStyle w:val="TOC1"/>
        <w:rPr>
          <w:rFonts w:asciiTheme="minorHAnsi" w:eastAsiaTheme="minorEastAsia" w:hAnsiTheme="minorHAnsi" w:cstheme="minorBidi"/>
          <w:noProof/>
          <w:szCs w:val="22"/>
          <w:lang w:val="fr-FR" w:eastAsia="fr-FR"/>
        </w:rPr>
      </w:pPr>
      <w:hyperlink w:anchor="_Toc146025094" w:history="1">
        <w:r w:rsidR="00AB3257" w:rsidRPr="00C07DBF">
          <w:rPr>
            <w:rStyle w:val="Hyperlink"/>
            <w:noProof/>
          </w:rPr>
          <w:t>1.</w:t>
        </w:r>
        <w:r w:rsidR="00AB3257">
          <w:rPr>
            <w:rFonts w:asciiTheme="minorHAnsi" w:eastAsiaTheme="minorEastAsia" w:hAnsiTheme="minorHAnsi" w:cstheme="minorBidi"/>
            <w:noProof/>
            <w:szCs w:val="22"/>
            <w:lang w:val="fr-FR" w:eastAsia="fr-FR"/>
          </w:rPr>
          <w:tab/>
        </w:r>
        <w:r w:rsidR="00AB3257" w:rsidRPr="00C07DBF">
          <w:rPr>
            <w:rStyle w:val="Hyperlink"/>
            <w:noProof/>
          </w:rPr>
          <w:t>Résumé</w:t>
        </w:r>
        <w:r w:rsidR="00AB3257">
          <w:rPr>
            <w:noProof/>
            <w:webHidden/>
          </w:rPr>
          <w:tab/>
        </w:r>
        <w:r w:rsidR="00AB3257">
          <w:rPr>
            <w:noProof/>
            <w:webHidden/>
          </w:rPr>
          <w:fldChar w:fldCharType="begin"/>
        </w:r>
        <w:r w:rsidR="00AB3257">
          <w:rPr>
            <w:noProof/>
            <w:webHidden/>
          </w:rPr>
          <w:instrText xml:space="preserve"> PAGEREF _Toc146025094 \h </w:instrText>
        </w:r>
        <w:r w:rsidR="00AB3257">
          <w:rPr>
            <w:noProof/>
            <w:webHidden/>
          </w:rPr>
        </w:r>
        <w:r w:rsidR="00AB3257">
          <w:rPr>
            <w:noProof/>
            <w:webHidden/>
          </w:rPr>
          <w:fldChar w:fldCharType="separate"/>
        </w:r>
        <w:r w:rsidR="0094636A">
          <w:rPr>
            <w:noProof/>
            <w:webHidden/>
          </w:rPr>
          <w:t>3</w:t>
        </w:r>
        <w:r w:rsidR="00AB3257">
          <w:rPr>
            <w:noProof/>
            <w:webHidden/>
          </w:rPr>
          <w:fldChar w:fldCharType="end"/>
        </w:r>
      </w:hyperlink>
    </w:p>
    <w:p w14:paraId="7172375D" w14:textId="715D26E3" w:rsidR="00AB3257" w:rsidRDefault="00B731CD" w:rsidP="00AB3257">
      <w:pPr>
        <w:pStyle w:val="TOC2"/>
        <w:rPr>
          <w:rFonts w:asciiTheme="minorHAnsi" w:eastAsiaTheme="minorEastAsia" w:hAnsiTheme="minorHAnsi" w:cstheme="minorBidi"/>
          <w:noProof/>
          <w:szCs w:val="22"/>
          <w:lang w:val="fr-FR" w:eastAsia="fr-FR"/>
        </w:rPr>
      </w:pPr>
      <w:hyperlink w:anchor="_Toc146025095" w:history="1">
        <w:r w:rsidR="00AB3257" w:rsidRPr="00C07DBF">
          <w:rPr>
            <w:rStyle w:val="Hyperlink"/>
            <w:noProof/>
          </w:rPr>
          <w:t>A)</w:t>
        </w:r>
        <w:r w:rsidR="00AB3257">
          <w:rPr>
            <w:rFonts w:asciiTheme="minorHAnsi" w:eastAsiaTheme="minorEastAsia" w:hAnsiTheme="minorHAnsi" w:cstheme="minorBidi"/>
            <w:noProof/>
            <w:szCs w:val="22"/>
            <w:lang w:val="fr-FR" w:eastAsia="fr-FR"/>
          </w:rPr>
          <w:tab/>
        </w:r>
        <w:r w:rsidR="00AB3257" w:rsidRPr="00C07DBF">
          <w:rPr>
            <w:rStyle w:val="Hyperlink"/>
            <w:noProof/>
          </w:rPr>
          <w:t>Conclusions</w:t>
        </w:r>
        <w:r w:rsidR="00AB3257">
          <w:rPr>
            <w:noProof/>
            <w:webHidden/>
          </w:rPr>
          <w:tab/>
        </w:r>
        <w:r w:rsidR="00AB3257">
          <w:rPr>
            <w:noProof/>
            <w:webHidden/>
          </w:rPr>
          <w:fldChar w:fldCharType="begin"/>
        </w:r>
        <w:r w:rsidR="00AB3257">
          <w:rPr>
            <w:noProof/>
            <w:webHidden/>
          </w:rPr>
          <w:instrText xml:space="preserve"> PAGEREF _Toc146025095 \h </w:instrText>
        </w:r>
        <w:r w:rsidR="00AB3257">
          <w:rPr>
            <w:noProof/>
            <w:webHidden/>
          </w:rPr>
        </w:r>
        <w:r w:rsidR="00AB3257">
          <w:rPr>
            <w:noProof/>
            <w:webHidden/>
          </w:rPr>
          <w:fldChar w:fldCharType="separate"/>
        </w:r>
        <w:r w:rsidR="0094636A">
          <w:rPr>
            <w:noProof/>
            <w:webHidden/>
          </w:rPr>
          <w:t>3</w:t>
        </w:r>
        <w:r w:rsidR="00AB3257">
          <w:rPr>
            <w:noProof/>
            <w:webHidden/>
          </w:rPr>
          <w:fldChar w:fldCharType="end"/>
        </w:r>
      </w:hyperlink>
    </w:p>
    <w:p w14:paraId="45C2D077" w14:textId="0B7706C0" w:rsidR="00AB3257" w:rsidRDefault="00B731CD" w:rsidP="00AB3257">
      <w:pPr>
        <w:pStyle w:val="TOC2"/>
        <w:rPr>
          <w:rFonts w:asciiTheme="minorHAnsi" w:eastAsiaTheme="minorEastAsia" w:hAnsiTheme="minorHAnsi" w:cstheme="minorBidi"/>
          <w:noProof/>
          <w:szCs w:val="22"/>
          <w:lang w:val="fr-FR" w:eastAsia="fr-FR"/>
        </w:rPr>
      </w:pPr>
      <w:hyperlink w:anchor="_Toc146025096" w:history="1">
        <w:r w:rsidR="00AB3257" w:rsidRPr="00C07DBF">
          <w:rPr>
            <w:rStyle w:val="Hyperlink"/>
            <w:noProof/>
          </w:rPr>
          <w:t>B)</w:t>
        </w:r>
        <w:r w:rsidR="00AB3257">
          <w:rPr>
            <w:rFonts w:asciiTheme="minorHAnsi" w:eastAsiaTheme="minorEastAsia" w:hAnsiTheme="minorHAnsi" w:cstheme="minorBidi"/>
            <w:noProof/>
            <w:szCs w:val="22"/>
            <w:lang w:val="fr-FR" w:eastAsia="fr-FR"/>
          </w:rPr>
          <w:tab/>
        </w:r>
        <w:r w:rsidR="00AB3257" w:rsidRPr="00C07DBF">
          <w:rPr>
            <w:rStyle w:val="Hyperlink"/>
            <w:noProof/>
          </w:rPr>
          <w:t>Recommandations</w:t>
        </w:r>
        <w:r w:rsidR="00AB3257">
          <w:rPr>
            <w:noProof/>
            <w:webHidden/>
          </w:rPr>
          <w:tab/>
        </w:r>
        <w:r w:rsidR="00AB3257">
          <w:rPr>
            <w:noProof/>
            <w:webHidden/>
          </w:rPr>
          <w:fldChar w:fldCharType="begin"/>
        </w:r>
        <w:r w:rsidR="00AB3257">
          <w:rPr>
            <w:noProof/>
            <w:webHidden/>
          </w:rPr>
          <w:instrText xml:space="preserve"> PAGEREF _Toc146025096 \h </w:instrText>
        </w:r>
        <w:r w:rsidR="00AB3257">
          <w:rPr>
            <w:noProof/>
            <w:webHidden/>
          </w:rPr>
        </w:r>
        <w:r w:rsidR="00AB3257">
          <w:rPr>
            <w:noProof/>
            <w:webHidden/>
          </w:rPr>
          <w:fldChar w:fldCharType="separate"/>
        </w:r>
        <w:r w:rsidR="0094636A">
          <w:rPr>
            <w:noProof/>
            <w:webHidden/>
          </w:rPr>
          <w:t>5</w:t>
        </w:r>
        <w:r w:rsidR="00AB3257">
          <w:rPr>
            <w:noProof/>
            <w:webHidden/>
          </w:rPr>
          <w:fldChar w:fldCharType="end"/>
        </w:r>
      </w:hyperlink>
    </w:p>
    <w:p w14:paraId="5DC4425D" w14:textId="42D13D73" w:rsidR="00AB3257" w:rsidRDefault="00B731CD" w:rsidP="00AB3257">
      <w:pPr>
        <w:pStyle w:val="TOC1"/>
        <w:rPr>
          <w:rFonts w:asciiTheme="minorHAnsi" w:eastAsiaTheme="minorEastAsia" w:hAnsiTheme="minorHAnsi" w:cstheme="minorBidi"/>
          <w:noProof/>
          <w:szCs w:val="22"/>
          <w:lang w:val="fr-FR" w:eastAsia="fr-FR"/>
        </w:rPr>
      </w:pPr>
      <w:hyperlink w:anchor="_Toc146025097" w:history="1">
        <w:r w:rsidR="00AB3257" w:rsidRPr="00C07DBF">
          <w:rPr>
            <w:rStyle w:val="Hyperlink"/>
            <w:noProof/>
          </w:rPr>
          <w:t>2.</w:t>
        </w:r>
        <w:r w:rsidR="00AB3257">
          <w:rPr>
            <w:rFonts w:asciiTheme="minorHAnsi" w:eastAsiaTheme="minorEastAsia" w:hAnsiTheme="minorHAnsi" w:cstheme="minorBidi"/>
            <w:noProof/>
            <w:szCs w:val="22"/>
            <w:lang w:val="fr-FR" w:eastAsia="fr-FR"/>
          </w:rPr>
          <w:tab/>
        </w:r>
        <w:r w:rsidR="00AB3257" w:rsidRPr="00C07DBF">
          <w:rPr>
            <w:rStyle w:val="Hyperlink"/>
            <w:noProof/>
          </w:rPr>
          <w:t>INTRODUCTION</w:t>
        </w:r>
        <w:r w:rsidR="00AB3257">
          <w:rPr>
            <w:noProof/>
            <w:webHidden/>
          </w:rPr>
          <w:tab/>
        </w:r>
        <w:r w:rsidR="00AB3257">
          <w:rPr>
            <w:noProof/>
            <w:webHidden/>
          </w:rPr>
          <w:fldChar w:fldCharType="begin"/>
        </w:r>
        <w:r w:rsidR="00AB3257">
          <w:rPr>
            <w:noProof/>
            <w:webHidden/>
          </w:rPr>
          <w:instrText xml:space="preserve"> PAGEREF _Toc146025097 \h </w:instrText>
        </w:r>
        <w:r w:rsidR="00AB3257">
          <w:rPr>
            <w:noProof/>
            <w:webHidden/>
          </w:rPr>
        </w:r>
        <w:r w:rsidR="00AB3257">
          <w:rPr>
            <w:noProof/>
            <w:webHidden/>
          </w:rPr>
          <w:fldChar w:fldCharType="separate"/>
        </w:r>
        <w:r w:rsidR="0094636A">
          <w:rPr>
            <w:noProof/>
            <w:webHidden/>
          </w:rPr>
          <w:t>6</w:t>
        </w:r>
        <w:r w:rsidR="00AB3257">
          <w:rPr>
            <w:noProof/>
            <w:webHidden/>
          </w:rPr>
          <w:fldChar w:fldCharType="end"/>
        </w:r>
      </w:hyperlink>
    </w:p>
    <w:p w14:paraId="4D32E185" w14:textId="16085729" w:rsidR="00AB3257" w:rsidRDefault="00B731CD" w:rsidP="00AB3257">
      <w:pPr>
        <w:pStyle w:val="TOC2"/>
        <w:rPr>
          <w:rFonts w:asciiTheme="minorHAnsi" w:eastAsiaTheme="minorEastAsia" w:hAnsiTheme="minorHAnsi" w:cstheme="minorBidi"/>
          <w:noProof/>
          <w:szCs w:val="22"/>
          <w:lang w:val="fr-FR" w:eastAsia="fr-FR"/>
        </w:rPr>
      </w:pPr>
      <w:hyperlink w:anchor="_Toc146025098" w:history="1">
        <w:r w:rsidR="00AB3257" w:rsidRPr="00C07DBF">
          <w:rPr>
            <w:rStyle w:val="Hyperlink"/>
            <w:noProof/>
          </w:rPr>
          <w:t>A)</w:t>
        </w:r>
        <w:r w:rsidR="00AB3257">
          <w:rPr>
            <w:rFonts w:asciiTheme="minorHAnsi" w:eastAsiaTheme="minorEastAsia" w:hAnsiTheme="minorHAnsi" w:cstheme="minorBidi"/>
            <w:noProof/>
            <w:szCs w:val="22"/>
            <w:lang w:val="fr-FR" w:eastAsia="fr-FR"/>
          </w:rPr>
          <w:tab/>
        </w:r>
        <w:r w:rsidR="00AB3257" w:rsidRPr="00C07DBF">
          <w:rPr>
            <w:rStyle w:val="Hyperlink"/>
            <w:noProof/>
          </w:rPr>
          <w:t>CONTEXTE ET DESCRIPTION DU PROJET</w:t>
        </w:r>
        <w:r w:rsidR="00AB3257">
          <w:rPr>
            <w:noProof/>
            <w:webHidden/>
          </w:rPr>
          <w:tab/>
        </w:r>
        <w:r w:rsidR="00AB3257">
          <w:rPr>
            <w:noProof/>
            <w:webHidden/>
          </w:rPr>
          <w:fldChar w:fldCharType="begin"/>
        </w:r>
        <w:r w:rsidR="00AB3257">
          <w:rPr>
            <w:noProof/>
            <w:webHidden/>
          </w:rPr>
          <w:instrText xml:space="preserve"> PAGEREF _Toc146025098 \h </w:instrText>
        </w:r>
        <w:r w:rsidR="00AB3257">
          <w:rPr>
            <w:noProof/>
            <w:webHidden/>
          </w:rPr>
        </w:r>
        <w:r w:rsidR="00AB3257">
          <w:rPr>
            <w:noProof/>
            <w:webHidden/>
          </w:rPr>
          <w:fldChar w:fldCharType="separate"/>
        </w:r>
        <w:r w:rsidR="0094636A">
          <w:rPr>
            <w:noProof/>
            <w:webHidden/>
          </w:rPr>
          <w:t>6</w:t>
        </w:r>
        <w:r w:rsidR="00AB3257">
          <w:rPr>
            <w:noProof/>
            <w:webHidden/>
          </w:rPr>
          <w:fldChar w:fldCharType="end"/>
        </w:r>
      </w:hyperlink>
    </w:p>
    <w:p w14:paraId="34028F32" w14:textId="03A8636D" w:rsidR="00AB3257" w:rsidRDefault="00B731CD" w:rsidP="00AB3257">
      <w:pPr>
        <w:pStyle w:val="TOC2"/>
        <w:rPr>
          <w:rFonts w:asciiTheme="minorHAnsi" w:eastAsiaTheme="minorEastAsia" w:hAnsiTheme="minorHAnsi" w:cstheme="minorBidi"/>
          <w:noProof/>
          <w:szCs w:val="22"/>
          <w:lang w:val="fr-FR" w:eastAsia="fr-FR"/>
        </w:rPr>
      </w:pPr>
      <w:hyperlink w:anchor="_Toc146025099" w:history="1">
        <w:r w:rsidR="00AB3257" w:rsidRPr="00C07DBF">
          <w:rPr>
            <w:rStyle w:val="Hyperlink"/>
            <w:noProof/>
          </w:rPr>
          <w:t>B)</w:t>
        </w:r>
        <w:r w:rsidR="00AB3257">
          <w:rPr>
            <w:rFonts w:asciiTheme="minorHAnsi" w:eastAsiaTheme="minorEastAsia" w:hAnsiTheme="minorHAnsi" w:cstheme="minorBidi"/>
            <w:noProof/>
            <w:szCs w:val="22"/>
            <w:lang w:val="fr-FR" w:eastAsia="fr-FR"/>
          </w:rPr>
          <w:tab/>
        </w:r>
        <w:r w:rsidR="00AB3257" w:rsidRPr="00C07DBF">
          <w:rPr>
            <w:rStyle w:val="Hyperlink"/>
            <w:noProof/>
          </w:rPr>
          <w:t>OBJET, MÉTHODOLOGIE ET LIMITES DE L’ÉVALUATION</w:t>
        </w:r>
        <w:r w:rsidR="00AB3257">
          <w:rPr>
            <w:noProof/>
            <w:webHidden/>
          </w:rPr>
          <w:tab/>
        </w:r>
        <w:r w:rsidR="00AB3257">
          <w:rPr>
            <w:noProof/>
            <w:webHidden/>
          </w:rPr>
          <w:fldChar w:fldCharType="begin"/>
        </w:r>
        <w:r w:rsidR="00AB3257">
          <w:rPr>
            <w:noProof/>
            <w:webHidden/>
          </w:rPr>
          <w:instrText xml:space="preserve"> PAGEREF _Toc146025099 \h </w:instrText>
        </w:r>
        <w:r w:rsidR="00AB3257">
          <w:rPr>
            <w:noProof/>
            <w:webHidden/>
          </w:rPr>
        </w:r>
        <w:r w:rsidR="00AB3257">
          <w:rPr>
            <w:noProof/>
            <w:webHidden/>
          </w:rPr>
          <w:fldChar w:fldCharType="separate"/>
        </w:r>
        <w:r w:rsidR="0094636A">
          <w:rPr>
            <w:noProof/>
            <w:webHidden/>
          </w:rPr>
          <w:t>8</w:t>
        </w:r>
        <w:r w:rsidR="00AB3257">
          <w:rPr>
            <w:noProof/>
            <w:webHidden/>
          </w:rPr>
          <w:fldChar w:fldCharType="end"/>
        </w:r>
      </w:hyperlink>
    </w:p>
    <w:p w14:paraId="613C4FDF" w14:textId="4C48F766" w:rsidR="00AB3257" w:rsidRDefault="00B731CD" w:rsidP="00AB3257">
      <w:pPr>
        <w:pStyle w:val="TOC2"/>
        <w:rPr>
          <w:rFonts w:asciiTheme="minorHAnsi" w:eastAsiaTheme="minorEastAsia" w:hAnsiTheme="minorHAnsi" w:cstheme="minorBidi"/>
          <w:noProof/>
          <w:szCs w:val="22"/>
          <w:lang w:val="fr-FR" w:eastAsia="fr-FR"/>
        </w:rPr>
      </w:pPr>
      <w:hyperlink w:anchor="_Toc146025100" w:history="1">
        <w:r w:rsidR="00AB3257" w:rsidRPr="00C07DBF">
          <w:rPr>
            <w:rStyle w:val="Hyperlink"/>
            <w:noProof/>
          </w:rPr>
          <w:t>C)</w:t>
        </w:r>
        <w:r w:rsidR="00AB3257">
          <w:rPr>
            <w:rFonts w:asciiTheme="minorHAnsi" w:eastAsiaTheme="minorEastAsia" w:hAnsiTheme="minorHAnsi" w:cstheme="minorBidi"/>
            <w:noProof/>
            <w:szCs w:val="22"/>
            <w:lang w:val="fr-FR" w:eastAsia="fr-FR"/>
          </w:rPr>
          <w:tab/>
        </w:r>
        <w:r w:rsidR="00AB3257" w:rsidRPr="00C07DBF">
          <w:rPr>
            <w:rStyle w:val="Hyperlink"/>
            <w:noProof/>
          </w:rPr>
          <w:t>OBJECTIF PRINCIPAL DE LA MÉTHODOLOGIE</w:t>
        </w:r>
        <w:r w:rsidR="00AB3257">
          <w:rPr>
            <w:noProof/>
            <w:webHidden/>
          </w:rPr>
          <w:tab/>
        </w:r>
        <w:r w:rsidR="00AB3257">
          <w:rPr>
            <w:noProof/>
            <w:webHidden/>
          </w:rPr>
          <w:fldChar w:fldCharType="begin"/>
        </w:r>
        <w:r w:rsidR="00AB3257">
          <w:rPr>
            <w:noProof/>
            <w:webHidden/>
          </w:rPr>
          <w:instrText xml:space="preserve"> PAGEREF _Toc146025100 \h </w:instrText>
        </w:r>
        <w:r w:rsidR="00AB3257">
          <w:rPr>
            <w:noProof/>
            <w:webHidden/>
          </w:rPr>
        </w:r>
        <w:r w:rsidR="00AB3257">
          <w:rPr>
            <w:noProof/>
            <w:webHidden/>
          </w:rPr>
          <w:fldChar w:fldCharType="separate"/>
        </w:r>
        <w:r w:rsidR="0094636A">
          <w:rPr>
            <w:noProof/>
            <w:webHidden/>
          </w:rPr>
          <w:t>10</w:t>
        </w:r>
        <w:r w:rsidR="00AB3257">
          <w:rPr>
            <w:noProof/>
            <w:webHidden/>
          </w:rPr>
          <w:fldChar w:fldCharType="end"/>
        </w:r>
      </w:hyperlink>
    </w:p>
    <w:p w14:paraId="61D10EA1" w14:textId="14A0743F" w:rsidR="00AB3257" w:rsidRDefault="00B731CD" w:rsidP="00AB3257">
      <w:pPr>
        <w:pStyle w:val="TOC1"/>
        <w:rPr>
          <w:rFonts w:asciiTheme="minorHAnsi" w:eastAsiaTheme="minorEastAsia" w:hAnsiTheme="minorHAnsi" w:cstheme="minorBidi"/>
          <w:noProof/>
          <w:szCs w:val="22"/>
          <w:lang w:val="fr-FR" w:eastAsia="fr-FR"/>
        </w:rPr>
      </w:pPr>
      <w:hyperlink w:anchor="_Toc146025101" w:history="1">
        <w:r w:rsidR="00AB3257" w:rsidRPr="00C07DBF">
          <w:rPr>
            <w:rStyle w:val="Hyperlink"/>
            <w:noProof/>
          </w:rPr>
          <w:t>3.</w:t>
        </w:r>
        <w:r w:rsidR="00AB3257">
          <w:rPr>
            <w:rFonts w:asciiTheme="minorHAnsi" w:eastAsiaTheme="minorEastAsia" w:hAnsiTheme="minorHAnsi" w:cstheme="minorBidi"/>
            <w:noProof/>
            <w:szCs w:val="22"/>
            <w:lang w:val="fr-FR" w:eastAsia="fr-FR"/>
          </w:rPr>
          <w:tab/>
        </w:r>
        <w:r w:rsidR="00AB3257" w:rsidRPr="00C07DBF">
          <w:rPr>
            <w:rStyle w:val="Hyperlink"/>
            <w:noProof/>
          </w:rPr>
          <w:t>PRINCIPALES LIMITES DE L’ÉVALUATION</w:t>
        </w:r>
        <w:r w:rsidR="00AB3257">
          <w:rPr>
            <w:noProof/>
            <w:webHidden/>
          </w:rPr>
          <w:tab/>
        </w:r>
        <w:r w:rsidR="00AB3257">
          <w:rPr>
            <w:noProof/>
            <w:webHidden/>
          </w:rPr>
          <w:fldChar w:fldCharType="begin"/>
        </w:r>
        <w:r w:rsidR="00AB3257">
          <w:rPr>
            <w:noProof/>
            <w:webHidden/>
          </w:rPr>
          <w:instrText xml:space="preserve"> PAGEREF _Toc146025101 \h </w:instrText>
        </w:r>
        <w:r w:rsidR="00AB3257">
          <w:rPr>
            <w:noProof/>
            <w:webHidden/>
          </w:rPr>
        </w:r>
        <w:r w:rsidR="00AB3257">
          <w:rPr>
            <w:noProof/>
            <w:webHidden/>
          </w:rPr>
          <w:fldChar w:fldCharType="separate"/>
        </w:r>
        <w:r w:rsidR="0094636A">
          <w:rPr>
            <w:noProof/>
            <w:webHidden/>
          </w:rPr>
          <w:t>11</w:t>
        </w:r>
        <w:r w:rsidR="00AB3257">
          <w:rPr>
            <w:noProof/>
            <w:webHidden/>
          </w:rPr>
          <w:fldChar w:fldCharType="end"/>
        </w:r>
      </w:hyperlink>
    </w:p>
    <w:p w14:paraId="2C2B108E" w14:textId="15038FF7" w:rsidR="00AB3257" w:rsidRDefault="00B731CD" w:rsidP="00AB3257">
      <w:pPr>
        <w:pStyle w:val="TOC1"/>
        <w:rPr>
          <w:rFonts w:asciiTheme="minorHAnsi" w:eastAsiaTheme="minorEastAsia" w:hAnsiTheme="minorHAnsi" w:cstheme="minorBidi"/>
          <w:noProof/>
          <w:szCs w:val="22"/>
          <w:lang w:val="fr-FR" w:eastAsia="fr-FR"/>
        </w:rPr>
      </w:pPr>
      <w:hyperlink w:anchor="_Toc146025102" w:history="1">
        <w:r w:rsidR="00AB3257" w:rsidRPr="00C07DBF">
          <w:rPr>
            <w:rStyle w:val="Hyperlink"/>
            <w:noProof/>
          </w:rPr>
          <w:t>4.</w:t>
        </w:r>
        <w:r w:rsidR="00AB3257">
          <w:rPr>
            <w:rFonts w:asciiTheme="minorHAnsi" w:eastAsiaTheme="minorEastAsia" w:hAnsiTheme="minorHAnsi" w:cstheme="minorBidi"/>
            <w:noProof/>
            <w:szCs w:val="22"/>
            <w:lang w:val="fr-FR" w:eastAsia="fr-FR"/>
          </w:rPr>
          <w:tab/>
        </w:r>
        <w:r w:rsidR="00AB3257" w:rsidRPr="00C07DBF">
          <w:rPr>
            <w:rStyle w:val="Hyperlink"/>
            <w:noProof/>
          </w:rPr>
          <w:t>CONCLUSIONS ET ÉVALUATION</w:t>
        </w:r>
        <w:r w:rsidR="00AB3257">
          <w:rPr>
            <w:noProof/>
            <w:webHidden/>
          </w:rPr>
          <w:tab/>
        </w:r>
        <w:r w:rsidR="00AB3257">
          <w:rPr>
            <w:noProof/>
            <w:webHidden/>
          </w:rPr>
          <w:fldChar w:fldCharType="begin"/>
        </w:r>
        <w:r w:rsidR="00AB3257">
          <w:rPr>
            <w:noProof/>
            <w:webHidden/>
          </w:rPr>
          <w:instrText xml:space="preserve"> PAGEREF _Toc146025102 \h </w:instrText>
        </w:r>
        <w:r w:rsidR="00AB3257">
          <w:rPr>
            <w:noProof/>
            <w:webHidden/>
          </w:rPr>
        </w:r>
        <w:r w:rsidR="00AB3257">
          <w:rPr>
            <w:noProof/>
            <w:webHidden/>
          </w:rPr>
          <w:fldChar w:fldCharType="separate"/>
        </w:r>
        <w:r w:rsidR="0094636A">
          <w:rPr>
            <w:noProof/>
            <w:webHidden/>
          </w:rPr>
          <w:t>12</w:t>
        </w:r>
        <w:r w:rsidR="00AB3257">
          <w:rPr>
            <w:noProof/>
            <w:webHidden/>
          </w:rPr>
          <w:fldChar w:fldCharType="end"/>
        </w:r>
      </w:hyperlink>
    </w:p>
    <w:p w14:paraId="0B26D7CE" w14:textId="0C98CC8A" w:rsidR="00AB3257" w:rsidRDefault="00B731CD" w:rsidP="00AB3257">
      <w:pPr>
        <w:pStyle w:val="TOC2"/>
        <w:rPr>
          <w:rFonts w:asciiTheme="minorHAnsi" w:eastAsiaTheme="minorEastAsia" w:hAnsiTheme="minorHAnsi" w:cstheme="minorBidi"/>
          <w:noProof/>
          <w:szCs w:val="22"/>
          <w:lang w:val="fr-FR" w:eastAsia="fr-FR"/>
        </w:rPr>
      </w:pPr>
      <w:hyperlink w:anchor="_Toc146025103" w:history="1">
        <w:r w:rsidR="00AB3257" w:rsidRPr="00C07DBF">
          <w:rPr>
            <w:rStyle w:val="Hyperlink"/>
            <w:noProof/>
          </w:rPr>
          <w:t>A)</w:t>
        </w:r>
        <w:r w:rsidR="00AB3257">
          <w:rPr>
            <w:rFonts w:asciiTheme="minorHAnsi" w:eastAsiaTheme="minorEastAsia" w:hAnsiTheme="minorHAnsi" w:cstheme="minorBidi"/>
            <w:noProof/>
            <w:szCs w:val="22"/>
            <w:lang w:val="fr-FR" w:eastAsia="fr-FR"/>
          </w:rPr>
          <w:tab/>
        </w:r>
        <w:r w:rsidR="00AB3257" w:rsidRPr="00C07DBF">
          <w:rPr>
            <w:rStyle w:val="Hyperlink"/>
            <w:noProof/>
          </w:rPr>
          <w:t>L’approche et les résultats escomptés du projet sont</w:t>
        </w:r>
        <w:r w:rsidR="00AB3257" w:rsidRPr="00C07DBF">
          <w:rPr>
            <w:rStyle w:val="Hyperlink"/>
            <w:noProof/>
          </w:rPr>
          <w:noBreakHyphen/>
          <w:t>ils toujours pertinents?</w:t>
        </w:r>
        <w:r w:rsidR="00AB3257">
          <w:rPr>
            <w:noProof/>
            <w:webHidden/>
          </w:rPr>
          <w:tab/>
        </w:r>
        <w:r w:rsidR="00AB3257">
          <w:rPr>
            <w:noProof/>
            <w:webHidden/>
          </w:rPr>
          <w:fldChar w:fldCharType="begin"/>
        </w:r>
        <w:r w:rsidR="00AB3257">
          <w:rPr>
            <w:noProof/>
            <w:webHidden/>
          </w:rPr>
          <w:instrText xml:space="preserve"> PAGEREF _Toc146025103 \h </w:instrText>
        </w:r>
        <w:r w:rsidR="00AB3257">
          <w:rPr>
            <w:noProof/>
            <w:webHidden/>
          </w:rPr>
        </w:r>
        <w:r w:rsidR="00AB3257">
          <w:rPr>
            <w:noProof/>
            <w:webHidden/>
          </w:rPr>
          <w:fldChar w:fldCharType="separate"/>
        </w:r>
        <w:r w:rsidR="0094636A">
          <w:rPr>
            <w:noProof/>
            <w:webHidden/>
          </w:rPr>
          <w:t>12</w:t>
        </w:r>
        <w:r w:rsidR="00AB3257">
          <w:rPr>
            <w:noProof/>
            <w:webHidden/>
          </w:rPr>
          <w:fldChar w:fldCharType="end"/>
        </w:r>
      </w:hyperlink>
    </w:p>
    <w:p w14:paraId="6C31A07F" w14:textId="1D8F7273" w:rsidR="00AB3257" w:rsidRDefault="00B731CD" w:rsidP="00AB3257">
      <w:pPr>
        <w:pStyle w:val="TOC2"/>
        <w:rPr>
          <w:rFonts w:asciiTheme="minorHAnsi" w:eastAsiaTheme="minorEastAsia" w:hAnsiTheme="minorHAnsi" w:cstheme="minorBidi"/>
          <w:noProof/>
          <w:szCs w:val="22"/>
          <w:lang w:val="fr-FR" w:eastAsia="fr-FR"/>
        </w:rPr>
      </w:pPr>
      <w:hyperlink w:anchor="_Toc146025104" w:history="1">
        <w:r w:rsidR="00AB3257" w:rsidRPr="00C07DBF">
          <w:rPr>
            <w:rStyle w:val="Hyperlink"/>
            <w:noProof/>
          </w:rPr>
          <w:t>B)</w:t>
        </w:r>
        <w:r w:rsidR="00AB3257">
          <w:rPr>
            <w:rFonts w:asciiTheme="minorHAnsi" w:eastAsiaTheme="minorEastAsia" w:hAnsiTheme="minorHAnsi" w:cstheme="minorBidi"/>
            <w:noProof/>
            <w:szCs w:val="22"/>
            <w:lang w:val="fr-FR" w:eastAsia="fr-FR"/>
          </w:rPr>
          <w:tab/>
        </w:r>
        <w:r w:rsidR="00AB3257" w:rsidRPr="00C07DBF">
          <w:rPr>
            <w:rStyle w:val="Hyperlink"/>
            <w:noProof/>
          </w:rPr>
          <w:t>Quelles sont les incidences intentionnelles et non intentionnelles du projet dans les pays bénéficiaires?</w:t>
        </w:r>
        <w:r w:rsidR="00AB3257">
          <w:rPr>
            <w:noProof/>
            <w:webHidden/>
          </w:rPr>
          <w:tab/>
        </w:r>
        <w:r w:rsidR="00AB3257">
          <w:rPr>
            <w:noProof/>
            <w:webHidden/>
          </w:rPr>
          <w:fldChar w:fldCharType="begin"/>
        </w:r>
        <w:r w:rsidR="00AB3257">
          <w:rPr>
            <w:noProof/>
            <w:webHidden/>
          </w:rPr>
          <w:instrText xml:space="preserve"> PAGEREF _Toc146025104 \h </w:instrText>
        </w:r>
        <w:r w:rsidR="00AB3257">
          <w:rPr>
            <w:noProof/>
            <w:webHidden/>
          </w:rPr>
        </w:r>
        <w:r w:rsidR="00AB3257">
          <w:rPr>
            <w:noProof/>
            <w:webHidden/>
          </w:rPr>
          <w:fldChar w:fldCharType="separate"/>
        </w:r>
        <w:r w:rsidR="0094636A">
          <w:rPr>
            <w:noProof/>
            <w:webHidden/>
          </w:rPr>
          <w:t>15</w:t>
        </w:r>
        <w:r w:rsidR="00AB3257">
          <w:rPr>
            <w:noProof/>
            <w:webHidden/>
          </w:rPr>
          <w:fldChar w:fldCharType="end"/>
        </w:r>
      </w:hyperlink>
    </w:p>
    <w:p w14:paraId="46E71DD9" w14:textId="36335A47" w:rsidR="00AB3257" w:rsidRDefault="00B731CD" w:rsidP="00AB3257">
      <w:pPr>
        <w:pStyle w:val="TOC2"/>
        <w:rPr>
          <w:rFonts w:asciiTheme="minorHAnsi" w:eastAsiaTheme="minorEastAsia" w:hAnsiTheme="minorHAnsi" w:cstheme="minorBidi"/>
          <w:noProof/>
          <w:szCs w:val="22"/>
          <w:lang w:val="fr-FR" w:eastAsia="fr-FR"/>
        </w:rPr>
      </w:pPr>
      <w:hyperlink w:anchor="_Toc146025105" w:history="1">
        <w:r w:rsidR="00AB3257" w:rsidRPr="00C07DBF">
          <w:rPr>
            <w:rStyle w:val="Hyperlink"/>
            <w:noProof/>
          </w:rPr>
          <w:t>C)</w:t>
        </w:r>
        <w:r w:rsidR="00AB3257">
          <w:rPr>
            <w:rFonts w:asciiTheme="minorHAnsi" w:eastAsiaTheme="minorEastAsia" w:hAnsiTheme="minorHAnsi" w:cstheme="minorBidi"/>
            <w:noProof/>
            <w:szCs w:val="22"/>
            <w:lang w:val="fr-FR" w:eastAsia="fr-FR"/>
          </w:rPr>
          <w:tab/>
        </w:r>
        <w:r w:rsidR="00AB3257" w:rsidRPr="00C07DBF">
          <w:rPr>
            <w:rStyle w:val="Hyperlink"/>
            <w:noProof/>
          </w:rPr>
          <w:t>Quelles sont les incidences intentionnelles et non intentionnelles du projet au sein de l’OMPI?</w:t>
        </w:r>
        <w:r w:rsidR="00AB3257">
          <w:rPr>
            <w:noProof/>
            <w:webHidden/>
          </w:rPr>
          <w:tab/>
        </w:r>
        <w:r w:rsidR="00AB3257">
          <w:rPr>
            <w:noProof/>
            <w:webHidden/>
          </w:rPr>
          <w:fldChar w:fldCharType="begin"/>
        </w:r>
        <w:r w:rsidR="00AB3257">
          <w:rPr>
            <w:noProof/>
            <w:webHidden/>
          </w:rPr>
          <w:instrText xml:space="preserve"> PAGEREF _Toc146025105 \h </w:instrText>
        </w:r>
        <w:r w:rsidR="00AB3257">
          <w:rPr>
            <w:noProof/>
            <w:webHidden/>
          </w:rPr>
        </w:r>
        <w:r w:rsidR="00AB3257">
          <w:rPr>
            <w:noProof/>
            <w:webHidden/>
          </w:rPr>
          <w:fldChar w:fldCharType="separate"/>
        </w:r>
        <w:r w:rsidR="0094636A">
          <w:rPr>
            <w:noProof/>
            <w:webHidden/>
          </w:rPr>
          <w:t>17</w:t>
        </w:r>
        <w:r w:rsidR="00AB3257">
          <w:rPr>
            <w:noProof/>
            <w:webHidden/>
          </w:rPr>
          <w:fldChar w:fldCharType="end"/>
        </w:r>
      </w:hyperlink>
    </w:p>
    <w:p w14:paraId="2B70F576" w14:textId="71D8D0F3" w:rsidR="00AB3257" w:rsidRDefault="00B731CD" w:rsidP="00AB3257">
      <w:pPr>
        <w:pStyle w:val="TOC2"/>
        <w:rPr>
          <w:rFonts w:asciiTheme="minorHAnsi" w:eastAsiaTheme="minorEastAsia" w:hAnsiTheme="minorHAnsi" w:cstheme="minorBidi"/>
          <w:noProof/>
          <w:szCs w:val="22"/>
          <w:lang w:val="fr-FR" w:eastAsia="fr-FR"/>
        </w:rPr>
      </w:pPr>
      <w:hyperlink w:anchor="_Toc146025106" w:history="1">
        <w:r w:rsidR="00AB3257" w:rsidRPr="00C07DBF">
          <w:rPr>
            <w:rStyle w:val="Hyperlink"/>
            <w:noProof/>
          </w:rPr>
          <w:t>D)</w:t>
        </w:r>
        <w:r w:rsidR="00AB3257">
          <w:rPr>
            <w:rFonts w:asciiTheme="minorHAnsi" w:eastAsiaTheme="minorEastAsia" w:hAnsiTheme="minorHAnsi" w:cstheme="minorBidi"/>
            <w:noProof/>
            <w:szCs w:val="22"/>
            <w:lang w:val="fr-FR" w:eastAsia="fr-FR"/>
          </w:rPr>
          <w:tab/>
        </w:r>
        <w:r w:rsidR="00AB3257" w:rsidRPr="00C07DBF">
          <w:rPr>
            <w:rStyle w:val="Hyperlink"/>
            <w:noProof/>
          </w:rPr>
          <w:t>Les résultats du projet sont</w:t>
        </w:r>
        <w:r w:rsidR="00AB3257" w:rsidRPr="00C07DBF">
          <w:rPr>
            <w:rStyle w:val="Hyperlink"/>
            <w:noProof/>
          </w:rPr>
          <w:noBreakHyphen/>
          <w:t>ils pérennes?</w:t>
        </w:r>
        <w:r w:rsidR="00AB3257">
          <w:rPr>
            <w:noProof/>
            <w:webHidden/>
          </w:rPr>
          <w:tab/>
        </w:r>
        <w:r w:rsidR="00AB3257">
          <w:rPr>
            <w:noProof/>
            <w:webHidden/>
          </w:rPr>
          <w:fldChar w:fldCharType="begin"/>
        </w:r>
        <w:r w:rsidR="00AB3257">
          <w:rPr>
            <w:noProof/>
            <w:webHidden/>
          </w:rPr>
          <w:instrText xml:space="preserve"> PAGEREF _Toc146025106 \h </w:instrText>
        </w:r>
        <w:r w:rsidR="00AB3257">
          <w:rPr>
            <w:noProof/>
            <w:webHidden/>
          </w:rPr>
        </w:r>
        <w:r w:rsidR="00AB3257">
          <w:rPr>
            <w:noProof/>
            <w:webHidden/>
          </w:rPr>
          <w:fldChar w:fldCharType="separate"/>
        </w:r>
        <w:r w:rsidR="0094636A">
          <w:rPr>
            <w:noProof/>
            <w:webHidden/>
          </w:rPr>
          <w:t>17</w:t>
        </w:r>
        <w:r w:rsidR="00AB3257">
          <w:rPr>
            <w:noProof/>
            <w:webHidden/>
          </w:rPr>
          <w:fldChar w:fldCharType="end"/>
        </w:r>
      </w:hyperlink>
    </w:p>
    <w:p w14:paraId="27856B5D" w14:textId="24B1EAC8" w:rsidR="00AB3257" w:rsidRDefault="00B731CD" w:rsidP="00AB3257">
      <w:pPr>
        <w:pStyle w:val="TOC2"/>
        <w:rPr>
          <w:rFonts w:asciiTheme="minorHAnsi" w:eastAsiaTheme="minorEastAsia" w:hAnsiTheme="minorHAnsi" w:cstheme="minorBidi"/>
          <w:noProof/>
          <w:szCs w:val="22"/>
          <w:lang w:val="fr-FR" w:eastAsia="fr-FR"/>
        </w:rPr>
      </w:pPr>
      <w:hyperlink w:anchor="_Toc146025107" w:history="1">
        <w:r w:rsidR="00AB3257" w:rsidRPr="00C07DBF">
          <w:rPr>
            <w:rStyle w:val="Hyperlink"/>
            <w:noProof/>
          </w:rPr>
          <w:t>E)</w:t>
        </w:r>
        <w:r w:rsidR="00AB3257">
          <w:rPr>
            <w:rFonts w:asciiTheme="minorHAnsi" w:eastAsiaTheme="minorEastAsia" w:hAnsiTheme="minorHAnsi" w:cstheme="minorBidi"/>
            <w:noProof/>
            <w:szCs w:val="22"/>
            <w:lang w:val="fr-FR" w:eastAsia="fr-FR"/>
          </w:rPr>
          <w:tab/>
        </w:r>
        <w:r w:rsidR="00AB3257" w:rsidRPr="00C07DBF">
          <w:rPr>
            <w:rStyle w:val="Hyperlink"/>
            <w:noProof/>
          </w:rPr>
          <w:t>Quelles conditions ont rendu possible ou entravé l’obtention des incidences visées?</w:t>
        </w:r>
        <w:r w:rsidR="00AB3257">
          <w:rPr>
            <w:noProof/>
            <w:webHidden/>
          </w:rPr>
          <w:tab/>
        </w:r>
        <w:r w:rsidR="00AB3257">
          <w:rPr>
            <w:noProof/>
            <w:webHidden/>
          </w:rPr>
          <w:fldChar w:fldCharType="begin"/>
        </w:r>
        <w:r w:rsidR="00AB3257">
          <w:rPr>
            <w:noProof/>
            <w:webHidden/>
          </w:rPr>
          <w:instrText xml:space="preserve"> PAGEREF _Toc146025107 \h </w:instrText>
        </w:r>
        <w:r w:rsidR="00AB3257">
          <w:rPr>
            <w:noProof/>
            <w:webHidden/>
          </w:rPr>
        </w:r>
        <w:r w:rsidR="00AB3257">
          <w:rPr>
            <w:noProof/>
            <w:webHidden/>
          </w:rPr>
          <w:fldChar w:fldCharType="separate"/>
        </w:r>
        <w:r w:rsidR="0094636A">
          <w:rPr>
            <w:noProof/>
            <w:webHidden/>
          </w:rPr>
          <w:t>17</w:t>
        </w:r>
        <w:r w:rsidR="00AB3257">
          <w:rPr>
            <w:noProof/>
            <w:webHidden/>
          </w:rPr>
          <w:fldChar w:fldCharType="end"/>
        </w:r>
      </w:hyperlink>
    </w:p>
    <w:p w14:paraId="44748ACE" w14:textId="2F9ABD9F" w:rsidR="00AB3257" w:rsidRDefault="00B731CD" w:rsidP="00AB3257">
      <w:pPr>
        <w:pStyle w:val="TOC2"/>
        <w:rPr>
          <w:rFonts w:asciiTheme="minorHAnsi" w:eastAsiaTheme="minorEastAsia" w:hAnsiTheme="minorHAnsi" w:cstheme="minorBidi"/>
          <w:noProof/>
          <w:szCs w:val="22"/>
          <w:lang w:val="fr-FR" w:eastAsia="fr-FR"/>
        </w:rPr>
      </w:pPr>
      <w:hyperlink w:anchor="_Toc146025108" w:history="1">
        <w:r w:rsidR="00AB3257" w:rsidRPr="00C07DBF">
          <w:rPr>
            <w:rStyle w:val="Hyperlink"/>
            <w:bCs/>
            <w:iCs/>
            <w:noProof/>
          </w:rPr>
          <w:t>F)</w:t>
        </w:r>
        <w:r w:rsidR="00AB3257">
          <w:rPr>
            <w:rFonts w:asciiTheme="minorHAnsi" w:eastAsiaTheme="minorEastAsia" w:hAnsiTheme="minorHAnsi" w:cstheme="minorBidi"/>
            <w:noProof/>
            <w:szCs w:val="22"/>
            <w:lang w:val="fr-FR" w:eastAsia="fr-FR"/>
          </w:rPr>
          <w:tab/>
        </w:r>
        <w:r w:rsidR="00AB3257" w:rsidRPr="00C07DBF">
          <w:rPr>
            <w:rStyle w:val="Hyperlink"/>
            <w:noProof/>
          </w:rPr>
          <w:t>Quels sont les enseignements à tirer aux fins des projets futurs au sein de l’OMPI quant à la façon de progresser sur la voie de l’impact SOUHAITé?</w:t>
        </w:r>
        <w:r w:rsidR="00AB3257">
          <w:rPr>
            <w:noProof/>
            <w:webHidden/>
          </w:rPr>
          <w:tab/>
        </w:r>
        <w:r w:rsidR="00AB3257">
          <w:rPr>
            <w:noProof/>
            <w:webHidden/>
          </w:rPr>
          <w:fldChar w:fldCharType="begin"/>
        </w:r>
        <w:r w:rsidR="00AB3257">
          <w:rPr>
            <w:noProof/>
            <w:webHidden/>
          </w:rPr>
          <w:instrText xml:space="preserve"> PAGEREF _Toc146025108 \h </w:instrText>
        </w:r>
        <w:r w:rsidR="00AB3257">
          <w:rPr>
            <w:noProof/>
            <w:webHidden/>
          </w:rPr>
        </w:r>
        <w:r w:rsidR="00AB3257">
          <w:rPr>
            <w:noProof/>
            <w:webHidden/>
          </w:rPr>
          <w:fldChar w:fldCharType="separate"/>
        </w:r>
        <w:r w:rsidR="0094636A">
          <w:rPr>
            <w:noProof/>
            <w:webHidden/>
          </w:rPr>
          <w:t>19</w:t>
        </w:r>
        <w:r w:rsidR="00AB3257">
          <w:rPr>
            <w:noProof/>
            <w:webHidden/>
          </w:rPr>
          <w:fldChar w:fldCharType="end"/>
        </w:r>
      </w:hyperlink>
    </w:p>
    <w:p w14:paraId="45FDC745" w14:textId="3950C7E4" w:rsidR="00AB3257" w:rsidRDefault="00B731CD" w:rsidP="00AB3257">
      <w:pPr>
        <w:pStyle w:val="TOC1"/>
        <w:rPr>
          <w:rFonts w:asciiTheme="minorHAnsi" w:eastAsiaTheme="minorEastAsia" w:hAnsiTheme="minorHAnsi" w:cstheme="minorBidi"/>
          <w:noProof/>
          <w:szCs w:val="22"/>
          <w:lang w:val="fr-FR" w:eastAsia="fr-FR"/>
        </w:rPr>
      </w:pPr>
      <w:hyperlink w:anchor="_Toc146025109" w:history="1">
        <w:r w:rsidR="00AB3257" w:rsidRPr="00C07DBF">
          <w:rPr>
            <w:rStyle w:val="Hyperlink"/>
            <w:noProof/>
          </w:rPr>
          <w:t>5.</w:t>
        </w:r>
        <w:r w:rsidR="00AB3257">
          <w:rPr>
            <w:rFonts w:asciiTheme="minorHAnsi" w:eastAsiaTheme="minorEastAsia" w:hAnsiTheme="minorHAnsi" w:cstheme="minorBidi"/>
            <w:noProof/>
            <w:szCs w:val="22"/>
            <w:lang w:val="fr-FR" w:eastAsia="fr-FR"/>
          </w:rPr>
          <w:tab/>
        </w:r>
        <w:r w:rsidR="00AB3257" w:rsidRPr="00C07DBF">
          <w:rPr>
            <w:rStyle w:val="Hyperlink"/>
            <w:noProof/>
          </w:rPr>
          <w:t>ÉTUDES DE CAS : BRÉSIL ET INDONÉSIE</w:t>
        </w:r>
        <w:r w:rsidR="00AB3257">
          <w:rPr>
            <w:noProof/>
            <w:webHidden/>
          </w:rPr>
          <w:tab/>
        </w:r>
        <w:r w:rsidR="00AB3257">
          <w:rPr>
            <w:noProof/>
            <w:webHidden/>
          </w:rPr>
          <w:fldChar w:fldCharType="begin"/>
        </w:r>
        <w:r w:rsidR="00AB3257">
          <w:rPr>
            <w:noProof/>
            <w:webHidden/>
          </w:rPr>
          <w:instrText xml:space="preserve"> PAGEREF _Toc146025109 \h </w:instrText>
        </w:r>
        <w:r w:rsidR="00AB3257">
          <w:rPr>
            <w:noProof/>
            <w:webHidden/>
          </w:rPr>
        </w:r>
        <w:r w:rsidR="00AB3257">
          <w:rPr>
            <w:noProof/>
            <w:webHidden/>
          </w:rPr>
          <w:fldChar w:fldCharType="separate"/>
        </w:r>
        <w:r w:rsidR="0094636A">
          <w:rPr>
            <w:noProof/>
            <w:webHidden/>
          </w:rPr>
          <w:t>20</w:t>
        </w:r>
        <w:r w:rsidR="00AB3257">
          <w:rPr>
            <w:noProof/>
            <w:webHidden/>
          </w:rPr>
          <w:fldChar w:fldCharType="end"/>
        </w:r>
      </w:hyperlink>
    </w:p>
    <w:p w14:paraId="33D27204" w14:textId="5567EDC6" w:rsidR="00AB3257" w:rsidRDefault="00B731CD" w:rsidP="00AB3257">
      <w:pPr>
        <w:pStyle w:val="TOC2"/>
        <w:rPr>
          <w:rFonts w:asciiTheme="minorHAnsi" w:eastAsiaTheme="minorEastAsia" w:hAnsiTheme="minorHAnsi" w:cstheme="minorBidi"/>
          <w:noProof/>
          <w:szCs w:val="22"/>
          <w:lang w:val="fr-FR" w:eastAsia="fr-FR"/>
        </w:rPr>
      </w:pPr>
      <w:hyperlink w:anchor="_Toc146025110" w:history="1">
        <w:r w:rsidR="00AB3257" w:rsidRPr="00C07DBF">
          <w:rPr>
            <w:rStyle w:val="Hyperlink"/>
            <w:noProof/>
          </w:rPr>
          <w:t>A)</w:t>
        </w:r>
        <w:r w:rsidR="00AB3257">
          <w:rPr>
            <w:rFonts w:asciiTheme="minorHAnsi" w:eastAsiaTheme="minorEastAsia" w:hAnsiTheme="minorHAnsi" w:cstheme="minorBidi"/>
            <w:noProof/>
            <w:szCs w:val="22"/>
            <w:lang w:val="fr-FR" w:eastAsia="fr-FR"/>
          </w:rPr>
          <w:tab/>
        </w:r>
        <w:r w:rsidR="00AB3257" w:rsidRPr="00C07DBF">
          <w:rPr>
            <w:rStyle w:val="Hyperlink"/>
            <w:noProof/>
          </w:rPr>
          <w:t>Résumé de la situation de la propriété intellectuelle au Brésil (de 2012 à ce jour) :</w:t>
        </w:r>
        <w:r w:rsidR="00AB3257">
          <w:rPr>
            <w:noProof/>
            <w:webHidden/>
          </w:rPr>
          <w:tab/>
        </w:r>
        <w:r w:rsidR="00AB3257">
          <w:rPr>
            <w:noProof/>
            <w:webHidden/>
          </w:rPr>
          <w:fldChar w:fldCharType="begin"/>
        </w:r>
        <w:r w:rsidR="00AB3257">
          <w:rPr>
            <w:noProof/>
            <w:webHidden/>
          </w:rPr>
          <w:instrText xml:space="preserve"> PAGEREF _Toc146025110 \h </w:instrText>
        </w:r>
        <w:r w:rsidR="00AB3257">
          <w:rPr>
            <w:noProof/>
            <w:webHidden/>
          </w:rPr>
        </w:r>
        <w:r w:rsidR="00AB3257">
          <w:rPr>
            <w:noProof/>
            <w:webHidden/>
          </w:rPr>
          <w:fldChar w:fldCharType="separate"/>
        </w:r>
        <w:r w:rsidR="0094636A">
          <w:rPr>
            <w:noProof/>
            <w:webHidden/>
          </w:rPr>
          <w:t>21</w:t>
        </w:r>
        <w:r w:rsidR="00AB3257">
          <w:rPr>
            <w:noProof/>
            <w:webHidden/>
          </w:rPr>
          <w:fldChar w:fldCharType="end"/>
        </w:r>
      </w:hyperlink>
    </w:p>
    <w:p w14:paraId="2B6CD607" w14:textId="339114EF" w:rsidR="00AB3257" w:rsidRDefault="00B731CD" w:rsidP="00AB3257">
      <w:pPr>
        <w:pStyle w:val="TOC2"/>
        <w:rPr>
          <w:rFonts w:asciiTheme="minorHAnsi" w:eastAsiaTheme="minorEastAsia" w:hAnsiTheme="minorHAnsi" w:cstheme="minorBidi"/>
          <w:noProof/>
          <w:szCs w:val="22"/>
          <w:lang w:val="fr-FR" w:eastAsia="fr-FR"/>
        </w:rPr>
      </w:pPr>
      <w:hyperlink w:anchor="_Toc146025111" w:history="1">
        <w:r w:rsidR="00AB3257" w:rsidRPr="00C07DBF">
          <w:rPr>
            <w:rStyle w:val="Hyperlink"/>
            <w:noProof/>
          </w:rPr>
          <w:t>B)</w:t>
        </w:r>
        <w:r w:rsidR="00AB3257">
          <w:rPr>
            <w:rFonts w:asciiTheme="minorHAnsi" w:eastAsiaTheme="minorEastAsia" w:hAnsiTheme="minorHAnsi" w:cstheme="minorBidi"/>
            <w:noProof/>
            <w:szCs w:val="22"/>
            <w:lang w:val="fr-FR" w:eastAsia="fr-FR"/>
          </w:rPr>
          <w:tab/>
        </w:r>
        <w:r w:rsidR="00AB3257" w:rsidRPr="00C07DBF">
          <w:rPr>
            <w:rStyle w:val="Hyperlink"/>
            <w:noProof/>
          </w:rPr>
          <w:t>Résumé de la situation en matière de propriété intellectuelle en Indonésie (de 2012 à ce jour)</w:t>
        </w:r>
        <w:r w:rsidR="00AB3257">
          <w:rPr>
            <w:noProof/>
            <w:webHidden/>
          </w:rPr>
          <w:tab/>
        </w:r>
        <w:r w:rsidR="00AB3257">
          <w:rPr>
            <w:noProof/>
            <w:webHidden/>
          </w:rPr>
          <w:fldChar w:fldCharType="begin"/>
        </w:r>
        <w:r w:rsidR="00AB3257">
          <w:rPr>
            <w:noProof/>
            <w:webHidden/>
          </w:rPr>
          <w:instrText xml:space="preserve"> PAGEREF _Toc146025111 \h </w:instrText>
        </w:r>
        <w:r w:rsidR="00AB3257">
          <w:rPr>
            <w:noProof/>
            <w:webHidden/>
          </w:rPr>
        </w:r>
        <w:r w:rsidR="00AB3257">
          <w:rPr>
            <w:noProof/>
            <w:webHidden/>
          </w:rPr>
          <w:fldChar w:fldCharType="separate"/>
        </w:r>
        <w:r w:rsidR="0094636A">
          <w:rPr>
            <w:noProof/>
            <w:webHidden/>
          </w:rPr>
          <w:t>22</w:t>
        </w:r>
        <w:r w:rsidR="00AB3257">
          <w:rPr>
            <w:noProof/>
            <w:webHidden/>
          </w:rPr>
          <w:fldChar w:fldCharType="end"/>
        </w:r>
      </w:hyperlink>
    </w:p>
    <w:p w14:paraId="095B8477" w14:textId="1DF69FCC" w:rsidR="00AB3257" w:rsidRDefault="00B731CD" w:rsidP="00AB3257">
      <w:pPr>
        <w:pStyle w:val="TOC2"/>
        <w:rPr>
          <w:rFonts w:asciiTheme="minorHAnsi" w:eastAsiaTheme="minorEastAsia" w:hAnsiTheme="minorHAnsi" w:cstheme="minorBidi"/>
          <w:noProof/>
          <w:szCs w:val="22"/>
          <w:lang w:val="fr-FR" w:eastAsia="fr-FR"/>
        </w:rPr>
      </w:pPr>
      <w:hyperlink w:anchor="_Toc146025112" w:history="1">
        <w:r w:rsidR="00AB3257" w:rsidRPr="00C07DBF">
          <w:rPr>
            <w:rStyle w:val="Hyperlink"/>
            <w:noProof/>
          </w:rPr>
          <w:t>C)</w:t>
        </w:r>
        <w:r w:rsidR="00AB3257">
          <w:rPr>
            <w:rFonts w:asciiTheme="minorHAnsi" w:eastAsiaTheme="minorEastAsia" w:hAnsiTheme="minorHAnsi" w:cstheme="minorBidi"/>
            <w:noProof/>
            <w:szCs w:val="22"/>
            <w:lang w:val="fr-FR" w:eastAsia="fr-FR"/>
          </w:rPr>
          <w:tab/>
        </w:r>
        <w:r w:rsidR="00AB3257" w:rsidRPr="00C07DBF">
          <w:rPr>
            <w:rStyle w:val="Hyperlink"/>
            <w:noProof/>
          </w:rPr>
          <w:t>Enseignements à tirer des études de cas</w:t>
        </w:r>
        <w:r w:rsidR="00AB3257">
          <w:rPr>
            <w:noProof/>
            <w:webHidden/>
          </w:rPr>
          <w:tab/>
        </w:r>
        <w:r w:rsidR="00AB3257">
          <w:rPr>
            <w:noProof/>
            <w:webHidden/>
          </w:rPr>
          <w:fldChar w:fldCharType="begin"/>
        </w:r>
        <w:r w:rsidR="00AB3257">
          <w:rPr>
            <w:noProof/>
            <w:webHidden/>
          </w:rPr>
          <w:instrText xml:space="preserve"> PAGEREF _Toc146025112 \h </w:instrText>
        </w:r>
        <w:r w:rsidR="00AB3257">
          <w:rPr>
            <w:noProof/>
            <w:webHidden/>
          </w:rPr>
        </w:r>
        <w:r w:rsidR="00AB3257">
          <w:rPr>
            <w:noProof/>
            <w:webHidden/>
          </w:rPr>
          <w:fldChar w:fldCharType="separate"/>
        </w:r>
        <w:r w:rsidR="0094636A">
          <w:rPr>
            <w:noProof/>
            <w:webHidden/>
          </w:rPr>
          <w:t>23</w:t>
        </w:r>
        <w:r w:rsidR="00AB3257">
          <w:rPr>
            <w:noProof/>
            <w:webHidden/>
          </w:rPr>
          <w:fldChar w:fldCharType="end"/>
        </w:r>
      </w:hyperlink>
    </w:p>
    <w:p w14:paraId="16F58C5E" w14:textId="21AB3D80" w:rsidR="00AB3257" w:rsidRDefault="00B731CD" w:rsidP="00AB3257">
      <w:pPr>
        <w:pStyle w:val="TOC1"/>
        <w:rPr>
          <w:rFonts w:asciiTheme="minorHAnsi" w:eastAsiaTheme="minorEastAsia" w:hAnsiTheme="minorHAnsi" w:cstheme="minorBidi"/>
          <w:noProof/>
          <w:szCs w:val="22"/>
          <w:lang w:val="fr-FR" w:eastAsia="fr-FR"/>
        </w:rPr>
      </w:pPr>
      <w:hyperlink w:anchor="_Toc146025113" w:history="1">
        <w:r w:rsidR="00AB3257" w:rsidRPr="00C07DBF">
          <w:rPr>
            <w:rStyle w:val="Hyperlink"/>
            <w:noProof/>
          </w:rPr>
          <w:t>6.</w:t>
        </w:r>
        <w:r w:rsidR="00AB3257">
          <w:rPr>
            <w:rFonts w:asciiTheme="minorHAnsi" w:eastAsiaTheme="minorEastAsia" w:hAnsiTheme="minorHAnsi" w:cstheme="minorBidi"/>
            <w:noProof/>
            <w:szCs w:val="22"/>
            <w:lang w:val="fr-FR" w:eastAsia="fr-FR"/>
          </w:rPr>
          <w:tab/>
        </w:r>
        <w:r w:rsidR="00AB3257" w:rsidRPr="00C07DBF">
          <w:rPr>
            <w:rStyle w:val="Hyperlink"/>
            <w:noProof/>
          </w:rPr>
          <w:t>CONCLUSIONS</w:t>
        </w:r>
        <w:r w:rsidR="00AB3257">
          <w:rPr>
            <w:noProof/>
            <w:webHidden/>
          </w:rPr>
          <w:tab/>
        </w:r>
        <w:r w:rsidR="00AB3257">
          <w:rPr>
            <w:noProof/>
            <w:webHidden/>
          </w:rPr>
          <w:fldChar w:fldCharType="begin"/>
        </w:r>
        <w:r w:rsidR="00AB3257">
          <w:rPr>
            <w:noProof/>
            <w:webHidden/>
          </w:rPr>
          <w:instrText xml:space="preserve"> PAGEREF _Toc146025113 \h </w:instrText>
        </w:r>
        <w:r w:rsidR="00AB3257">
          <w:rPr>
            <w:noProof/>
            <w:webHidden/>
          </w:rPr>
        </w:r>
        <w:r w:rsidR="00AB3257">
          <w:rPr>
            <w:noProof/>
            <w:webHidden/>
          </w:rPr>
          <w:fldChar w:fldCharType="separate"/>
        </w:r>
        <w:r w:rsidR="0094636A">
          <w:rPr>
            <w:noProof/>
            <w:webHidden/>
          </w:rPr>
          <w:t>24</w:t>
        </w:r>
        <w:r w:rsidR="00AB3257">
          <w:rPr>
            <w:noProof/>
            <w:webHidden/>
          </w:rPr>
          <w:fldChar w:fldCharType="end"/>
        </w:r>
      </w:hyperlink>
    </w:p>
    <w:p w14:paraId="6516C265" w14:textId="14A696CD" w:rsidR="00AB3257" w:rsidRDefault="00B731CD" w:rsidP="00AB3257">
      <w:pPr>
        <w:pStyle w:val="TOC1"/>
        <w:rPr>
          <w:rFonts w:asciiTheme="minorHAnsi" w:eastAsiaTheme="minorEastAsia" w:hAnsiTheme="minorHAnsi" w:cstheme="minorBidi"/>
          <w:noProof/>
          <w:szCs w:val="22"/>
          <w:lang w:val="fr-FR" w:eastAsia="fr-FR"/>
        </w:rPr>
      </w:pPr>
      <w:hyperlink w:anchor="_Toc146025114" w:history="1">
        <w:r w:rsidR="00AB3257" w:rsidRPr="00C07DBF">
          <w:rPr>
            <w:rStyle w:val="Hyperlink"/>
            <w:noProof/>
          </w:rPr>
          <w:t>7.</w:t>
        </w:r>
        <w:r w:rsidR="00AB3257">
          <w:rPr>
            <w:rFonts w:asciiTheme="minorHAnsi" w:eastAsiaTheme="minorEastAsia" w:hAnsiTheme="minorHAnsi" w:cstheme="minorBidi"/>
            <w:noProof/>
            <w:szCs w:val="22"/>
            <w:lang w:val="fr-FR" w:eastAsia="fr-FR"/>
          </w:rPr>
          <w:tab/>
        </w:r>
        <w:r w:rsidR="00AB3257" w:rsidRPr="00C07DBF">
          <w:rPr>
            <w:rStyle w:val="Hyperlink"/>
            <w:noProof/>
          </w:rPr>
          <w:t>RECOMMANDATIONS</w:t>
        </w:r>
        <w:r w:rsidR="00AB3257">
          <w:rPr>
            <w:noProof/>
            <w:webHidden/>
          </w:rPr>
          <w:tab/>
        </w:r>
        <w:r w:rsidR="00AB3257">
          <w:rPr>
            <w:noProof/>
            <w:webHidden/>
          </w:rPr>
          <w:fldChar w:fldCharType="begin"/>
        </w:r>
        <w:r w:rsidR="00AB3257">
          <w:rPr>
            <w:noProof/>
            <w:webHidden/>
          </w:rPr>
          <w:instrText xml:space="preserve"> PAGEREF _Toc146025114 \h </w:instrText>
        </w:r>
        <w:r w:rsidR="00AB3257">
          <w:rPr>
            <w:noProof/>
            <w:webHidden/>
          </w:rPr>
        </w:r>
        <w:r w:rsidR="00AB3257">
          <w:rPr>
            <w:noProof/>
            <w:webHidden/>
          </w:rPr>
          <w:fldChar w:fldCharType="separate"/>
        </w:r>
        <w:r w:rsidR="0094636A">
          <w:rPr>
            <w:noProof/>
            <w:webHidden/>
          </w:rPr>
          <w:t>25</w:t>
        </w:r>
        <w:r w:rsidR="00AB3257">
          <w:rPr>
            <w:noProof/>
            <w:webHidden/>
          </w:rPr>
          <w:fldChar w:fldCharType="end"/>
        </w:r>
      </w:hyperlink>
    </w:p>
    <w:p w14:paraId="248BE581" w14:textId="352C8B23" w:rsidR="00A508D4" w:rsidRPr="00F32187" w:rsidRDefault="00AB3257" w:rsidP="00A508D4">
      <w:pPr>
        <w:spacing w:before="360" w:after="240"/>
        <w:rPr>
          <w:b/>
          <w:noProof/>
          <w:lang w:val="fr-FR"/>
        </w:rPr>
      </w:pPr>
      <w:r>
        <w:rPr>
          <w:rFonts w:ascii="arial bold" w:hAnsi="arial bold"/>
          <w:b/>
          <w:bCs/>
          <w:caps/>
          <w:lang w:val="fr-FR"/>
        </w:rPr>
        <w:fldChar w:fldCharType="end"/>
      </w:r>
      <w:r w:rsidR="00A508D4" w:rsidRPr="00F32187">
        <w:rPr>
          <w:b/>
          <w:noProof/>
          <w:lang w:val="fr-FR"/>
        </w:rPr>
        <w:t>APPENDICES (DISPONIBLES SÉPARÉMENT (EN ANGLAIS UNIQUEMENT))</w:t>
      </w:r>
    </w:p>
    <w:p w14:paraId="108BD9F7" w14:textId="5C809BA1" w:rsidR="00A508D4" w:rsidRPr="00F32187" w:rsidRDefault="00A508D4" w:rsidP="00A508D4">
      <w:pPr>
        <w:spacing w:after="240"/>
        <w:rPr>
          <w:noProof/>
          <w:lang w:val="fr-FR"/>
        </w:rPr>
      </w:pPr>
      <w:r w:rsidRPr="00F32187">
        <w:rPr>
          <w:b/>
          <w:noProof/>
          <w:lang w:val="fr-FR"/>
        </w:rPr>
        <w:t>Appendice I</w:t>
      </w:r>
      <w:r w:rsidR="00B37BEF" w:rsidRPr="00F32187">
        <w:rPr>
          <w:b/>
          <w:noProof/>
          <w:lang w:val="fr-FR"/>
        </w:rPr>
        <w:t> :</w:t>
      </w:r>
      <w:r w:rsidRPr="00F32187">
        <w:rPr>
          <w:b/>
          <w:noProof/>
          <w:lang w:val="fr-FR"/>
        </w:rPr>
        <w:t xml:space="preserve"> </w:t>
      </w:r>
      <w:r w:rsidRPr="00F32187">
        <w:rPr>
          <w:noProof/>
          <w:lang w:val="fr-FR"/>
        </w:rPr>
        <w:t>Summary of Project Deliverables</w:t>
      </w:r>
    </w:p>
    <w:p w14:paraId="0092E777" w14:textId="16DEEA63" w:rsidR="00A508D4" w:rsidRPr="00F32187" w:rsidRDefault="00A508D4" w:rsidP="00A508D4">
      <w:pPr>
        <w:spacing w:after="240"/>
        <w:rPr>
          <w:noProof/>
          <w:lang w:val="fr-FR"/>
        </w:rPr>
      </w:pPr>
      <w:r w:rsidRPr="00F32187">
        <w:rPr>
          <w:b/>
          <w:noProof/>
          <w:lang w:val="fr-FR"/>
        </w:rPr>
        <w:t>Appendice II</w:t>
      </w:r>
      <w:r w:rsidR="00B37BEF" w:rsidRPr="00F32187">
        <w:rPr>
          <w:b/>
          <w:noProof/>
          <w:lang w:val="fr-FR"/>
        </w:rPr>
        <w:t> </w:t>
      </w:r>
      <w:r w:rsidRPr="00F32187">
        <w:rPr>
          <w:b/>
          <w:noProof/>
          <w:lang w:val="fr-FR"/>
        </w:rPr>
        <w:t xml:space="preserve">: </w:t>
      </w:r>
      <w:r w:rsidRPr="00F32187">
        <w:rPr>
          <w:noProof/>
          <w:lang w:val="fr-FR"/>
        </w:rPr>
        <w:t>Reconstructed Theory of Change</w:t>
      </w:r>
    </w:p>
    <w:p w14:paraId="3EC4B341" w14:textId="00D28EF7" w:rsidR="00A508D4" w:rsidRPr="00F32187" w:rsidRDefault="00A508D4" w:rsidP="00A508D4">
      <w:pPr>
        <w:spacing w:after="240"/>
        <w:rPr>
          <w:noProof/>
          <w:lang w:val="fr-FR"/>
        </w:rPr>
      </w:pPr>
      <w:r w:rsidRPr="00F32187">
        <w:rPr>
          <w:b/>
          <w:noProof/>
          <w:lang w:val="fr-FR"/>
        </w:rPr>
        <w:t>Appendice III</w:t>
      </w:r>
      <w:r w:rsidR="00B37BEF" w:rsidRPr="00F32187">
        <w:rPr>
          <w:b/>
          <w:noProof/>
          <w:lang w:val="fr-FR"/>
        </w:rPr>
        <w:t> </w:t>
      </w:r>
      <w:r w:rsidRPr="00F32187">
        <w:rPr>
          <w:b/>
          <w:noProof/>
          <w:lang w:val="fr-FR"/>
        </w:rPr>
        <w:t>:</w:t>
      </w:r>
      <w:r w:rsidRPr="00F32187">
        <w:rPr>
          <w:noProof/>
          <w:lang w:val="fr-FR"/>
        </w:rPr>
        <w:t xml:space="preserve"> Key Findings from Previous Evaluations</w:t>
      </w:r>
    </w:p>
    <w:p w14:paraId="5A47AA6E" w14:textId="28C359A5" w:rsidR="00A508D4" w:rsidRPr="00F32187" w:rsidRDefault="00A508D4" w:rsidP="00A508D4">
      <w:pPr>
        <w:spacing w:after="240"/>
        <w:rPr>
          <w:noProof/>
          <w:lang w:val="fr-FR"/>
        </w:rPr>
      </w:pPr>
      <w:r w:rsidRPr="00F32187">
        <w:rPr>
          <w:b/>
          <w:noProof/>
          <w:lang w:val="fr-FR"/>
        </w:rPr>
        <w:t>Appendice IV</w:t>
      </w:r>
      <w:r w:rsidR="00B37BEF" w:rsidRPr="00F32187">
        <w:rPr>
          <w:b/>
          <w:noProof/>
          <w:lang w:val="fr-FR"/>
        </w:rPr>
        <w:t> </w:t>
      </w:r>
      <w:r w:rsidRPr="00F32187">
        <w:rPr>
          <w:b/>
          <w:noProof/>
          <w:lang w:val="fr-FR"/>
        </w:rPr>
        <w:t>:</w:t>
      </w:r>
      <w:r w:rsidRPr="00F32187">
        <w:rPr>
          <w:noProof/>
          <w:lang w:val="fr-FR"/>
        </w:rPr>
        <w:t xml:space="preserve"> Evaluation Matrix</w:t>
      </w:r>
    </w:p>
    <w:p w14:paraId="7373BFE5" w14:textId="6952E675" w:rsidR="00A508D4" w:rsidRPr="00F32187" w:rsidRDefault="00A508D4" w:rsidP="00A508D4">
      <w:pPr>
        <w:spacing w:after="240"/>
        <w:rPr>
          <w:noProof/>
          <w:lang w:val="fr-FR"/>
        </w:rPr>
      </w:pPr>
      <w:r w:rsidRPr="00F32187">
        <w:rPr>
          <w:b/>
          <w:noProof/>
          <w:lang w:val="fr-FR"/>
        </w:rPr>
        <w:t>Appendice V</w:t>
      </w:r>
      <w:r w:rsidR="00B37BEF" w:rsidRPr="00F32187">
        <w:rPr>
          <w:b/>
          <w:noProof/>
          <w:lang w:val="fr-FR"/>
        </w:rPr>
        <w:t> </w:t>
      </w:r>
      <w:r w:rsidRPr="00F32187">
        <w:rPr>
          <w:b/>
          <w:noProof/>
          <w:lang w:val="fr-FR"/>
        </w:rPr>
        <w:t>:</w:t>
      </w:r>
      <w:r w:rsidRPr="00F32187">
        <w:rPr>
          <w:noProof/>
          <w:lang w:val="fr-FR"/>
        </w:rPr>
        <w:t xml:space="preserve"> Survey Respondents</w:t>
      </w:r>
    </w:p>
    <w:p w14:paraId="1C811514" w14:textId="2C6001D7" w:rsidR="00A508D4" w:rsidRPr="00F32187" w:rsidRDefault="00A508D4" w:rsidP="00A508D4">
      <w:pPr>
        <w:spacing w:after="240"/>
        <w:rPr>
          <w:b/>
          <w:noProof/>
          <w:lang w:val="fr-FR"/>
        </w:rPr>
      </w:pPr>
      <w:r w:rsidRPr="00F32187">
        <w:rPr>
          <w:b/>
          <w:noProof/>
          <w:lang w:val="fr-FR"/>
        </w:rPr>
        <w:t>Appendice VI</w:t>
      </w:r>
      <w:r w:rsidR="00B37BEF" w:rsidRPr="00F32187">
        <w:rPr>
          <w:b/>
          <w:noProof/>
          <w:lang w:val="fr-FR"/>
        </w:rPr>
        <w:t> </w:t>
      </w:r>
      <w:r w:rsidRPr="00F32187">
        <w:rPr>
          <w:b/>
          <w:noProof/>
          <w:lang w:val="fr-FR"/>
        </w:rPr>
        <w:t xml:space="preserve">: </w:t>
      </w:r>
      <w:r w:rsidRPr="00F32187">
        <w:rPr>
          <w:noProof/>
          <w:lang w:val="fr-FR"/>
        </w:rPr>
        <w:t>External Document References</w:t>
      </w:r>
    </w:p>
    <w:p w14:paraId="4DC2F570" w14:textId="65BCA730" w:rsidR="00E045F1" w:rsidRPr="00AB3257" w:rsidRDefault="00E045F1" w:rsidP="00AB3257">
      <w:pPr>
        <w:pStyle w:val="Heading1"/>
      </w:pPr>
      <w:r w:rsidRPr="00F32187">
        <w:br w:type="page"/>
      </w:r>
      <w:bookmarkStart w:id="5" w:name="_Toc140224966"/>
      <w:bookmarkStart w:id="6" w:name="_Toc146025093"/>
      <w:r w:rsidR="00AB3257" w:rsidRPr="00AB3257">
        <w:lastRenderedPageBreak/>
        <w:t>Liste des sigles</w:t>
      </w:r>
      <w:bookmarkEnd w:id="5"/>
      <w:bookmarkEnd w:id="6"/>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IST OF ACRONYMS"/>
        <w:tblDescription w:val="LIST OF ACRONYMS"/>
      </w:tblPr>
      <w:tblGrid>
        <w:gridCol w:w="1560"/>
        <w:gridCol w:w="6934"/>
      </w:tblGrid>
      <w:tr w:rsidR="00E045F1" w:rsidRPr="00F32187" w14:paraId="3F30A3C9" w14:textId="77777777" w:rsidTr="0073566D">
        <w:trPr>
          <w:tblHeader/>
        </w:trPr>
        <w:tc>
          <w:tcPr>
            <w:tcW w:w="1560" w:type="dxa"/>
          </w:tcPr>
          <w:p w14:paraId="4B4EB775" w14:textId="77777777" w:rsidR="00E045F1" w:rsidRPr="00F32187" w:rsidRDefault="00E045F1" w:rsidP="0073566D">
            <w:pPr>
              <w:rPr>
                <w:lang w:val="fr-FR"/>
              </w:rPr>
            </w:pPr>
          </w:p>
        </w:tc>
        <w:tc>
          <w:tcPr>
            <w:tcW w:w="6934" w:type="dxa"/>
          </w:tcPr>
          <w:p w14:paraId="25E0E151" w14:textId="77777777" w:rsidR="00E045F1" w:rsidRPr="00F32187" w:rsidRDefault="00E045F1" w:rsidP="0073566D">
            <w:pPr>
              <w:rPr>
                <w:lang w:val="fr-FR"/>
              </w:rPr>
            </w:pPr>
          </w:p>
        </w:tc>
      </w:tr>
      <w:tr w:rsidR="00E045F1" w:rsidRPr="00F32187" w14:paraId="7C440218" w14:textId="77777777" w:rsidTr="0073566D">
        <w:tc>
          <w:tcPr>
            <w:tcW w:w="1560" w:type="dxa"/>
          </w:tcPr>
          <w:p w14:paraId="48083B2C" w14:textId="77777777" w:rsidR="00E045F1" w:rsidRPr="00F32187" w:rsidRDefault="00E045F1" w:rsidP="0073566D">
            <w:pPr>
              <w:rPr>
                <w:lang w:val="fr-FR"/>
              </w:rPr>
            </w:pPr>
            <w:r w:rsidRPr="00F32187">
              <w:rPr>
                <w:lang w:val="fr-FR"/>
              </w:rPr>
              <w:t>ASEAN</w:t>
            </w:r>
          </w:p>
        </w:tc>
        <w:tc>
          <w:tcPr>
            <w:tcW w:w="6934" w:type="dxa"/>
          </w:tcPr>
          <w:p w14:paraId="7ED2E910" w14:textId="2B4AE4FC" w:rsidR="00E045F1" w:rsidRPr="00F32187" w:rsidRDefault="00E045F1" w:rsidP="0073566D">
            <w:pPr>
              <w:rPr>
                <w:lang w:val="fr-FR"/>
              </w:rPr>
            </w:pPr>
            <w:r w:rsidRPr="00F32187">
              <w:rPr>
                <w:lang w:val="fr-FR"/>
              </w:rPr>
              <w:t>Association des Nations de l</w:t>
            </w:r>
            <w:r w:rsidR="00535418" w:rsidRPr="00F32187">
              <w:rPr>
                <w:lang w:val="fr-FR"/>
              </w:rPr>
              <w:t>’</w:t>
            </w:r>
            <w:r w:rsidRPr="00F32187">
              <w:rPr>
                <w:lang w:val="fr-FR"/>
              </w:rPr>
              <w:t>Asie du Sud</w:t>
            </w:r>
            <w:r w:rsidR="00444006">
              <w:rPr>
                <w:lang w:val="fr-FR"/>
              </w:rPr>
              <w:noBreakHyphen/>
            </w:r>
            <w:r w:rsidRPr="00F32187">
              <w:rPr>
                <w:lang w:val="fr-FR"/>
              </w:rPr>
              <w:t>Est</w:t>
            </w:r>
          </w:p>
        </w:tc>
      </w:tr>
      <w:tr w:rsidR="00E045F1" w:rsidRPr="00F32187" w14:paraId="27F22A6C" w14:textId="77777777" w:rsidTr="0073566D">
        <w:tc>
          <w:tcPr>
            <w:tcW w:w="1560" w:type="dxa"/>
          </w:tcPr>
          <w:p w14:paraId="58115983" w14:textId="77777777" w:rsidR="00E045F1" w:rsidRPr="00F32187" w:rsidRDefault="00E045F1" w:rsidP="0073566D">
            <w:pPr>
              <w:rPr>
                <w:lang w:val="fr-FR"/>
              </w:rPr>
            </w:pPr>
            <w:r w:rsidRPr="00F32187">
              <w:rPr>
                <w:lang w:val="fr-FR"/>
              </w:rPr>
              <w:t>CDIP</w:t>
            </w:r>
          </w:p>
        </w:tc>
        <w:tc>
          <w:tcPr>
            <w:tcW w:w="6934" w:type="dxa"/>
          </w:tcPr>
          <w:p w14:paraId="2CA3EE1A" w14:textId="77777777" w:rsidR="00E045F1" w:rsidRPr="00F32187" w:rsidRDefault="00E045F1" w:rsidP="0073566D">
            <w:pPr>
              <w:rPr>
                <w:lang w:val="fr-FR"/>
              </w:rPr>
            </w:pPr>
            <w:r w:rsidRPr="00F32187">
              <w:rPr>
                <w:lang w:val="fr-FR"/>
              </w:rPr>
              <w:t>Comité du développement et de la propriété intellectuelle</w:t>
            </w:r>
          </w:p>
        </w:tc>
      </w:tr>
      <w:tr w:rsidR="00E045F1" w:rsidRPr="00F32187" w14:paraId="507AE0A0" w14:textId="77777777" w:rsidTr="0073566D">
        <w:trPr>
          <w:trHeight w:val="300"/>
        </w:trPr>
        <w:tc>
          <w:tcPr>
            <w:tcW w:w="1560" w:type="dxa"/>
          </w:tcPr>
          <w:p w14:paraId="105235F2" w14:textId="77777777" w:rsidR="00E045F1" w:rsidRPr="00F32187" w:rsidRDefault="00E045F1" w:rsidP="0073566D">
            <w:pPr>
              <w:rPr>
                <w:lang w:val="fr-FR"/>
              </w:rPr>
            </w:pPr>
            <w:r w:rsidRPr="00F32187">
              <w:rPr>
                <w:lang w:val="fr-FR"/>
              </w:rPr>
              <w:t>QE</w:t>
            </w:r>
          </w:p>
        </w:tc>
        <w:tc>
          <w:tcPr>
            <w:tcW w:w="6934" w:type="dxa"/>
          </w:tcPr>
          <w:p w14:paraId="3CEC4E0B" w14:textId="5390A26A" w:rsidR="00E045F1" w:rsidRPr="00F32187" w:rsidRDefault="00E045F1" w:rsidP="0073566D">
            <w:pPr>
              <w:rPr>
                <w:rFonts w:cstheme="minorHAnsi"/>
                <w:lang w:val="fr-FR"/>
              </w:rPr>
            </w:pPr>
            <w:r w:rsidRPr="00F32187">
              <w:rPr>
                <w:rFonts w:cstheme="minorHAnsi"/>
                <w:lang w:val="fr-FR"/>
              </w:rPr>
              <w:t>Question d</w:t>
            </w:r>
            <w:r w:rsidR="00535418" w:rsidRPr="00F32187">
              <w:rPr>
                <w:rFonts w:cstheme="minorHAnsi"/>
                <w:lang w:val="fr-FR"/>
              </w:rPr>
              <w:t>’</w:t>
            </w:r>
            <w:r w:rsidRPr="00F32187">
              <w:rPr>
                <w:rFonts w:cstheme="minorHAnsi"/>
                <w:lang w:val="fr-FR"/>
              </w:rPr>
              <w:t>évaluation</w:t>
            </w:r>
          </w:p>
        </w:tc>
      </w:tr>
      <w:tr w:rsidR="00E045F1" w:rsidRPr="00F32187" w14:paraId="01F1B5FB" w14:textId="77777777" w:rsidTr="0073566D">
        <w:trPr>
          <w:trHeight w:val="300"/>
        </w:trPr>
        <w:tc>
          <w:tcPr>
            <w:tcW w:w="1560" w:type="dxa"/>
          </w:tcPr>
          <w:p w14:paraId="150831CB" w14:textId="77777777" w:rsidR="00E045F1" w:rsidRPr="00F32187" w:rsidRDefault="00E045F1" w:rsidP="0073566D">
            <w:pPr>
              <w:rPr>
                <w:lang w:val="fr-FR"/>
              </w:rPr>
            </w:pPr>
            <w:r w:rsidRPr="00F32187">
              <w:rPr>
                <w:lang w:val="fr-FR"/>
              </w:rPr>
              <w:t>OCDE</w:t>
            </w:r>
          </w:p>
        </w:tc>
        <w:tc>
          <w:tcPr>
            <w:tcW w:w="6934" w:type="dxa"/>
          </w:tcPr>
          <w:p w14:paraId="766B0026" w14:textId="77777777" w:rsidR="00E045F1" w:rsidRPr="00F32187" w:rsidRDefault="00E045F1" w:rsidP="0073566D">
            <w:pPr>
              <w:rPr>
                <w:lang w:val="fr-FR"/>
              </w:rPr>
            </w:pPr>
            <w:r w:rsidRPr="00F32187">
              <w:rPr>
                <w:lang w:val="fr-FR"/>
              </w:rPr>
              <w:t>Organisation de coopération et de développement économiques</w:t>
            </w:r>
          </w:p>
        </w:tc>
      </w:tr>
      <w:tr w:rsidR="00E045F1" w:rsidRPr="00F32187" w14:paraId="3169F764" w14:textId="77777777" w:rsidTr="0073566D">
        <w:trPr>
          <w:trHeight w:val="300"/>
        </w:trPr>
        <w:tc>
          <w:tcPr>
            <w:tcW w:w="1560" w:type="dxa"/>
          </w:tcPr>
          <w:p w14:paraId="30DF218C" w14:textId="77777777" w:rsidR="00E045F1" w:rsidRPr="00F32187" w:rsidRDefault="00E045F1" w:rsidP="0073566D">
            <w:pPr>
              <w:rPr>
                <w:lang w:val="fr-FR"/>
              </w:rPr>
            </w:pPr>
            <w:r w:rsidRPr="00F32187">
              <w:rPr>
                <w:lang w:val="fr-FR"/>
              </w:rPr>
              <w:t>INPI</w:t>
            </w:r>
          </w:p>
        </w:tc>
        <w:tc>
          <w:tcPr>
            <w:tcW w:w="6934" w:type="dxa"/>
          </w:tcPr>
          <w:p w14:paraId="7B16B6A6" w14:textId="77777777" w:rsidR="00E045F1" w:rsidRPr="00F32187" w:rsidRDefault="00E045F1" w:rsidP="0073566D">
            <w:pPr>
              <w:rPr>
                <w:lang w:val="fr-FR"/>
              </w:rPr>
            </w:pPr>
            <w:r w:rsidRPr="00F32187">
              <w:rPr>
                <w:lang w:val="fr-FR"/>
              </w:rPr>
              <w:t>Institut national de la propriété industrielle (INPI) du Brésil</w:t>
            </w:r>
          </w:p>
        </w:tc>
      </w:tr>
      <w:tr w:rsidR="00E045F1" w:rsidRPr="00F32187" w14:paraId="3FE900E0" w14:textId="77777777" w:rsidTr="0073566D">
        <w:trPr>
          <w:trHeight w:val="300"/>
        </w:trPr>
        <w:tc>
          <w:tcPr>
            <w:tcW w:w="1560" w:type="dxa"/>
          </w:tcPr>
          <w:p w14:paraId="49447F2F" w14:textId="77777777" w:rsidR="00E045F1" w:rsidRPr="00F32187" w:rsidRDefault="00E045F1" w:rsidP="0073566D">
            <w:pPr>
              <w:rPr>
                <w:lang w:val="fr-FR"/>
              </w:rPr>
            </w:pPr>
            <w:r w:rsidRPr="00F32187">
              <w:rPr>
                <w:lang w:val="fr-FR"/>
              </w:rPr>
              <w:t>OMPI</w:t>
            </w:r>
          </w:p>
        </w:tc>
        <w:tc>
          <w:tcPr>
            <w:tcW w:w="6934" w:type="dxa"/>
          </w:tcPr>
          <w:p w14:paraId="63D00F54" w14:textId="77777777" w:rsidR="00E045F1" w:rsidRPr="00F32187" w:rsidRDefault="00E045F1" w:rsidP="0073566D">
            <w:pPr>
              <w:rPr>
                <w:lang w:val="fr-FR"/>
              </w:rPr>
            </w:pPr>
            <w:r w:rsidRPr="00F32187">
              <w:rPr>
                <w:lang w:val="fr-FR"/>
              </w:rPr>
              <w:t xml:space="preserve">Organisation Mondiale de la Propriété Intellectuelle </w:t>
            </w:r>
          </w:p>
        </w:tc>
      </w:tr>
    </w:tbl>
    <w:p w14:paraId="68D378C6" w14:textId="77777777" w:rsidR="00E045F1" w:rsidRPr="00F32187" w:rsidRDefault="00E045F1" w:rsidP="00E045F1">
      <w:pPr>
        <w:rPr>
          <w:lang w:val="fr-FR"/>
        </w:rPr>
      </w:pPr>
    </w:p>
    <w:p w14:paraId="13CD373F" w14:textId="130A719E" w:rsidR="00E045F1" w:rsidRPr="00F32187" w:rsidRDefault="00E045F1" w:rsidP="00AB3257">
      <w:pPr>
        <w:pStyle w:val="Heading1"/>
        <w:numPr>
          <w:ilvl w:val="0"/>
          <w:numId w:val="7"/>
        </w:numPr>
      </w:pPr>
      <w:r w:rsidRPr="00F32187">
        <w:br w:type="page"/>
      </w:r>
      <w:bookmarkStart w:id="7" w:name="_Toc145933434"/>
      <w:bookmarkStart w:id="8" w:name="_Toc146025094"/>
      <w:r w:rsidRPr="00F32187">
        <w:lastRenderedPageBreak/>
        <w:t>R</w:t>
      </w:r>
      <w:r w:rsidR="00444006">
        <w:t>ésumé</w:t>
      </w:r>
      <w:bookmarkEnd w:id="7"/>
      <w:bookmarkEnd w:id="8"/>
    </w:p>
    <w:p w14:paraId="42CD3445" w14:textId="13768E5C" w:rsidR="00E045F1" w:rsidRPr="00444006" w:rsidRDefault="00E045F1" w:rsidP="00444006">
      <w:pPr>
        <w:pStyle w:val="ONUMFS"/>
        <w:numPr>
          <w:ilvl w:val="0"/>
          <w:numId w:val="32"/>
        </w:numPr>
        <w:rPr>
          <w:lang w:val="fr-FR"/>
        </w:rPr>
      </w:pPr>
      <w:r w:rsidRPr="00444006">
        <w:rPr>
          <w:lang w:val="fr-FR"/>
        </w:rPr>
        <w:t>Le présent rapport d</w:t>
      </w:r>
      <w:r w:rsidR="00535418" w:rsidRPr="00444006">
        <w:rPr>
          <w:lang w:val="fr-FR"/>
        </w:rPr>
        <w:t>’</w:t>
      </w:r>
      <w:r w:rsidRPr="00444006">
        <w:rPr>
          <w:lang w:val="fr-FR"/>
        </w:rPr>
        <w:t>évaluation indépendante porte sur deux</w:t>
      </w:r>
      <w:r w:rsidR="00B37BEF" w:rsidRPr="00444006">
        <w:rPr>
          <w:lang w:val="fr-FR"/>
        </w:rPr>
        <w:t> </w:t>
      </w:r>
      <w:r w:rsidRPr="00444006">
        <w:rPr>
          <w:lang w:val="fr-FR"/>
        </w:rPr>
        <w:t>phases du projet relevant du Plan d</w:t>
      </w:r>
      <w:r w:rsidR="00535418" w:rsidRPr="00444006">
        <w:rPr>
          <w:lang w:val="fr-FR"/>
        </w:rPr>
        <w:t>’</w:t>
      </w:r>
      <w:r w:rsidRPr="00444006">
        <w:rPr>
          <w:lang w:val="fr-FR"/>
        </w:rPr>
        <w:t>action pour le développement relatif à la propriété intellectuelle et au développement socioéconomique (ci</w:t>
      </w:r>
      <w:r w:rsidR="00444006">
        <w:rPr>
          <w:lang w:val="fr-FR"/>
        </w:rPr>
        <w:noBreakHyphen/>
      </w:r>
      <w:r w:rsidRPr="00444006">
        <w:rPr>
          <w:lang w:val="fr-FR"/>
        </w:rPr>
        <w:t>après dénommé “projet”), mises en œuvre entre 2012 et 2018 (DA_35_37_01 et DA_35_37_02).  Ces deux</w:t>
      </w:r>
      <w:r w:rsidR="00B37BEF" w:rsidRPr="00444006">
        <w:rPr>
          <w:lang w:val="fr-FR"/>
        </w:rPr>
        <w:t> </w:t>
      </w:r>
      <w:r w:rsidRPr="00444006">
        <w:rPr>
          <w:lang w:val="fr-FR"/>
        </w:rPr>
        <w:t xml:space="preserve">phases du projet, adoptées respectivement durant </w:t>
      </w:r>
      <w:proofErr w:type="gramStart"/>
      <w:r w:rsidRPr="00444006">
        <w:rPr>
          <w:lang w:val="fr-FR"/>
        </w:rPr>
        <w:t>les cinquième</w:t>
      </w:r>
      <w:proofErr w:type="gramEnd"/>
      <w:r w:rsidRPr="00444006">
        <w:rPr>
          <w:lang w:val="fr-FR"/>
        </w:rPr>
        <w:t xml:space="preserve"> et quatorz</w:t>
      </w:r>
      <w:r w:rsidR="00535418" w:rsidRPr="00444006">
        <w:rPr>
          <w:lang w:val="fr-FR"/>
        </w:rPr>
        <w:t>ième session</w:t>
      </w:r>
      <w:r w:rsidRPr="00444006">
        <w:rPr>
          <w:lang w:val="fr-FR"/>
        </w:rPr>
        <w:t>s du Comité du développement et de la propriété intellectuelle (CDIP), visaient à combler les lacunes des décideurs s</w:t>
      </w:r>
      <w:r w:rsidR="00535418" w:rsidRPr="00444006">
        <w:rPr>
          <w:lang w:val="fr-FR"/>
        </w:rPr>
        <w:t>’</w:t>
      </w:r>
      <w:r w:rsidRPr="00444006">
        <w:rPr>
          <w:lang w:val="fr-FR"/>
        </w:rPr>
        <w:t>agissant de l</w:t>
      </w:r>
      <w:r w:rsidR="00535418" w:rsidRPr="00444006">
        <w:rPr>
          <w:lang w:val="fr-FR"/>
        </w:rPr>
        <w:t>’</w:t>
      </w:r>
      <w:r w:rsidRPr="00444006">
        <w:rPr>
          <w:lang w:val="fr-FR"/>
        </w:rPr>
        <w:t>élaboration et de la mise en œuvre d</w:t>
      </w:r>
      <w:r w:rsidR="00535418" w:rsidRPr="00444006">
        <w:rPr>
          <w:lang w:val="fr-FR"/>
        </w:rPr>
        <w:t>’</w:t>
      </w:r>
      <w:r w:rsidRPr="00444006">
        <w:rPr>
          <w:lang w:val="fr-FR"/>
        </w:rPr>
        <w:t>un régime de propriété intellectuelle favorisant le développeme</w:t>
      </w:r>
      <w:r w:rsidR="00F32187" w:rsidRPr="00444006">
        <w:rPr>
          <w:lang w:val="fr-FR"/>
        </w:rPr>
        <w:t>nt.  La</w:t>
      </w:r>
      <w:r w:rsidRPr="00444006">
        <w:rPr>
          <w:lang w:val="fr-FR"/>
        </w:rPr>
        <w:t xml:space="preserve"> présente évaluation, axée sur les incidences à long terme du projet, complète les deux</w:t>
      </w:r>
      <w:r w:rsidR="00B37BEF" w:rsidRPr="00444006">
        <w:rPr>
          <w:lang w:val="fr-FR"/>
        </w:rPr>
        <w:t> </w:t>
      </w:r>
      <w:r w:rsidRPr="00444006">
        <w:rPr>
          <w:lang w:val="fr-FR"/>
        </w:rPr>
        <w:t xml:space="preserve">évaluations menées </w:t>
      </w:r>
      <w:r w:rsidR="00535418" w:rsidRPr="00444006">
        <w:rPr>
          <w:lang w:val="fr-FR"/>
        </w:rPr>
        <w:t>en 2014</w:t>
      </w:r>
      <w:r w:rsidRPr="00444006">
        <w:rPr>
          <w:lang w:val="fr-FR"/>
        </w:rPr>
        <w:t xml:space="preserve"> et 2018 (documents </w:t>
      </w:r>
      <w:hyperlink r:id="rId15" w:history="1">
        <w:r w:rsidRPr="00444006">
          <w:rPr>
            <w:rStyle w:val="Hyperlink"/>
            <w:lang w:val="fr-FR"/>
          </w:rPr>
          <w:t>CDIP/14/3</w:t>
        </w:r>
      </w:hyperlink>
      <w:r w:rsidRPr="00444006">
        <w:rPr>
          <w:lang w:val="fr-FR"/>
        </w:rPr>
        <w:t xml:space="preserve"> et </w:t>
      </w:r>
      <w:hyperlink r:id="rId16" w:history="1">
        <w:r w:rsidRPr="00444006">
          <w:rPr>
            <w:rStyle w:val="Hyperlink"/>
            <w:lang w:val="fr-FR"/>
          </w:rPr>
          <w:t>CDIP/22/9</w:t>
        </w:r>
        <w:r w:rsidR="00B37BEF" w:rsidRPr="00444006">
          <w:rPr>
            <w:rStyle w:val="Hyperlink"/>
            <w:lang w:val="fr-FR"/>
          </w:rPr>
          <w:t> </w:t>
        </w:r>
        <w:proofErr w:type="spellStart"/>
        <w:r w:rsidRPr="00444006">
          <w:rPr>
            <w:rStyle w:val="Hyperlink"/>
            <w:lang w:val="fr-FR"/>
          </w:rPr>
          <w:t>Rev</w:t>
        </w:r>
        <w:proofErr w:type="spellEnd"/>
        <w:r w:rsidRPr="00444006">
          <w:rPr>
            <w:rStyle w:val="Hyperlink"/>
            <w:lang w:val="fr-FR"/>
          </w:rPr>
          <w:t>.</w:t>
        </w:r>
      </w:hyperlink>
      <w:r w:rsidRPr="00444006">
        <w:rPr>
          <w:lang w:val="fr-FR"/>
        </w:rPr>
        <w:t>).</w:t>
      </w:r>
    </w:p>
    <w:p w14:paraId="555B0060" w14:textId="67BCFA2D" w:rsidR="00E045F1" w:rsidRPr="00F32187" w:rsidRDefault="00E045F1" w:rsidP="00E045F1">
      <w:pPr>
        <w:pStyle w:val="ONUMFS"/>
        <w:spacing w:after="0"/>
        <w:rPr>
          <w:lang w:val="fr-FR"/>
        </w:rPr>
      </w:pPr>
      <w:r w:rsidRPr="00F32187">
        <w:rPr>
          <w:lang w:val="fr-FR"/>
        </w:rPr>
        <w:t>L</w:t>
      </w:r>
      <w:r w:rsidR="00535418" w:rsidRPr="00F32187">
        <w:rPr>
          <w:lang w:val="fr-FR"/>
        </w:rPr>
        <w:t>’</w:t>
      </w:r>
      <w:r w:rsidRPr="00F32187">
        <w:rPr>
          <w:lang w:val="fr-FR"/>
        </w:rPr>
        <w:t>évaluation, effectuée sur la base d</w:t>
      </w:r>
      <w:r w:rsidR="00535418" w:rsidRPr="00F32187">
        <w:rPr>
          <w:lang w:val="fr-FR"/>
        </w:rPr>
        <w:t>’</w:t>
      </w:r>
      <w:r w:rsidRPr="00F32187">
        <w:rPr>
          <w:lang w:val="fr-FR"/>
        </w:rPr>
        <w:t>un mandat datant du 15 février 2023, a été menée en étroite collaboration avec la Division de la coordination du Plan d</w:t>
      </w:r>
      <w:r w:rsidR="00535418" w:rsidRPr="00F32187">
        <w:rPr>
          <w:lang w:val="fr-FR"/>
        </w:rPr>
        <w:t>’</w:t>
      </w:r>
      <w:r w:rsidRPr="00F32187">
        <w:rPr>
          <w:lang w:val="fr-FR"/>
        </w:rPr>
        <w:t>action pour le développement et la Section de l</w:t>
      </w:r>
      <w:r w:rsidR="00535418" w:rsidRPr="00F32187">
        <w:rPr>
          <w:lang w:val="fr-FR"/>
        </w:rPr>
        <w:t>’</w:t>
      </w:r>
      <w:r w:rsidRPr="00F32187">
        <w:rPr>
          <w:lang w:val="fr-FR"/>
        </w:rPr>
        <w:t>évaluation de la Division de la supervision inter</w:t>
      </w:r>
      <w:r w:rsidR="00F32187" w:rsidRPr="00F32187">
        <w:rPr>
          <w:lang w:val="fr-FR"/>
        </w:rPr>
        <w:t>ne.  La</w:t>
      </w:r>
      <w:r w:rsidRPr="00F32187">
        <w:rPr>
          <w:lang w:val="fr-FR"/>
        </w:rPr>
        <w:t xml:space="preserve"> collecte des données a été réalisée en juin et juillet 2023.</w:t>
      </w:r>
    </w:p>
    <w:p w14:paraId="1F2A3D64" w14:textId="77777777" w:rsidR="00E045F1" w:rsidRPr="00444006" w:rsidRDefault="00E045F1" w:rsidP="00521E1F">
      <w:pPr>
        <w:pStyle w:val="Heading2"/>
        <w:ind w:left="1134" w:hanging="567"/>
      </w:pPr>
      <w:bookmarkStart w:id="9" w:name="_Toc140224968"/>
      <w:bookmarkStart w:id="10" w:name="_Toc145933435"/>
      <w:bookmarkStart w:id="11" w:name="_Toc146025095"/>
      <w:r w:rsidRPr="00444006">
        <w:t>Conclusions</w:t>
      </w:r>
      <w:bookmarkEnd w:id="9"/>
      <w:bookmarkEnd w:id="10"/>
      <w:bookmarkEnd w:id="11"/>
    </w:p>
    <w:p w14:paraId="3281E8FD" w14:textId="79B44C18" w:rsidR="00E045F1" w:rsidRPr="00F32187" w:rsidRDefault="00E045F1" w:rsidP="00E045F1">
      <w:pPr>
        <w:pStyle w:val="ONUMFS"/>
        <w:rPr>
          <w:lang w:val="fr-FR"/>
        </w:rPr>
      </w:pPr>
      <w:r w:rsidRPr="00F32187">
        <w:rPr>
          <w:lang w:val="fr-FR"/>
        </w:rPr>
        <w:t>L</w:t>
      </w:r>
      <w:r w:rsidR="00535418" w:rsidRPr="00F32187">
        <w:rPr>
          <w:lang w:val="fr-FR"/>
        </w:rPr>
        <w:t>’</w:t>
      </w:r>
      <w:r w:rsidRPr="00F32187">
        <w:rPr>
          <w:lang w:val="fr-FR"/>
        </w:rPr>
        <w:t>évaluation a permis de tirer les conclusions suivantes</w:t>
      </w:r>
      <w:r w:rsidR="00535418" w:rsidRPr="00F32187">
        <w:rPr>
          <w:lang w:val="fr-FR"/>
        </w:rPr>
        <w:t> :</w:t>
      </w:r>
    </w:p>
    <w:p w14:paraId="3CD40C93" w14:textId="1D1731CD" w:rsidR="00E045F1" w:rsidRPr="00F32187" w:rsidRDefault="00E045F1" w:rsidP="00E045F1">
      <w:pPr>
        <w:pStyle w:val="ONUMFS"/>
        <w:numPr>
          <w:ilvl w:val="0"/>
          <w:numId w:val="0"/>
        </w:numPr>
        <w:rPr>
          <w:b/>
          <w:bCs/>
          <w:lang w:val="fr-FR"/>
        </w:rPr>
      </w:pPr>
      <w:r w:rsidRPr="00F32187">
        <w:rPr>
          <w:b/>
          <w:bCs/>
          <w:lang w:val="fr-FR"/>
        </w:rPr>
        <w:t>Conclusion n° </w:t>
      </w:r>
      <w:r w:rsidRPr="00F32187">
        <w:rPr>
          <w:lang w:val="fr-FR"/>
        </w:rPr>
        <w:fldChar w:fldCharType="begin"/>
      </w:r>
      <w:r w:rsidRPr="00F32187">
        <w:rPr>
          <w:lang w:val="fr-FR"/>
        </w:rPr>
        <w:instrText xml:space="preserve"> SEQ Conclusion \* ARABIC </w:instrText>
      </w:r>
      <w:r w:rsidRPr="00F32187">
        <w:rPr>
          <w:lang w:val="fr-FR"/>
        </w:rPr>
        <w:fldChar w:fldCharType="separate"/>
      </w:r>
      <w:r w:rsidR="0094636A">
        <w:rPr>
          <w:noProof/>
          <w:lang w:val="fr-FR"/>
        </w:rPr>
        <w:t>1</w:t>
      </w:r>
      <w:r w:rsidRPr="00F32187">
        <w:rPr>
          <w:lang w:val="fr-FR"/>
        </w:rPr>
        <w:fldChar w:fldCharType="end"/>
      </w:r>
      <w:r w:rsidR="00535418" w:rsidRPr="00F32187">
        <w:rPr>
          <w:lang w:val="fr-FR"/>
        </w:rPr>
        <w:t> :</w:t>
      </w:r>
      <w:r w:rsidRPr="00F32187">
        <w:rPr>
          <w:b/>
          <w:bCs/>
          <w:lang w:val="fr-FR"/>
        </w:rPr>
        <w:t xml:space="preserve"> le projet a eu des incidences positives à long terme dans les pays bénéficiaires</w:t>
      </w:r>
    </w:p>
    <w:p w14:paraId="2DF33500" w14:textId="34B06AC5" w:rsidR="00E045F1" w:rsidRPr="00AB3257" w:rsidRDefault="00E045F1" w:rsidP="00E045F1">
      <w:pPr>
        <w:pStyle w:val="ONUMFS"/>
        <w:rPr>
          <w:lang w:val="fr-FR"/>
        </w:rPr>
      </w:pPr>
      <w:r w:rsidRPr="00F32187">
        <w:rPr>
          <w:lang w:val="fr-FR"/>
        </w:rPr>
        <w:t>Il ressort des données d</w:t>
      </w:r>
      <w:r w:rsidR="00535418" w:rsidRPr="00F32187">
        <w:rPr>
          <w:lang w:val="fr-FR"/>
        </w:rPr>
        <w:t>’</w:t>
      </w:r>
      <w:r w:rsidRPr="00F32187">
        <w:rPr>
          <w:lang w:val="fr-FR"/>
        </w:rPr>
        <w:t>évaluation que les résultats escomptés pertinents de l</w:t>
      </w:r>
      <w:r w:rsidR="00535418" w:rsidRPr="00F32187">
        <w:rPr>
          <w:lang w:val="fr-FR"/>
        </w:rPr>
        <w:t>’</w:t>
      </w:r>
      <w:r w:rsidRPr="00F32187">
        <w:rPr>
          <w:lang w:val="fr-FR"/>
        </w:rPr>
        <w:t>OMPI</w:t>
      </w:r>
      <w:r w:rsidRPr="00F32187">
        <w:rPr>
          <w:rStyle w:val="FootnoteReference"/>
          <w:lang w:val="fr-FR"/>
        </w:rPr>
        <w:footnoteReference w:id="2"/>
      </w:r>
      <w:r w:rsidRPr="00F32187">
        <w:rPr>
          <w:lang w:val="fr-FR"/>
        </w:rPr>
        <w:t xml:space="preserve"> ont été obtenus dans certains pa</w:t>
      </w:r>
      <w:r w:rsidR="00F32187" w:rsidRPr="00F32187">
        <w:rPr>
          <w:lang w:val="fr-FR"/>
        </w:rPr>
        <w:t>ys.  En</w:t>
      </w:r>
      <w:r w:rsidRPr="00F32187">
        <w:rPr>
          <w:lang w:val="fr-FR"/>
        </w:rPr>
        <w:t xml:space="preserve"> raison des limites de l</w:t>
      </w:r>
      <w:r w:rsidR="00535418" w:rsidRPr="00F32187">
        <w:rPr>
          <w:lang w:val="fr-FR"/>
        </w:rPr>
        <w:t>’</w:t>
      </w:r>
      <w:r w:rsidRPr="00F32187">
        <w:rPr>
          <w:lang w:val="fr-FR"/>
        </w:rPr>
        <w:t>évaluation, il n</w:t>
      </w:r>
      <w:r w:rsidR="00535418" w:rsidRPr="00F32187">
        <w:rPr>
          <w:lang w:val="fr-FR"/>
        </w:rPr>
        <w:t>’</w:t>
      </w:r>
      <w:r w:rsidRPr="00F32187">
        <w:rPr>
          <w:lang w:val="fr-FR"/>
        </w:rPr>
        <w:t>a pas été possible de confirmer les incidences pour l</w:t>
      </w:r>
      <w:r w:rsidR="00535418" w:rsidRPr="00F32187">
        <w:rPr>
          <w:lang w:val="fr-FR"/>
        </w:rPr>
        <w:t>’</w:t>
      </w:r>
      <w:r w:rsidRPr="00F32187">
        <w:rPr>
          <w:lang w:val="fr-FR"/>
        </w:rPr>
        <w:t xml:space="preserve">ensemble des </w:t>
      </w:r>
      <w:proofErr w:type="gramStart"/>
      <w:r w:rsidRPr="00F32187">
        <w:rPr>
          <w:lang w:val="fr-FR"/>
        </w:rPr>
        <w:t>pays;  cependant</w:t>
      </w:r>
      <w:proofErr w:type="gramEnd"/>
      <w:r w:rsidRPr="00F32187">
        <w:rPr>
          <w:lang w:val="fr-FR"/>
        </w:rPr>
        <w:t>, les entretiens avec des informateurs clés, les groupes de réflexion, les données d</w:t>
      </w:r>
      <w:r w:rsidR="00535418" w:rsidRPr="00F32187">
        <w:rPr>
          <w:lang w:val="fr-FR"/>
        </w:rPr>
        <w:t>’</w:t>
      </w:r>
      <w:r w:rsidRPr="00F32187">
        <w:rPr>
          <w:lang w:val="fr-FR"/>
        </w:rPr>
        <w:t>enquête et l</w:t>
      </w:r>
      <w:r w:rsidR="00535418" w:rsidRPr="00F32187">
        <w:rPr>
          <w:lang w:val="fr-FR"/>
        </w:rPr>
        <w:t>’</w:t>
      </w:r>
      <w:r w:rsidRPr="00F32187">
        <w:rPr>
          <w:lang w:val="fr-FR"/>
        </w:rPr>
        <w:t>examen des documents donnent un aperçu convaincant de l</w:t>
      </w:r>
      <w:r w:rsidR="00535418" w:rsidRPr="00F32187">
        <w:rPr>
          <w:lang w:val="fr-FR"/>
        </w:rPr>
        <w:t>’</w:t>
      </w:r>
      <w:r w:rsidRPr="00F32187">
        <w:rPr>
          <w:lang w:val="fr-FR"/>
        </w:rPr>
        <w:t>impact significatif du proj</w:t>
      </w:r>
      <w:r w:rsidR="00F32187" w:rsidRPr="00F32187">
        <w:rPr>
          <w:lang w:val="fr-FR"/>
        </w:rPr>
        <w:t>et.  Le</w:t>
      </w:r>
      <w:r w:rsidRPr="00F32187">
        <w:rPr>
          <w:lang w:val="fr-FR"/>
        </w:rPr>
        <w:t>s contributions aux incidences du projet sont indiquées tout au long du rapport d</w:t>
      </w:r>
      <w:r w:rsidR="00535418" w:rsidRPr="00F32187">
        <w:rPr>
          <w:lang w:val="fr-FR"/>
        </w:rPr>
        <w:t>’</w:t>
      </w:r>
      <w:r w:rsidRPr="00F32187">
        <w:rPr>
          <w:lang w:val="fr-FR"/>
        </w:rPr>
        <w:t>évaluati</w:t>
      </w:r>
      <w:r w:rsidR="00F32187" w:rsidRPr="00F32187">
        <w:rPr>
          <w:lang w:val="fr-FR"/>
        </w:rPr>
        <w:t>on.  Le</w:t>
      </w:r>
      <w:r w:rsidRPr="00F32187">
        <w:rPr>
          <w:lang w:val="fr-FR"/>
        </w:rPr>
        <w:t>s incidences primaires du projet sont notamment les suivantes</w:t>
      </w:r>
      <w:r w:rsidR="00535418" w:rsidRPr="00F32187">
        <w:rPr>
          <w:lang w:val="fr-FR"/>
        </w:rPr>
        <w:t> :</w:t>
      </w:r>
    </w:p>
    <w:p w14:paraId="6645136B" w14:textId="79426E80" w:rsidR="00E045F1" w:rsidRPr="00F32187" w:rsidRDefault="00E045F1" w:rsidP="00AB3257">
      <w:pPr>
        <w:pStyle w:val="ONUMFS"/>
        <w:numPr>
          <w:ilvl w:val="0"/>
          <w:numId w:val="20"/>
        </w:numPr>
        <w:ind w:left="1134" w:hanging="567"/>
        <w:rPr>
          <w:lang w:val="fr-FR"/>
        </w:rPr>
      </w:pPr>
      <w:proofErr w:type="gramStart"/>
      <w:r w:rsidRPr="00F32187">
        <w:rPr>
          <w:lang w:val="fr-FR"/>
        </w:rPr>
        <w:t>la</w:t>
      </w:r>
      <w:proofErr w:type="gramEnd"/>
      <w:r w:rsidRPr="00F32187">
        <w:rPr>
          <w:lang w:val="fr-FR"/>
        </w:rPr>
        <w:t xml:space="preserve"> promotion des recommandations </w:t>
      </w:r>
      <w:r w:rsidR="00B37BEF" w:rsidRPr="00F32187">
        <w:rPr>
          <w:lang w:val="fr-FR"/>
        </w:rPr>
        <w:t>n</w:t>
      </w:r>
      <w:r w:rsidR="00B37BEF" w:rsidRPr="00F32187">
        <w:rPr>
          <w:vertAlign w:val="superscript"/>
          <w:lang w:val="fr-FR"/>
        </w:rPr>
        <w:t>os</w:t>
      </w:r>
      <w:r w:rsidRPr="00F32187">
        <w:rPr>
          <w:lang w:val="fr-FR"/>
        </w:rPr>
        <w:t> 35</w:t>
      </w:r>
      <w:r w:rsidRPr="00F32187">
        <w:rPr>
          <w:rStyle w:val="FootnoteReference"/>
          <w:lang w:val="fr-FR"/>
        </w:rPr>
        <w:footnoteReference w:id="3"/>
      </w:r>
      <w:r w:rsidRPr="00F32187">
        <w:rPr>
          <w:lang w:val="fr-FR"/>
        </w:rPr>
        <w:t xml:space="preserve"> et</w:t>
      </w:r>
      <w:r w:rsidR="00F32187" w:rsidRPr="00F32187">
        <w:rPr>
          <w:lang w:val="fr-FR"/>
        </w:rPr>
        <w:t> </w:t>
      </w:r>
      <w:r w:rsidRPr="00F32187">
        <w:rPr>
          <w:lang w:val="fr-FR"/>
        </w:rPr>
        <w:t>37</w:t>
      </w:r>
      <w:r w:rsidRPr="00F32187">
        <w:rPr>
          <w:rStyle w:val="FootnoteReference"/>
          <w:lang w:val="fr-FR"/>
        </w:rPr>
        <w:footnoteReference w:id="4"/>
      </w:r>
      <w:r w:rsidRPr="00F32187">
        <w:rPr>
          <w:lang w:val="fr-FR"/>
        </w:rPr>
        <w:t xml:space="preserve"> du Plan d</w:t>
      </w:r>
      <w:r w:rsidR="00535418" w:rsidRPr="00F32187">
        <w:rPr>
          <w:lang w:val="fr-FR"/>
        </w:rPr>
        <w:t>’</w:t>
      </w:r>
      <w:r w:rsidRPr="00F32187">
        <w:rPr>
          <w:lang w:val="fr-FR"/>
        </w:rPr>
        <w:t>action pour le développement s</w:t>
      </w:r>
      <w:r w:rsidR="00535418" w:rsidRPr="00F32187">
        <w:rPr>
          <w:lang w:val="fr-FR"/>
        </w:rPr>
        <w:t>’</w:t>
      </w:r>
      <w:r w:rsidRPr="00F32187">
        <w:rPr>
          <w:lang w:val="fr-FR"/>
        </w:rPr>
        <w:t>est intensifiée dans les pays bénéficiaires;</w:t>
      </w:r>
    </w:p>
    <w:p w14:paraId="0306E896" w14:textId="7B9DC45E" w:rsidR="00E045F1" w:rsidRPr="00F32187" w:rsidRDefault="00E045F1" w:rsidP="00AB3257">
      <w:pPr>
        <w:pStyle w:val="ONUMFS"/>
        <w:numPr>
          <w:ilvl w:val="0"/>
          <w:numId w:val="20"/>
        </w:numPr>
        <w:ind w:left="1134" w:hanging="567"/>
        <w:rPr>
          <w:lang w:val="fr-FR"/>
        </w:rPr>
      </w:pPr>
      <w:proofErr w:type="gramStart"/>
      <w:r w:rsidRPr="00F32187">
        <w:rPr>
          <w:lang w:val="fr-FR"/>
        </w:rPr>
        <w:t>les</w:t>
      </w:r>
      <w:proofErr w:type="gramEnd"/>
      <w:r w:rsidRPr="00F32187">
        <w:rPr>
          <w:lang w:val="fr-FR"/>
        </w:rPr>
        <w:t xml:space="preserve"> activités de renforcement des capacités des personnes se sont maintenues et élargies, contribuant ainsi à l</w:t>
      </w:r>
      <w:r w:rsidR="00535418" w:rsidRPr="00F32187">
        <w:rPr>
          <w:lang w:val="fr-FR"/>
        </w:rPr>
        <w:t>’</w:t>
      </w:r>
      <w:r w:rsidRPr="00F32187">
        <w:rPr>
          <w:lang w:val="fr-FR"/>
        </w:rPr>
        <w:t>obtention de résultats après la fin du cycle de mise en œuvre du projet;</w:t>
      </w:r>
    </w:p>
    <w:p w14:paraId="3B156782" w14:textId="77777777" w:rsidR="00E045F1" w:rsidRPr="00F32187" w:rsidRDefault="00E045F1" w:rsidP="00AB3257">
      <w:pPr>
        <w:pStyle w:val="ONUMFS"/>
        <w:numPr>
          <w:ilvl w:val="0"/>
          <w:numId w:val="20"/>
        </w:numPr>
        <w:ind w:left="1134" w:hanging="567"/>
        <w:rPr>
          <w:lang w:val="fr-FR"/>
        </w:rPr>
      </w:pPr>
      <w:proofErr w:type="gramStart"/>
      <w:r w:rsidRPr="00F32187">
        <w:rPr>
          <w:lang w:val="fr-FR"/>
        </w:rPr>
        <w:t>les</w:t>
      </w:r>
      <w:proofErr w:type="gramEnd"/>
      <w:r w:rsidRPr="00F32187">
        <w:rPr>
          <w:lang w:val="fr-FR"/>
        </w:rPr>
        <w:t xml:space="preserve"> travaux de recherche sur les questions de propriété intellectuelle ont acquis une dimension plus multidisciplinaire, faisant notamment appel à des économistes;</w:t>
      </w:r>
    </w:p>
    <w:p w14:paraId="3F30B5BA" w14:textId="77777777" w:rsidR="00E045F1" w:rsidRPr="00F32187" w:rsidRDefault="00E045F1" w:rsidP="00AB3257">
      <w:pPr>
        <w:pStyle w:val="ONUMFS"/>
        <w:numPr>
          <w:ilvl w:val="0"/>
          <w:numId w:val="20"/>
        </w:numPr>
        <w:ind w:left="1134" w:hanging="567"/>
        <w:rPr>
          <w:lang w:val="fr-FR"/>
        </w:rPr>
      </w:pPr>
      <w:proofErr w:type="gramStart"/>
      <w:r w:rsidRPr="00F32187">
        <w:rPr>
          <w:lang w:val="fr-FR"/>
        </w:rPr>
        <w:t>les</w:t>
      </w:r>
      <w:proofErr w:type="gramEnd"/>
      <w:r w:rsidRPr="00F32187">
        <w:rPr>
          <w:lang w:val="fr-FR"/>
        </w:rPr>
        <w:t xml:space="preserve"> offices de propriété intellectuelle et les autres institutions bénéficiaires ont mis sur pied des réseaux durables et accru la priorité accordée aux questions de propriété intellectuelle;</w:t>
      </w:r>
    </w:p>
    <w:p w14:paraId="4AB886B2" w14:textId="343B8507" w:rsidR="00E045F1" w:rsidRPr="00F32187" w:rsidRDefault="00E045F1" w:rsidP="00AB3257">
      <w:pPr>
        <w:pStyle w:val="ONUMFS"/>
        <w:numPr>
          <w:ilvl w:val="0"/>
          <w:numId w:val="20"/>
        </w:numPr>
        <w:ind w:left="1134" w:hanging="567"/>
        <w:rPr>
          <w:lang w:val="fr-FR"/>
        </w:rPr>
      </w:pPr>
      <w:proofErr w:type="gramStart"/>
      <w:r w:rsidRPr="00F32187">
        <w:rPr>
          <w:lang w:val="fr-FR"/>
        </w:rPr>
        <w:lastRenderedPageBreak/>
        <w:t>la</w:t>
      </w:r>
      <w:proofErr w:type="gramEnd"/>
      <w:r w:rsidRPr="00F32187">
        <w:rPr>
          <w:lang w:val="fr-FR"/>
        </w:rPr>
        <w:t xml:space="preserve"> qualité et la disponibilité globales des données figurant dans les bases de données au niveau national se sont améliorées, favorisant ainsi l</w:t>
      </w:r>
      <w:r w:rsidR="00535418" w:rsidRPr="00F32187">
        <w:rPr>
          <w:lang w:val="fr-FR"/>
        </w:rPr>
        <w:t>’</w:t>
      </w:r>
      <w:r w:rsidRPr="00F32187">
        <w:rPr>
          <w:lang w:val="fr-FR"/>
        </w:rPr>
        <w:t>utilisation des données économiques aux fins de l</w:t>
      </w:r>
      <w:r w:rsidR="00535418" w:rsidRPr="00F32187">
        <w:rPr>
          <w:lang w:val="fr-FR"/>
        </w:rPr>
        <w:t>’</w:t>
      </w:r>
      <w:r w:rsidRPr="00F32187">
        <w:rPr>
          <w:lang w:val="fr-FR"/>
        </w:rPr>
        <w:t>élaboration des politiques;</w:t>
      </w:r>
    </w:p>
    <w:p w14:paraId="24144A9C" w14:textId="131D711B" w:rsidR="00E045F1" w:rsidRPr="00F32187" w:rsidRDefault="00E045F1" w:rsidP="00AB3257">
      <w:pPr>
        <w:pStyle w:val="ONUMFS"/>
        <w:numPr>
          <w:ilvl w:val="0"/>
          <w:numId w:val="20"/>
        </w:numPr>
        <w:ind w:left="1134" w:hanging="567"/>
        <w:rPr>
          <w:lang w:val="fr-FR"/>
        </w:rPr>
      </w:pPr>
      <w:proofErr w:type="gramStart"/>
      <w:r w:rsidRPr="00F32187">
        <w:rPr>
          <w:lang w:val="fr-FR"/>
        </w:rPr>
        <w:t>un</w:t>
      </w:r>
      <w:proofErr w:type="gramEnd"/>
      <w:r w:rsidRPr="00F32187">
        <w:rPr>
          <w:lang w:val="fr-FR"/>
        </w:rPr>
        <w:t xml:space="preserve"> changement conceptuel s</w:t>
      </w:r>
      <w:r w:rsidR="00535418" w:rsidRPr="00F32187">
        <w:rPr>
          <w:lang w:val="fr-FR"/>
        </w:rPr>
        <w:t>’</w:t>
      </w:r>
      <w:r w:rsidRPr="00F32187">
        <w:rPr>
          <w:lang w:val="fr-FR"/>
        </w:rPr>
        <w:t>est opéré dans les connaissances, la compréhension et l</w:t>
      </w:r>
      <w:r w:rsidR="00535418" w:rsidRPr="00F32187">
        <w:rPr>
          <w:lang w:val="fr-FR"/>
        </w:rPr>
        <w:t>’</w:t>
      </w:r>
      <w:r w:rsidRPr="00F32187">
        <w:rPr>
          <w:lang w:val="fr-FR"/>
        </w:rPr>
        <w:t>attitude des chercheurs et des responsables de l</w:t>
      </w:r>
      <w:r w:rsidR="00535418" w:rsidRPr="00F32187">
        <w:rPr>
          <w:lang w:val="fr-FR"/>
        </w:rPr>
        <w:t>’</w:t>
      </w:r>
      <w:r w:rsidRPr="00F32187">
        <w:rPr>
          <w:lang w:val="fr-FR"/>
        </w:rPr>
        <w:t>élaboration des politiques en ce qui concerne les avantages économiques et l</w:t>
      </w:r>
      <w:r w:rsidR="00535418" w:rsidRPr="00F32187">
        <w:rPr>
          <w:lang w:val="fr-FR"/>
        </w:rPr>
        <w:t>’</w:t>
      </w:r>
      <w:r w:rsidRPr="00F32187">
        <w:rPr>
          <w:lang w:val="fr-FR"/>
        </w:rPr>
        <w:t>importance de l</w:t>
      </w:r>
      <w:r w:rsidR="00535418" w:rsidRPr="00F32187">
        <w:rPr>
          <w:lang w:val="fr-FR"/>
        </w:rPr>
        <w:t>’</w:t>
      </w:r>
      <w:r w:rsidRPr="00F32187">
        <w:rPr>
          <w:lang w:val="fr-FR"/>
        </w:rPr>
        <w:t>innovation pour le développement socioéconomique;</w:t>
      </w:r>
    </w:p>
    <w:p w14:paraId="397F0462" w14:textId="4F21D487" w:rsidR="00E045F1" w:rsidRPr="00F32187" w:rsidRDefault="00E045F1" w:rsidP="00AB3257">
      <w:pPr>
        <w:pStyle w:val="ONUMFS"/>
        <w:numPr>
          <w:ilvl w:val="0"/>
          <w:numId w:val="20"/>
        </w:numPr>
        <w:ind w:left="1134" w:hanging="567"/>
        <w:rPr>
          <w:lang w:val="fr-FR"/>
        </w:rPr>
      </w:pPr>
      <w:proofErr w:type="gramStart"/>
      <w:r w:rsidRPr="00F32187">
        <w:rPr>
          <w:lang w:val="fr-FR"/>
        </w:rPr>
        <w:t>les</w:t>
      </w:r>
      <w:proofErr w:type="gramEnd"/>
      <w:r w:rsidRPr="00F32187">
        <w:rPr>
          <w:lang w:val="fr-FR"/>
        </w:rPr>
        <w:t xml:space="preserve"> capacités d</w:t>
      </w:r>
      <w:r w:rsidR="00535418" w:rsidRPr="00F32187">
        <w:rPr>
          <w:lang w:val="fr-FR"/>
        </w:rPr>
        <w:t>’</w:t>
      </w:r>
      <w:r w:rsidRPr="00F32187">
        <w:rPr>
          <w:lang w:val="fr-FR"/>
        </w:rPr>
        <w:t>analyse acquises au niveau des pays ont éclairé les prises de décisions et l</w:t>
      </w:r>
      <w:r w:rsidR="00535418" w:rsidRPr="00F32187">
        <w:rPr>
          <w:lang w:val="fr-FR"/>
        </w:rPr>
        <w:t>’</w:t>
      </w:r>
      <w:r w:rsidRPr="00F32187">
        <w:rPr>
          <w:lang w:val="fr-FR"/>
        </w:rPr>
        <w:t>élaboration des politiques;</w:t>
      </w:r>
    </w:p>
    <w:p w14:paraId="58D808E7" w14:textId="2926E648" w:rsidR="00E045F1" w:rsidRPr="00F32187" w:rsidRDefault="00E045F1" w:rsidP="00AB3257">
      <w:pPr>
        <w:pStyle w:val="ONUMFS"/>
        <w:numPr>
          <w:ilvl w:val="0"/>
          <w:numId w:val="20"/>
        </w:numPr>
        <w:ind w:left="1134" w:hanging="567"/>
        <w:rPr>
          <w:lang w:val="fr-FR"/>
        </w:rPr>
      </w:pPr>
      <w:proofErr w:type="gramStart"/>
      <w:r w:rsidRPr="00F32187">
        <w:rPr>
          <w:lang w:val="fr-FR"/>
        </w:rPr>
        <w:t>les</w:t>
      </w:r>
      <w:proofErr w:type="gramEnd"/>
      <w:r w:rsidRPr="00F32187">
        <w:rPr>
          <w:lang w:val="fr-FR"/>
        </w:rPr>
        <w:t xml:space="preserve"> secteurs public et privé investissent davantage dans la réglementation et l</w:t>
      </w:r>
      <w:r w:rsidR="00535418" w:rsidRPr="00F32187">
        <w:rPr>
          <w:lang w:val="fr-FR"/>
        </w:rPr>
        <w:t>’</w:t>
      </w:r>
      <w:r w:rsidRPr="00F32187">
        <w:rPr>
          <w:lang w:val="fr-FR"/>
        </w:rPr>
        <w:t>utilisation de la propriété intellectuelle.</w:t>
      </w:r>
    </w:p>
    <w:p w14:paraId="72DA75EF" w14:textId="1D0E2F00" w:rsidR="00E045F1" w:rsidRPr="00F32187" w:rsidRDefault="00E045F1" w:rsidP="00E045F1">
      <w:pPr>
        <w:pStyle w:val="ONUMFS"/>
        <w:numPr>
          <w:ilvl w:val="0"/>
          <w:numId w:val="0"/>
        </w:numPr>
        <w:rPr>
          <w:b/>
          <w:bCs/>
          <w:lang w:val="fr-FR"/>
        </w:rPr>
      </w:pPr>
      <w:r w:rsidRPr="00F32187">
        <w:rPr>
          <w:b/>
          <w:bCs/>
          <w:lang w:val="fr-FR"/>
        </w:rPr>
        <w:t>Conclusion n° 2</w:t>
      </w:r>
      <w:r w:rsidR="00535418" w:rsidRPr="00F32187">
        <w:rPr>
          <w:b/>
          <w:bCs/>
          <w:lang w:val="fr-FR"/>
        </w:rPr>
        <w:t> :</w:t>
      </w:r>
      <w:r w:rsidRPr="00F32187">
        <w:rPr>
          <w:b/>
          <w:bCs/>
          <w:lang w:val="fr-FR"/>
        </w:rPr>
        <w:t xml:space="preserve"> le contexte de mise en œuvre du projet était complexe</w:t>
      </w:r>
    </w:p>
    <w:p w14:paraId="41EB40DE" w14:textId="7C7D476E" w:rsidR="00E045F1" w:rsidRPr="00F32187" w:rsidRDefault="00E045F1" w:rsidP="00E045F1">
      <w:pPr>
        <w:pStyle w:val="ONUMFS"/>
        <w:rPr>
          <w:lang w:val="fr-FR"/>
        </w:rPr>
      </w:pPr>
      <w:r w:rsidRPr="00F32187">
        <w:rPr>
          <w:lang w:val="fr-FR"/>
        </w:rPr>
        <w:t>Le projet a été mené dans un grand nombre de pays dont les besoins et le contexte de mise en œuvre étaient vari</w:t>
      </w:r>
      <w:r w:rsidR="00F32187" w:rsidRPr="00F32187">
        <w:rPr>
          <w:lang w:val="fr-FR"/>
        </w:rPr>
        <w:t>és.  Ma</w:t>
      </w:r>
      <w:r w:rsidRPr="00F32187">
        <w:rPr>
          <w:lang w:val="fr-FR"/>
        </w:rPr>
        <w:t>lgré le niveau élevé d</w:t>
      </w:r>
      <w:r w:rsidR="00535418" w:rsidRPr="00F32187">
        <w:rPr>
          <w:lang w:val="fr-FR"/>
        </w:rPr>
        <w:t>’</w:t>
      </w:r>
      <w:r w:rsidRPr="00F32187">
        <w:rPr>
          <w:lang w:val="fr-FR"/>
        </w:rPr>
        <w:t>appropriation du projet par les pays bénéficiaires, des évaluations de la faisabilité et des besoins afin d</w:t>
      </w:r>
      <w:r w:rsidR="00535418" w:rsidRPr="00F32187">
        <w:rPr>
          <w:lang w:val="fr-FR"/>
        </w:rPr>
        <w:t>’</w:t>
      </w:r>
      <w:r w:rsidRPr="00F32187">
        <w:rPr>
          <w:lang w:val="fr-FR"/>
        </w:rPr>
        <w:t>éclairer les théories du changement implantées dans les pays auraient pu faciliter une approche plus stratégique en matière de renforcement des capacités, de gestion et de définition des cibles d</w:t>
      </w:r>
      <w:r w:rsidR="00535418" w:rsidRPr="00F32187">
        <w:rPr>
          <w:lang w:val="fr-FR"/>
        </w:rPr>
        <w:t>’</w:t>
      </w:r>
      <w:r w:rsidRPr="00F32187">
        <w:rPr>
          <w:lang w:val="fr-FR"/>
        </w:rPr>
        <w:t>impa</w:t>
      </w:r>
      <w:r w:rsidR="00F32187" w:rsidRPr="00F32187">
        <w:rPr>
          <w:lang w:val="fr-FR"/>
        </w:rPr>
        <w:t>ct.  De</w:t>
      </w:r>
      <w:r w:rsidRPr="00F32187">
        <w:rPr>
          <w:lang w:val="fr-FR"/>
        </w:rPr>
        <w:t xml:space="preserve"> plus, si le projet a eu des incidences significatives, il aurait pu être plus efficace encore si une réponse structurée de la direction aux recommandations des évaluations précédentes (documents</w:t>
      </w:r>
      <w:r w:rsidR="00AB3257">
        <w:rPr>
          <w:lang w:val="fr-FR"/>
        </w:rPr>
        <w:t> </w:t>
      </w:r>
      <w:r w:rsidRPr="00F32187">
        <w:rPr>
          <w:lang w:val="fr-FR"/>
        </w:rPr>
        <w:t>CDIP/14/3 et</w:t>
      </w:r>
      <w:r w:rsidR="00AB3257">
        <w:rPr>
          <w:lang w:val="fr-FR"/>
        </w:rPr>
        <w:t> </w:t>
      </w:r>
      <w:r w:rsidRPr="00F32187">
        <w:rPr>
          <w:lang w:val="fr-FR"/>
        </w:rPr>
        <w:t>CDIP/22/9</w:t>
      </w:r>
      <w:r w:rsidR="00B37BEF" w:rsidRPr="00F32187">
        <w:rPr>
          <w:lang w:val="fr-FR"/>
        </w:rPr>
        <w:t> </w:t>
      </w:r>
      <w:proofErr w:type="spellStart"/>
      <w:r w:rsidRPr="00F32187">
        <w:rPr>
          <w:lang w:val="fr-FR"/>
        </w:rPr>
        <w:t>Rev</w:t>
      </w:r>
      <w:proofErr w:type="spellEnd"/>
      <w:r w:rsidRPr="00F32187">
        <w:rPr>
          <w:lang w:val="fr-FR"/>
        </w:rPr>
        <w:t>.) avait été mise au point.</w:t>
      </w:r>
    </w:p>
    <w:p w14:paraId="2DE2C7C1" w14:textId="2B5D8A29" w:rsidR="00535418" w:rsidRPr="00F32187" w:rsidRDefault="00E045F1" w:rsidP="00E045F1">
      <w:pPr>
        <w:pStyle w:val="ONUMFS"/>
        <w:keepNext/>
        <w:keepLines/>
        <w:numPr>
          <w:ilvl w:val="0"/>
          <w:numId w:val="0"/>
        </w:numPr>
        <w:rPr>
          <w:lang w:val="fr-FR"/>
        </w:rPr>
      </w:pPr>
      <w:r w:rsidRPr="00F32187">
        <w:rPr>
          <w:b/>
          <w:bCs/>
          <w:lang w:val="fr-FR"/>
        </w:rPr>
        <w:t>Conclusion n° 3</w:t>
      </w:r>
      <w:r w:rsidR="00535418" w:rsidRPr="00F32187">
        <w:rPr>
          <w:b/>
          <w:bCs/>
          <w:lang w:val="fr-FR"/>
        </w:rPr>
        <w:t> :</w:t>
      </w:r>
      <w:r w:rsidRPr="00F32187">
        <w:rPr>
          <w:b/>
          <w:bCs/>
          <w:lang w:val="fr-FR"/>
        </w:rPr>
        <w:t xml:space="preserve"> le projet a eu des retombées après la fin du cycle de mise en œuvre, souvent par un processus de suivi de l</w:t>
      </w:r>
      <w:r w:rsidR="00535418" w:rsidRPr="00F32187">
        <w:rPr>
          <w:b/>
          <w:bCs/>
          <w:lang w:val="fr-FR"/>
        </w:rPr>
        <w:t>’</w:t>
      </w:r>
      <w:r w:rsidRPr="00F32187">
        <w:rPr>
          <w:b/>
          <w:bCs/>
          <w:lang w:val="fr-FR"/>
        </w:rPr>
        <w:t>impact</w:t>
      </w:r>
    </w:p>
    <w:p w14:paraId="04692627" w14:textId="3C64CADB" w:rsidR="00E045F1" w:rsidRPr="00F32187" w:rsidRDefault="00E045F1" w:rsidP="00E045F1">
      <w:pPr>
        <w:pStyle w:val="ONUMFS"/>
        <w:rPr>
          <w:lang w:val="fr-FR"/>
        </w:rPr>
      </w:pPr>
      <w:r w:rsidRPr="00F32187">
        <w:rPr>
          <w:lang w:val="fr-FR"/>
        </w:rPr>
        <w:t>Le suivi de l</w:t>
      </w:r>
      <w:r w:rsidR="00535418" w:rsidRPr="00F32187">
        <w:rPr>
          <w:lang w:val="fr-FR"/>
        </w:rPr>
        <w:t>’</w:t>
      </w:r>
      <w:r w:rsidRPr="00F32187">
        <w:rPr>
          <w:lang w:val="fr-FR"/>
        </w:rPr>
        <w:t>impact est une approche consistant à introduire les innovations dans des contextes complexes sur une période prolongée, au cours de laquelle les chercheurs principaux et les parties prenantes spécialisées se servent de leurs réseaux professionnels pour mettre les innovations à échelle en profitant des fenêtres d</w:t>
      </w:r>
      <w:r w:rsidR="00535418" w:rsidRPr="00F32187">
        <w:rPr>
          <w:lang w:val="fr-FR"/>
        </w:rPr>
        <w:t>’</w:t>
      </w:r>
      <w:r w:rsidRPr="00F32187">
        <w:rPr>
          <w:lang w:val="fr-FR"/>
        </w:rPr>
        <w:t>opportunité au moyen de comportements assimilables à la promotion de produ</w:t>
      </w:r>
      <w:r w:rsidR="00F32187" w:rsidRPr="00F32187">
        <w:rPr>
          <w:lang w:val="fr-FR"/>
        </w:rPr>
        <w:t>it.  La</w:t>
      </w:r>
      <w:r w:rsidRPr="00F32187">
        <w:rPr>
          <w:lang w:val="fr-FR"/>
        </w:rPr>
        <w:t xml:space="preserve"> recherche de l</w:t>
      </w:r>
      <w:r w:rsidR="00535418" w:rsidRPr="00F32187">
        <w:rPr>
          <w:lang w:val="fr-FR"/>
        </w:rPr>
        <w:t>’</w:t>
      </w:r>
      <w:r w:rsidRPr="00F32187">
        <w:rPr>
          <w:lang w:val="fr-FR"/>
        </w:rPr>
        <w:t>impact ne passe pas par le projet en soi, le dimensionnement et l</w:t>
      </w:r>
      <w:r w:rsidR="00535418" w:rsidRPr="00F32187">
        <w:rPr>
          <w:lang w:val="fr-FR"/>
        </w:rPr>
        <w:t>’</w:t>
      </w:r>
      <w:r w:rsidRPr="00F32187">
        <w:rPr>
          <w:lang w:val="fr-FR"/>
        </w:rPr>
        <w:t>influence visent plutôt à obtenir un effet souhaité lorsqu</w:t>
      </w:r>
      <w:r w:rsidR="00535418" w:rsidRPr="00F32187">
        <w:rPr>
          <w:lang w:val="fr-FR"/>
        </w:rPr>
        <w:t>’</w:t>
      </w:r>
      <w:r w:rsidRPr="00F32187">
        <w:rPr>
          <w:lang w:val="fr-FR"/>
        </w:rPr>
        <w:t>une occasion se présente, en alignant les activités avancées de recherche et développement, les capacités et les réseaux professionnels sur une demande concrète des futurs utilisateurs (les pouvoirs publics, le secteur privé ou des organisations non gouvernementales internationales, par exemple).</w:t>
      </w:r>
    </w:p>
    <w:p w14:paraId="1A27CBB8" w14:textId="354B5B02" w:rsidR="00535418" w:rsidRPr="00F32187" w:rsidRDefault="00E045F1" w:rsidP="00E045F1">
      <w:pPr>
        <w:pStyle w:val="ONUMFS"/>
        <w:numPr>
          <w:ilvl w:val="0"/>
          <w:numId w:val="0"/>
        </w:numPr>
        <w:rPr>
          <w:lang w:val="fr-FR"/>
        </w:rPr>
      </w:pPr>
      <w:r w:rsidRPr="00F32187">
        <w:rPr>
          <w:b/>
          <w:bCs/>
          <w:lang w:val="fr-FR"/>
        </w:rPr>
        <w:t>Conclusion n° 4</w:t>
      </w:r>
      <w:r w:rsidR="00535418" w:rsidRPr="00F32187">
        <w:rPr>
          <w:b/>
          <w:bCs/>
          <w:lang w:val="fr-FR"/>
        </w:rPr>
        <w:t> :</w:t>
      </w:r>
      <w:r w:rsidRPr="00F32187">
        <w:rPr>
          <w:b/>
          <w:bCs/>
          <w:lang w:val="fr-FR"/>
        </w:rPr>
        <w:t xml:space="preserve"> le développement des capacités ciblait mieux les individus</w:t>
      </w:r>
    </w:p>
    <w:p w14:paraId="2490D010" w14:textId="52A8B2C1" w:rsidR="00E045F1" w:rsidRPr="00F32187" w:rsidRDefault="00E045F1" w:rsidP="00E045F1">
      <w:pPr>
        <w:pStyle w:val="ONUMFS"/>
        <w:spacing w:after="0"/>
        <w:rPr>
          <w:lang w:val="fr-FR"/>
        </w:rPr>
      </w:pPr>
      <w:r w:rsidRPr="00F32187">
        <w:rPr>
          <w:lang w:val="fr-FR"/>
        </w:rPr>
        <w:t>Si les offices de propriété intellectuelle et les institutions partenaires ont bénéficié des résultats des travaux de recherche (par exemple des ensembles de données, des analyses politiques, de la reconnaissance de l</w:t>
      </w:r>
      <w:r w:rsidR="00535418" w:rsidRPr="00F32187">
        <w:rPr>
          <w:lang w:val="fr-FR"/>
        </w:rPr>
        <w:t>’</w:t>
      </w:r>
      <w:r w:rsidRPr="00F32187">
        <w:rPr>
          <w:lang w:val="fr-FR"/>
        </w:rPr>
        <w:t>importance des questions de propriété intellectuelle), seuls quelques individus ont bénéficié du projet de manière significative dans chaque pays bénéficiaire (par exemple en obtenant les données de recherche nécessaires pour mener à bien une thèse de doctor</w:t>
      </w:r>
      <w:r w:rsidR="00F32187" w:rsidRPr="00F32187">
        <w:rPr>
          <w:lang w:val="fr-FR"/>
        </w:rPr>
        <w:t>at).  Un</w:t>
      </w:r>
      <w:r w:rsidRPr="00F32187">
        <w:rPr>
          <w:lang w:val="fr-FR"/>
        </w:rPr>
        <w:t>e stratégie de développement des capacités alignée sur la théorie du changement du projet aiderait à veiller à ce que les activités de renforcement des capacités soient adaptées à l</w:t>
      </w:r>
      <w:r w:rsidR="00535418" w:rsidRPr="00F32187">
        <w:rPr>
          <w:lang w:val="fr-FR"/>
        </w:rPr>
        <w:t>’</w:t>
      </w:r>
      <w:r w:rsidRPr="00F32187">
        <w:rPr>
          <w:lang w:val="fr-FR"/>
        </w:rPr>
        <w:t>obtention des incidences souhaité</w:t>
      </w:r>
      <w:r w:rsidR="00F32187" w:rsidRPr="00F32187">
        <w:rPr>
          <w:lang w:val="fr-FR"/>
        </w:rPr>
        <w:t>es.  Ai</w:t>
      </w:r>
      <w:r w:rsidRPr="00F32187">
        <w:rPr>
          <w:lang w:val="fr-FR"/>
        </w:rPr>
        <w:t>nsi, un soutien de suivi sur une période prolongée a plus de probabilités d</w:t>
      </w:r>
      <w:r w:rsidR="00535418" w:rsidRPr="00F32187">
        <w:rPr>
          <w:lang w:val="fr-FR"/>
        </w:rPr>
        <w:t>’</w:t>
      </w:r>
      <w:r w:rsidRPr="00F32187">
        <w:rPr>
          <w:lang w:val="fr-FR"/>
        </w:rPr>
        <w:t>aider les individus à modifier leurs pratiques et à utiliser de nouvelles compétences à plus long terme.</w:t>
      </w:r>
    </w:p>
    <w:p w14:paraId="628AB26D" w14:textId="77777777" w:rsidR="00E045F1" w:rsidRPr="00F32187" w:rsidRDefault="00E045F1" w:rsidP="00AB3257">
      <w:pPr>
        <w:pStyle w:val="Heading2"/>
        <w:numPr>
          <w:ilvl w:val="0"/>
          <w:numId w:val="24"/>
        </w:numPr>
        <w:ind w:left="1134" w:hanging="567"/>
      </w:pPr>
      <w:bookmarkStart w:id="12" w:name="_Toc140224969"/>
      <w:bookmarkStart w:id="13" w:name="_Toc145933436"/>
      <w:bookmarkStart w:id="14" w:name="_Toc146025096"/>
      <w:r w:rsidRPr="00F32187">
        <w:lastRenderedPageBreak/>
        <w:t>Recommandations</w:t>
      </w:r>
      <w:bookmarkEnd w:id="12"/>
      <w:bookmarkEnd w:id="13"/>
      <w:bookmarkEnd w:id="14"/>
    </w:p>
    <w:p w14:paraId="7DEBFDC6" w14:textId="7C3F27D4" w:rsidR="00E045F1" w:rsidRPr="00F32187" w:rsidRDefault="00E045F1" w:rsidP="00E045F1">
      <w:pPr>
        <w:pStyle w:val="ONUMFS"/>
        <w:rPr>
          <w:lang w:val="fr-FR"/>
        </w:rPr>
      </w:pPr>
      <w:r w:rsidRPr="00F32187">
        <w:rPr>
          <w:lang w:val="fr-FR"/>
        </w:rPr>
        <w:t xml:space="preserve">Le projet a pris fin </w:t>
      </w:r>
      <w:r w:rsidR="00535418" w:rsidRPr="00F32187">
        <w:rPr>
          <w:lang w:val="fr-FR"/>
        </w:rPr>
        <w:t>en 2018</w:t>
      </w:r>
      <w:r w:rsidRPr="00F32187">
        <w:rPr>
          <w:lang w:val="fr-FR"/>
        </w:rPr>
        <w:t xml:space="preserve"> et entre</w:t>
      </w:r>
      <w:r w:rsidR="00444006">
        <w:rPr>
          <w:lang w:val="fr-FR"/>
        </w:rPr>
        <w:noBreakHyphen/>
      </w:r>
      <w:r w:rsidRPr="00F32187">
        <w:rPr>
          <w:lang w:val="fr-FR"/>
        </w:rPr>
        <w:t>temps, l</w:t>
      </w:r>
      <w:r w:rsidR="00535418" w:rsidRPr="00F32187">
        <w:rPr>
          <w:lang w:val="fr-FR"/>
        </w:rPr>
        <w:t>’</w:t>
      </w:r>
      <w:r w:rsidRPr="00F32187">
        <w:rPr>
          <w:lang w:val="fr-FR"/>
        </w:rPr>
        <w:t>OMPI a évolué en tant qu</w:t>
      </w:r>
      <w:r w:rsidR="00535418" w:rsidRPr="00F32187">
        <w:rPr>
          <w:lang w:val="fr-FR"/>
        </w:rPr>
        <w:t>’</w:t>
      </w:r>
      <w:r w:rsidRPr="00F32187">
        <w:rPr>
          <w:lang w:val="fr-FR"/>
        </w:rPr>
        <w:t>institution et a connu de nombreux changemen</w:t>
      </w:r>
      <w:r w:rsidR="00F32187" w:rsidRPr="00F32187">
        <w:rPr>
          <w:lang w:val="fr-FR"/>
        </w:rPr>
        <w:t>ts.  L’é</w:t>
      </w:r>
      <w:r w:rsidRPr="00F32187">
        <w:rPr>
          <w:lang w:val="fr-FR"/>
        </w:rPr>
        <w:t>valuateur déduit des informations recueillies auprès des informateurs clés que certaines des recommandations ci</w:t>
      </w:r>
      <w:r w:rsidR="00444006">
        <w:rPr>
          <w:lang w:val="fr-FR"/>
        </w:rPr>
        <w:noBreakHyphen/>
      </w:r>
      <w:r w:rsidRPr="00F32187">
        <w:rPr>
          <w:lang w:val="fr-FR"/>
        </w:rPr>
        <w:t>après ont déjà été mises en œuvre en tout ou en part</w:t>
      </w:r>
      <w:r w:rsidR="00F32187" w:rsidRPr="00F32187">
        <w:rPr>
          <w:lang w:val="fr-FR"/>
        </w:rPr>
        <w:t>ie.  Né</w:t>
      </w:r>
      <w:r w:rsidRPr="00F32187">
        <w:rPr>
          <w:lang w:val="fr-FR"/>
        </w:rPr>
        <w:t>anmoins, sur la base des conclusions ci</w:t>
      </w:r>
      <w:r w:rsidR="00444006">
        <w:rPr>
          <w:lang w:val="fr-FR"/>
        </w:rPr>
        <w:noBreakHyphen/>
        <w:t>de</w:t>
      </w:r>
      <w:r w:rsidRPr="00F32187">
        <w:rPr>
          <w:lang w:val="fr-FR"/>
        </w:rPr>
        <w:t>vant, l</w:t>
      </w:r>
      <w:r w:rsidR="00535418" w:rsidRPr="00F32187">
        <w:rPr>
          <w:lang w:val="fr-FR"/>
        </w:rPr>
        <w:t>’</w:t>
      </w:r>
      <w:r w:rsidRPr="00F32187">
        <w:rPr>
          <w:lang w:val="fr-FR"/>
        </w:rPr>
        <w:t>évaluation adresse les recommandations</w:t>
      </w:r>
      <w:r w:rsidRPr="00F32187">
        <w:rPr>
          <w:rStyle w:val="CommentReference"/>
          <w:lang w:val="fr-FR"/>
        </w:rPr>
        <w:t xml:space="preserve"> </w:t>
      </w:r>
      <w:r w:rsidRPr="00F32187">
        <w:rPr>
          <w:lang w:val="fr-FR"/>
        </w:rPr>
        <w:t>suivantes à l</w:t>
      </w:r>
      <w:r w:rsidR="00535418" w:rsidRPr="00F32187">
        <w:rPr>
          <w:lang w:val="fr-FR"/>
        </w:rPr>
        <w:t>’</w:t>
      </w:r>
      <w:r w:rsidRPr="00F32187">
        <w:rPr>
          <w:lang w:val="fr-FR"/>
        </w:rPr>
        <w:t>OMPI, et plus particulièrement au Bureau de l</w:t>
      </w:r>
      <w:r w:rsidR="00535418" w:rsidRPr="00F32187">
        <w:rPr>
          <w:lang w:val="fr-FR"/>
        </w:rPr>
        <w:t>’</w:t>
      </w:r>
      <w:r w:rsidRPr="00F32187">
        <w:rPr>
          <w:lang w:val="fr-FR"/>
        </w:rPr>
        <w:t>économiste en chef, aux fins des projets futurs ayant des objectifs de haut niveau similaires.</w:t>
      </w:r>
    </w:p>
    <w:p w14:paraId="617390A2" w14:textId="1A73B137" w:rsidR="00E045F1" w:rsidRPr="00F32187" w:rsidRDefault="00E045F1" w:rsidP="00523444">
      <w:pPr>
        <w:widowControl w:val="0"/>
        <w:numPr>
          <w:ilvl w:val="0"/>
          <w:numId w:val="8"/>
        </w:numPr>
        <w:tabs>
          <w:tab w:val="clear" w:pos="-57"/>
        </w:tabs>
        <w:spacing w:after="220" w:line="260" w:lineRule="atLeast"/>
        <w:ind w:left="1134" w:hanging="567"/>
        <w:rPr>
          <w:b/>
          <w:bCs/>
          <w:szCs w:val="22"/>
          <w:lang w:val="fr-FR"/>
        </w:rPr>
      </w:pPr>
      <w:r w:rsidRPr="00F32187">
        <w:rPr>
          <w:b/>
          <w:bCs/>
          <w:szCs w:val="22"/>
          <w:lang w:val="fr-FR"/>
        </w:rPr>
        <w:t>Planifier en vue d</w:t>
      </w:r>
      <w:r w:rsidR="00535418" w:rsidRPr="00F32187">
        <w:rPr>
          <w:b/>
          <w:bCs/>
          <w:szCs w:val="22"/>
          <w:lang w:val="fr-FR"/>
        </w:rPr>
        <w:t>’</w:t>
      </w:r>
      <w:r w:rsidRPr="00F32187">
        <w:rPr>
          <w:b/>
          <w:bCs/>
          <w:szCs w:val="22"/>
          <w:lang w:val="fr-FR"/>
        </w:rPr>
        <w:t>obtenir des incidences propres au contexte</w:t>
      </w:r>
    </w:p>
    <w:p w14:paraId="298092DC" w14:textId="08430AD7" w:rsidR="00E045F1" w:rsidRPr="00F32187" w:rsidRDefault="00E045F1" w:rsidP="00AB3257">
      <w:pPr>
        <w:widowControl w:val="0"/>
        <w:numPr>
          <w:ilvl w:val="0"/>
          <w:numId w:val="9"/>
        </w:numPr>
        <w:tabs>
          <w:tab w:val="clear" w:pos="600"/>
        </w:tabs>
        <w:spacing w:after="120"/>
        <w:ind w:left="1134" w:hanging="567"/>
        <w:rPr>
          <w:lang w:val="fr-FR"/>
        </w:rPr>
      </w:pPr>
      <w:r w:rsidRPr="00F32187">
        <w:rPr>
          <w:lang w:val="fr-FR"/>
        </w:rPr>
        <w:t>Au cours de la phase de démarrage du projet, réaliser une étude de faisabilité pour chaque pays afin de recenser les risques et les mesures d</w:t>
      </w:r>
      <w:r w:rsidR="00535418" w:rsidRPr="00F32187">
        <w:rPr>
          <w:lang w:val="fr-FR"/>
        </w:rPr>
        <w:t>’</w:t>
      </w:r>
      <w:r w:rsidRPr="00F32187">
        <w:rPr>
          <w:lang w:val="fr-FR"/>
        </w:rPr>
        <w:t>atténuation</w:t>
      </w:r>
      <w:r w:rsidR="00523444">
        <w:rPr>
          <w:lang w:val="fr-FR"/>
        </w:rPr>
        <w:t>.</w:t>
      </w:r>
    </w:p>
    <w:p w14:paraId="448ECD00" w14:textId="18EAC151" w:rsidR="00E045F1" w:rsidRPr="00F32187" w:rsidRDefault="00E045F1" w:rsidP="00AB3257">
      <w:pPr>
        <w:widowControl w:val="0"/>
        <w:numPr>
          <w:ilvl w:val="0"/>
          <w:numId w:val="9"/>
        </w:numPr>
        <w:tabs>
          <w:tab w:val="clear" w:pos="600"/>
        </w:tabs>
        <w:spacing w:after="120" w:line="260" w:lineRule="atLeast"/>
        <w:ind w:left="1134" w:hanging="567"/>
        <w:rPr>
          <w:lang w:val="fr-FR"/>
        </w:rPr>
      </w:pPr>
      <w:r w:rsidRPr="00F32187">
        <w:rPr>
          <w:lang w:val="fr-FR"/>
        </w:rPr>
        <w:t>Sur la base de l</w:t>
      </w:r>
      <w:r w:rsidR="00535418" w:rsidRPr="00F32187">
        <w:rPr>
          <w:lang w:val="fr-FR"/>
        </w:rPr>
        <w:t>’</w:t>
      </w:r>
      <w:r w:rsidRPr="00F32187">
        <w:rPr>
          <w:lang w:val="fr-FR"/>
        </w:rPr>
        <w:t>étude de faisabilité et des contributions des parties prenantes, élaborer des théories du changement au niveau des pays assorties de cibles d</w:t>
      </w:r>
      <w:r w:rsidR="00535418" w:rsidRPr="00F32187">
        <w:rPr>
          <w:lang w:val="fr-FR"/>
        </w:rPr>
        <w:t>’</w:t>
      </w:r>
      <w:r w:rsidRPr="00F32187">
        <w:rPr>
          <w:lang w:val="fr-FR"/>
        </w:rPr>
        <w:t>impact adaptées au contexte</w:t>
      </w:r>
      <w:r w:rsidR="00523444">
        <w:rPr>
          <w:lang w:val="fr-FR"/>
        </w:rPr>
        <w:t>.</w:t>
      </w:r>
    </w:p>
    <w:p w14:paraId="355B52FD" w14:textId="05A1D5BF" w:rsidR="00E045F1" w:rsidRPr="00F32187" w:rsidRDefault="00E045F1" w:rsidP="00AB3257">
      <w:pPr>
        <w:widowControl w:val="0"/>
        <w:numPr>
          <w:ilvl w:val="0"/>
          <w:numId w:val="9"/>
        </w:numPr>
        <w:tabs>
          <w:tab w:val="clear" w:pos="600"/>
        </w:tabs>
        <w:spacing w:after="120" w:line="260" w:lineRule="atLeast"/>
        <w:ind w:left="1134" w:hanging="567"/>
        <w:rPr>
          <w:lang w:val="fr-FR"/>
        </w:rPr>
      </w:pPr>
      <w:r w:rsidRPr="00F32187">
        <w:rPr>
          <w:lang w:val="fr-FR"/>
        </w:rPr>
        <w:t>En phase avec les théories du changement au niveau des pays, formuler une stratégie visant à garantir que les activités de développement des capacités soient en mesure de produire les résultats et incidences souhaités</w:t>
      </w:r>
      <w:r w:rsidR="00523444">
        <w:rPr>
          <w:lang w:val="fr-FR"/>
        </w:rPr>
        <w:t>.</w:t>
      </w:r>
    </w:p>
    <w:p w14:paraId="0B8B9386" w14:textId="77777777" w:rsidR="00E045F1" w:rsidRPr="00F32187" w:rsidRDefault="00E045F1" w:rsidP="00AB3257">
      <w:pPr>
        <w:widowControl w:val="0"/>
        <w:numPr>
          <w:ilvl w:val="0"/>
          <w:numId w:val="9"/>
        </w:numPr>
        <w:tabs>
          <w:tab w:val="clear" w:pos="600"/>
        </w:tabs>
        <w:spacing w:after="220"/>
        <w:ind w:left="1134" w:hanging="567"/>
        <w:rPr>
          <w:lang w:val="fr-FR"/>
        </w:rPr>
      </w:pPr>
      <w:r w:rsidRPr="00F32187">
        <w:rPr>
          <w:lang w:val="fr-FR"/>
        </w:rPr>
        <w:t>Sachant que les retombées peuvent se produire longtemps après la fin du cycle de mise en œuvre du projet, investir dans la pérennité des résultats (promoteurs de produits, développement des capacités institutionnelles, financement durable des activités de recherche, par exemple).</w:t>
      </w:r>
    </w:p>
    <w:p w14:paraId="04A72678" w14:textId="77777777" w:rsidR="00E045F1" w:rsidRPr="00F32187" w:rsidRDefault="00E045F1" w:rsidP="00523444">
      <w:pPr>
        <w:widowControl w:val="0"/>
        <w:numPr>
          <w:ilvl w:val="0"/>
          <w:numId w:val="8"/>
        </w:numPr>
        <w:tabs>
          <w:tab w:val="clear" w:pos="-57"/>
        </w:tabs>
        <w:spacing w:after="220" w:line="260" w:lineRule="atLeast"/>
        <w:ind w:left="1134" w:hanging="567"/>
        <w:rPr>
          <w:b/>
          <w:bCs/>
          <w:szCs w:val="22"/>
          <w:lang w:val="fr-FR"/>
        </w:rPr>
      </w:pPr>
      <w:r w:rsidRPr="00F32187">
        <w:rPr>
          <w:b/>
          <w:bCs/>
          <w:szCs w:val="22"/>
          <w:lang w:val="fr-FR"/>
        </w:rPr>
        <w:t>Élaborer une approche plus stratégique de mise en commun des résultats</w:t>
      </w:r>
    </w:p>
    <w:p w14:paraId="1B7B7235" w14:textId="0150F496" w:rsidR="00E045F1" w:rsidRPr="00F32187" w:rsidRDefault="00E045F1" w:rsidP="00AB3257">
      <w:pPr>
        <w:widowControl w:val="0"/>
        <w:numPr>
          <w:ilvl w:val="0"/>
          <w:numId w:val="13"/>
        </w:numPr>
        <w:tabs>
          <w:tab w:val="clear" w:pos="600"/>
        </w:tabs>
        <w:spacing w:after="220" w:line="260" w:lineRule="atLeast"/>
        <w:ind w:left="1134" w:hanging="567"/>
        <w:rPr>
          <w:szCs w:val="22"/>
          <w:lang w:val="fr-FR"/>
        </w:rPr>
      </w:pPr>
      <w:r w:rsidRPr="00F32187">
        <w:rPr>
          <w:szCs w:val="22"/>
          <w:lang w:val="fr-FR"/>
        </w:rPr>
        <w:t>Tout projet futur devrait prendre les mesures nécessaires pour assurer une diffusion plus large (au niveau national et mondial) des résultats par l</w:t>
      </w:r>
      <w:r w:rsidR="00535418" w:rsidRPr="00F32187">
        <w:rPr>
          <w:szCs w:val="22"/>
          <w:lang w:val="fr-FR"/>
        </w:rPr>
        <w:t>’</w:t>
      </w:r>
      <w:r w:rsidRPr="00F32187">
        <w:rPr>
          <w:szCs w:val="22"/>
          <w:lang w:val="fr-FR"/>
        </w:rPr>
        <w:t>intermédiaire des réseaux sociaux, de webinaires, de blogs, d</w:t>
      </w:r>
      <w:r w:rsidR="00535418" w:rsidRPr="00F32187">
        <w:rPr>
          <w:szCs w:val="22"/>
          <w:lang w:val="fr-FR"/>
        </w:rPr>
        <w:t>’</w:t>
      </w:r>
      <w:r w:rsidRPr="00F32187">
        <w:rPr>
          <w:szCs w:val="22"/>
          <w:lang w:val="fr-FR"/>
        </w:rPr>
        <w:t>articles dans la presse et dans des revues spécialisées</w:t>
      </w:r>
      <w:r w:rsidRPr="00F32187">
        <w:rPr>
          <w:rStyle w:val="FootnoteReference"/>
          <w:szCs w:val="22"/>
          <w:lang w:val="fr-FR"/>
        </w:rPr>
        <w:footnoteReference w:id="5"/>
      </w:r>
      <w:r w:rsidRPr="00F32187">
        <w:rPr>
          <w:lang w:val="fr-FR"/>
        </w:rPr>
        <w:t>.</w:t>
      </w:r>
    </w:p>
    <w:p w14:paraId="69D91FF6" w14:textId="063BA137" w:rsidR="00E045F1" w:rsidRPr="00F32187" w:rsidRDefault="00E045F1" w:rsidP="00523444">
      <w:pPr>
        <w:widowControl w:val="0"/>
        <w:numPr>
          <w:ilvl w:val="0"/>
          <w:numId w:val="8"/>
        </w:numPr>
        <w:tabs>
          <w:tab w:val="clear" w:pos="-57"/>
        </w:tabs>
        <w:spacing w:after="220"/>
        <w:ind w:left="1134" w:hanging="567"/>
        <w:rPr>
          <w:b/>
          <w:bCs/>
          <w:szCs w:val="22"/>
          <w:lang w:val="fr-FR"/>
        </w:rPr>
      </w:pPr>
      <w:r w:rsidRPr="00F32187">
        <w:rPr>
          <w:b/>
          <w:bCs/>
          <w:szCs w:val="22"/>
          <w:lang w:val="fr-FR"/>
        </w:rPr>
        <w:t>Exiger une réponse officielle de la direction à l</w:t>
      </w:r>
      <w:r w:rsidR="00535418" w:rsidRPr="00F32187">
        <w:rPr>
          <w:b/>
          <w:bCs/>
          <w:szCs w:val="22"/>
          <w:lang w:val="fr-FR"/>
        </w:rPr>
        <w:t>’</w:t>
      </w:r>
      <w:r w:rsidRPr="00F32187">
        <w:rPr>
          <w:b/>
          <w:bCs/>
          <w:szCs w:val="22"/>
          <w:lang w:val="fr-FR"/>
        </w:rPr>
        <w:t>ensemble des recommandations formulées dans les évaluations</w:t>
      </w:r>
    </w:p>
    <w:p w14:paraId="49AC0FDC" w14:textId="424A659F" w:rsidR="00E045F1" w:rsidRPr="00F32187" w:rsidRDefault="00E045F1" w:rsidP="00AB3257">
      <w:pPr>
        <w:widowControl w:val="0"/>
        <w:numPr>
          <w:ilvl w:val="0"/>
          <w:numId w:val="15"/>
        </w:numPr>
        <w:tabs>
          <w:tab w:val="clear" w:pos="600"/>
        </w:tabs>
        <w:spacing w:after="120" w:line="260" w:lineRule="atLeast"/>
        <w:ind w:left="1134" w:hanging="567"/>
        <w:rPr>
          <w:szCs w:val="22"/>
          <w:lang w:val="fr-FR"/>
        </w:rPr>
      </w:pPr>
      <w:r w:rsidRPr="00F32187">
        <w:rPr>
          <w:szCs w:val="22"/>
          <w:lang w:val="fr-FR"/>
        </w:rPr>
        <w:t>L</w:t>
      </w:r>
      <w:r w:rsidR="00535418" w:rsidRPr="00F32187">
        <w:rPr>
          <w:szCs w:val="22"/>
          <w:lang w:val="fr-FR"/>
        </w:rPr>
        <w:t>’</w:t>
      </w:r>
      <w:r w:rsidRPr="00F32187">
        <w:rPr>
          <w:szCs w:val="22"/>
          <w:lang w:val="fr-FR"/>
        </w:rPr>
        <w:t>OMPI devrait exiger une réponse officielle de la direction à l</w:t>
      </w:r>
      <w:r w:rsidR="00535418" w:rsidRPr="00F32187">
        <w:rPr>
          <w:szCs w:val="22"/>
          <w:lang w:val="fr-FR"/>
        </w:rPr>
        <w:t>’</w:t>
      </w:r>
      <w:r w:rsidRPr="00F32187">
        <w:rPr>
          <w:szCs w:val="22"/>
          <w:lang w:val="fr-FR"/>
        </w:rPr>
        <w:t>ensemble des recommandations découlant des évaluations chaque fois que possib</w:t>
      </w:r>
      <w:r w:rsidR="00F32187" w:rsidRPr="00F32187">
        <w:rPr>
          <w:szCs w:val="22"/>
          <w:lang w:val="fr-FR"/>
        </w:rPr>
        <w:t>le.  Si</w:t>
      </w:r>
      <w:r w:rsidRPr="00F32187">
        <w:rPr>
          <w:szCs w:val="22"/>
          <w:lang w:val="fr-FR"/>
        </w:rPr>
        <w:t xml:space="preserve"> une telle réponse n</w:t>
      </w:r>
      <w:r w:rsidR="00535418" w:rsidRPr="00F32187">
        <w:rPr>
          <w:szCs w:val="22"/>
          <w:lang w:val="fr-FR"/>
        </w:rPr>
        <w:t>’</w:t>
      </w:r>
      <w:r w:rsidRPr="00F32187">
        <w:rPr>
          <w:szCs w:val="22"/>
          <w:lang w:val="fr-FR"/>
        </w:rPr>
        <w:t>est pas envisageable, les recommandations issues des évaluations devraient être examinées dans le cadre d</w:t>
      </w:r>
      <w:r w:rsidR="00535418" w:rsidRPr="00F32187">
        <w:rPr>
          <w:szCs w:val="22"/>
          <w:lang w:val="fr-FR"/>
        </w:rPr>
        <w:t>’</w:t>
      </w:r>
      <w:r w:rsidRPr="00F32187">
        <w:rPr>
          <w:szCs w:val="22"/>
          <w:lang w:val="fr-FR"/>
        </w:rPr>
        <w:t>un processus formel d</w:t>
      </w:r>
      <w:r w:rsidR="00535418" w:rsidRPr="00F32187">
        <w:rPr>
          <w:szCs w:val="22"/>
          <w:lang w:val="fr-FR"/>
        </w:rPr>
        <w:t>’</w:t>
      </w:r>
      <w:r w:rsidRPr="00F32187">
        <w:rPr>
          <w:szCs w:val="22"/>
          <w:lang w:val="fr-FR"/>
        </w:rPr>
        <w:t>apprentissage et de réflexion durant la phase de conception des projets ultérieu</w:t>
      </w:r>
      <w:r w:rsidR="00F32187" w:rsidRPr="00F32187">
        <w:rPr>
          <w:szCs w:val="22"/>
          <w:lang w:val="fr-FR"/>
        </w:rPr>
        <w:t>rs.  Le</w:t>
      </w:r>
      <w:r w:rsidRPr="00F32187">
        <w:rPr>
          <w:szCs w:val="22"/>
          <w:lang w:val="fr-FR"/>
        </w:rPr>
        <w:t>s progrès au regard de la mise en œuvre des recommandations devraient être inclus dans les rapports de proj</w:t>
      </w:r>
      <w:r w:rsidR="00F32187" w:rsidRPr="00F32187">
        <w:rPr>
          <w:szCs w:val="22"/>
          <w:lang w:val="fr-FR"/>
        </w:rPr>
        <w:t>et.  Il</w:t>
      </w:r>
      <w:r w:rsidRPr="00F32187">
        <w:rPr>
          <w:szCs w:val="22"/>
          <w:lang w:val="fr-FR"/>
        </w:rPr>
        <w:t xml:space="preserve"> est important de tirer les enseignements des évaluations pour obtenir un impact.</w:t>
      </w:r>
    </w:p>
    <w:p w14:paraId="599DABE3" w14:textId="006CD7A1" w:rsidR="00E045F1" w:rsidRPr="00F32187" w:rsidRDefault="00E045F1" w:rsidP="00AB3257">
      <w:pPr>
        <w:pStyle w:val="Heading1"/>
        <w:numPr>
          <w:ilvl w:val="0"/>
          <w:numId w:val="7"/>
        </w:numPr>
      </w:pPr>
      <w:bookmarkStart w:id="15" w:name="_Toc140224970"/>
      <w:bookmarkStart w:id="16" w:name="_Toc145933437"/>
      <w:bookmarkStart w:id="17" w:name="_Toc146025097"/>
      <w:r w:rsidRPr="00F32187">
        <w:lastRenderedPageBreak/>
        <w:t>I</w:t>
      </w:r>
      <w:r w:rsidR="00523444">
        <w:t>ntroduction</w:t>
      </w:r>
      <w:bookmarkEnd w:id="15"/>
      <w:bookmarkEnd w:id="16"/>
      <w:bookmarkEnd w:id="17"/>
    </w:p>
    <w:p w14:paraId="10D8113D" w14:textId="181E532E" w:rsidR="00E045F1" w:rsidRPr="00F32187" w:rsidRDefault="00E045F1" w:rsidP="00523444">
      <w:pPr>
        <w:pStyle w:val="ONUMFS"/>
        <w:keepNext/>
        <w:keepLines/>
        <w:rPr>
          <w:lang w:val="fr-FR"/>
        </w:rPr>
      </w:pPr>
      <w:r w:rsidRPr="00F32187">
        <w:rPr>
          <w:lang w:val="fr-FR"/>
        </w:rPr>
        <w:t>Ce rapport présente les conclusions d</w:t>
      </w:r>
      <w:r w:rsidR="00535418" w:rsidRPr="00F32187">
        <w:rPr>
          <w:lang w:val="fr-FR"/>
        </w:rPr>
        <w:t>’</w:t>
      </w:r>
      <w:r w:rsidRPr="00F32187">
        <w:rPr>
          <w:lang w:val="fr-FR"/>
        </w:rPr>
        <w:t>une évaluation de l</w:t>
      </w:r>
      <w:r w:rsidR="00535418" w:rsidRPr="00F32187">
        <w:rPr>
          <w:lang w:val="fr-FR"/>
        </w:rPr>
        <w:t>’</w:t>
      </w:r>
      <w:r w:rsidRPr="00F32187">
        <w:rPr>
          <w:lang w:val="fr-FR"/>
        </w:rPr>
        <w:t>impact du projet relatif à la propriété intellectuelle et au développement socioéconomique.</w:t>
      </w:r>
    </w:p>
    <w:p w14:paraId="4C1A089B" w14:textId="0F65E9E4" w:rsidR="00E045F1" w:rsidRPr="00F32187" w:rsidRDefault="00E045F1" w:rsidP="00523444">
      <w:pPr>
        <w:pStyle w:val="ONUMFS"/>
        <w:keepNext/>
        <w:keepLines/>
        <w:rPr>
          <w:lang w:val="fr-FR"/>
        </w:rPr>
      </w:pPr>
      <w:r w:rsidRPr="00F32187">
        <w:rPr>
          <w:lang w:val="fr-FR"/>
        </w:rPr>
        <w:t>Il fait suite à la demande du Comité du développement et de la propriété intellectuelle</w:t>
      </w:r>
      <w:r w:rsidR="00523444">
        <w:rPr>
          <w:lang w:val="fr-FR"/>
        </w:rPr>
        <w:t> </w:t>
      </w:r>
      <w:r w:rsidRPr="00F32187">
        <w:rPr>
          <w:lang w:val="fr-FR"/>
        </w:rPr>
        <w:t>(CDIP) de l</w:t>
      </w:r>
      <w:r w:rsidR="00535418" w:rsidRPr="00F32187">
        <w:rPr>
          <w:lang w:val="fr-FR"/>
        </w:rPr>
        <w:t>’</w:t>
      </w:r>
      <w:r w:rsidRPr="00F32187">
        <w:rPr>
          <w:lang w:val="fr-FR"/>
        </w:rPr>
        <w:t>OMPI, conformément au mandat du 15 février 2023.  Les données ont été collectées entre le 6 juin et le 7 juillet 2023 par un évaluateur externe, en étroite collaboration avec la Division de la coordination du Plan d</w:t>
      </w:r>
      <w:r w:rsidR="00535418" w:rsidRPr="00F32187">
        <w:rPr>
          <w:lang w:val="fr-FR"/>
        </w:rPr>
        <w:t>’</w:t>
      </w:r>
      <w:r w:rsidRPr="00F32187">
        <w:rPr>
          <w:lang w:val="fr-FR"/>
        </w:rPr>
        <w:t>action pour le développement et la Section de l</w:t>
      </w:r>
      <w:r w:rsidR="00535418" w:rsidRPr="00F32187">
        <w:rPr>
          <w:lang w:val="fr-FR"/>
        </w:rPr>
        <w:t>’</w:t>
      </w:r>
      <w:r w:rsidRPr="00F32187">
        <w:rPr>
          <w:lang w:val="fr-FR"/>
        </w:rPr>
        <w:t>évaluation de la Division de la supervision interne de l</w:t>
      </w:r>
      <w:r w:rsidR="00535418" w:rsidRPr="00F32187">
        <w:rPr>
          <w:lang w:val="fr-FR"/>
        </w:rPr>
        <w:t>’</w:t>
      </w:r>
      <w:r w:rsidRPr="00F32187">
        <w:rPr>
          <w:lang w:val="fr-FR"/>
        </w:rPr>
        <w:t>OMPI.</w:t>
      </w:r>
    </w:p>
    <w:p w14:paraId="1DC90C09" w14:textId="6471DAE4" w:rsidR="00E045F1" w:rsidRPr="00F32187" w:rsidRDefault="00E045F1" w:rsidP="00E045F1">
      <w:pPr>
        <w:pStyle w:val="ONUMFS"/>
        <w:spacing w:after="0"/>
        <w:rPr>
          <w:lang w:val="fr-FR"/>
        </w:rPr>
      </w:pPr>
      <w:r w:rsidRPr="00F32187">
        <w:rPr>
          <w:lang w:val="fr-FR"/>
        </w:rPr>
        <w:t>La présente évaluation d</w:t>
      </w:r>
      <w:r w:rsidR="00535418" w:rsidRPr="00F32187">
        <w:rPr>
          <w:lang w:val="fr-FR"/>
        </w:rPr>
        <w:t>’</w:t>
      </w:r>
      <w:r w:rsidRPr="00F32187">
        <w:rPr>
          <w:lang w:val="fr-FR"/>
        </w:rPr>
        <w:t>impact vise à examiner l</w:t>
      </w:r>
      <w:r w:rsidR="00535418" w:rsidRPr="00F32187">
        <w:rPr>
          <w:lang w:val="fr-FR"/>
        </w:rPr>
        <w:t>’</w:t>
      </w:r>
      <w:r w:rsidRPr="00F32187">
        <w:rPr>
          <w:lang w:val="fr-FR"/>
        </w:rPr>
        <w:t>évolution à long terme des résultats escomptés du projet et à fournir des informations d</w:t>
      </w:r>
      <w:r w:rsidR="00535418" w:rsidRPr="00F32187">
        <w:rPr>
          <w:lang w:val="fr-FR"/>
        </w:rPr>
        <w:t>’</w:t>
      </w:r>
      <w:r w:rsidRPr="00F32187">
        <w:rPr>
          <w:lang w:val="fr-FR"/>
        </w:rPr>
        <w:t>évaluation factuelles en vue de faciliter le processus décisionnel du comité aux fins des projets en cours et futurs ayant des objectifs de haut niveau similaires.</w:t>
      </w:r>
    </w:p>
    <w:p w14:paraId="44DF740F" w14:textId="00B910B2" w:rsidR="00E045F1" w:rsidRPr="00F32187" w:rsidRDefault="00523444" w:rsidP="00521E1F">
      <w:pPr>
        <w:pStyle w:val="Heading2"/>
        <w:ind w:left="1134" w:hanging="567"/>
      </w:pPr>
      <w:bookmarkStart w:id="18" w:name="_Toc140224971"/>
      <w:bookmarkStart w:id="19" w:name="_Toc145933438"/>
      <w:bookmarkStart w:id="20" w:name="_Toc146025098"/>
      <w:r>
        <w:t>C</w:t>
      </w:r>
      <w:r w:rsidRPr="00F32187">
        <w:t>ontexte et description du projet</w:t>
      </w:r>
      <w:bookmarkEnd w:id="18"/>
      <w:bookmarkEnd w:id="19"/>
      <w:bookmarkEnd w:id="20"/>
    </w:p>
    <w:p w14:paraId="4B744588" w14:textId="4AD9825E" w:rsidR="00E045F1" w:rsidRPr="00F32187" w:rsidRDefault="00E045F1" w:rsidP="00E045F1">
      <w:pPr>
        <w:pStyle w:val="ONUMFS"/>
        <w:rPr>
          <w:lang w:val="fr-FR"/>
        </w:rPr>
      </w:pPr>
      <w:r w:rsidRPr="00F32187">
        <w:rPr>
          <w:lang w:val="fr-FR"/>
        </w:rPr>
        <w:t>Le projet relatif à la propriété intellectuelle et au développement socioéconomique (ci</w:t>
      </w:r>
      <w:r w:rsidR="00444006">
        <w:rPr>
          <w:lang w:val="fr-FR"/>
        </w:rPr>
        <w:noBreakHyphen/>
      </w:r>
      <w:r w:rsidRPr="00F32187">
        <w:rPr>
          <w:lang w:val="fr-FR"/>
        </w:rPr>
        <w:t>après dénommé “projet”) visait à combler les lacunes des décideurs s</w:t>
      </w:r>
      <w:r w:rsidR="00535418" w:rsidRPr="00F32187">
        <w:rPr>
          <w:lang w:val="fr-FR"/>
        </w:rPr>
        <w:t>’</w:t>
      </w:r>
      <w:r w:rsidRPr="00F32187">
        <w:rPr>
          <w:lang w:val="fr-FR"/>
        </w:rPr>
        <w:t>agissant de l</w:t>
      </w:r>
      <w:r w:rsidR="00535418" w:rsidRPr="00F32187">
        <w:rPr>
          <w:lang w:val="fr-FR"/>
        </w:rPr>
        <w:t>’</w:t>
      </w:r>
      <w:r w:rsidRPr="00F32187">
        <w:rPr>
          <w:lang w:val="fr-FR"/>
        </w:rPr>
        <w:t>élaboration et de la mise en œuvre d</w:t>
      </w:r>
      <w:r w:rsidR="00535418" w:rsidRPr="00F32187">
        <w:rPr>
          <w:lang w:val="fr-FR"/>
        </w:rPr>
        <w:t>’</w:t>
      </w:r>
      <w:r w:rsidRPr="00F32187">
        <w:rPr>
          <w:lang w:val="fr-FR"/>
        </w:rPr>
        <w:t>un régime de propriété intellectuelle et à contribuer à des prises de décisions en meilleure connaissance de cause en matière de politique de propriété intellectuelle au niveau national et internation</w:t>
      </w:r>
      <w:r w:rsidR="00F32187" w:rsidRPr="00F32187">
        <w:rPr>
          <w:lang w:val="fr-FR"/>
        </w:rPr>
        <w:t>al.  Ap</w:t>
      </w:r>
      <w:r w:rsidRPr="00F32187">
        <w:rPr>
          <w:lang w:val="fr-FR"/>
        </w:rPr>
        <w:t>prouvé à la cinqu</w:t>
      </w:r>
      <w:r w:rsidR="00535418" w:rsidRPr="00F32187">
        <w:rPr>
          <w:lang w:val="fr-FR"/>
        </w:rPr>
        <w:t>ième session du CDI</w:t>
      </w:r>
      <w:r w:rsidRPr="00F32187">
        <w:rPr>
          <w:lang w:val="fr-FR"/>
        </w:rPr>
        <w:t>P en avril 2010, deux</w:t>
      </w:r>
      <w:r w:rsidR="00B37BEF" w:rsidRPr="00F32187">
        <w:rPr>
          <w:lang w:val="fr-FR"/>
        </w:rPr>
        <w:t> </w:t>
      </w:r>
      <w:r w:rsidRPr="00F32187">
        <w:rPr>
          <w:lang w:val="fr-FR"/>
        </w:rPr>
        <w:t>phases du projet fondées sur deux</w:t>
      </w:r>
      <w:r w:rsidR="00B37BEF" w:rsidRPr="00F32187">
        <w:rPr>
          <w:lang w:val="fr-FR"/>
        </w:rPr>
        <w:t> </w:t>
      </w:r>
      <w:r w:rsidRPr="00F32187">
        <w:rPr>
          <w:lang w:val="fr-FR"/>
        </w:rPr>
        <w:t>plans stratégiques à moyen terme de l</w:t>
      </w:r>
      <w:r w:rsidR="00535418" w:rsidRPr="00F32187">
        <w:rPr>
          <w:lang w:val="fr-FR"/>
        </w:rPr>
        <w:t>’</w:t>
      </w:r>
      <w:r w:rsidRPr="00F32187">
        <w:rPr>
          <w:lang w:val="fr-FR"/>
        </w:rPr>
        <w:t>OMPI (pour les périodes 2010</w:t>
      </w:r>
      <w:r w:rsidR="00444006">
        <w:rPr>
          <w:lang w:val="fr-FR"/>
        </w:rPr>
        <w:noBreakHyphen/>
      </w:r>
      <w:r w:rsidRPr="00F32187">
        <w:rPr>
          <w:lang w:val="fr-FR"/>
        </w:rPr>
        <w:t>2015 et 2016</w:t>
      </w:r>
      <w:r w:rsidR="00444006">
        <w:rPr>
          <w:lang w:val="fr-FR"/>
        </w:rPr>
        <w:noBreakHyphen/>
      </w:r>
      <w:r w:rsidRPr="00F32187">
        <w:rPr>
          <w:lang w:val="fr-FR"/>
        </w:rPr>
        <w:t>2021) ont été menées à bien entre 2012 et 2018.  Le projet visait à mettre en œuvre les recommandations n</w:t>
      </w:r>
      <w:r w:rsidR="00444006" w:rsidRPr="00444006">
        <w:rPr>
          <w:vertAlign w:val="superscript"/>
          <w:lang w:val="fr-FR"/>
        </w:rPr>
        <w:t>os</w:t>
      </w:r>
      <w:r w:rsidR="00444006">
        <w:rPr>
          <w:lang w:val="fr-FR"/>
        </w:rPr>
        <w:t> </w:t>
      </w:r>
      <w:r w:rsidRPr="00F32187">
        <w:rPr>
          <w:lang w:val="fr-FR"/>
        </w:rPr>
        <w:t>35 et</w:t>
      </w:r>
      <w:r w:rsidR="00444006">
        <w:rPr>
          <w:lang w:val="fr-FR"/>
        </w:rPr>
        <w:t> </w:t>
      </w:r>
      <w:r w:rsidRPr="00F32187">
        <w:rPr>
          <w:lang w:val="fr-FR"/>
        </w:rPr>
        <w:t>37 du Plan d</w:t>
      </w:r>
      <w:r w:rsidR="00535418" w:rsidRPr="00F32187">
        <w:rPr>
          <w:lang w:val="fr-FR"/>
        </w:rPr>
        <w:t>’</w:t>
      </w:r>
      <w:r w:rsidRPr="00F32187">
        <w:rPr>
          <w:lang w:val="fr-FR"/>
        </w:rPr>
        <w:t>action de l</w:t>
      </w:r>
      <w:r w:rsidR="00535418" w:rsidRPr="00F32187">
        <w:rPr>
          <w:lang w:val="fr-FR"/>
        </w:rPr>
        <w:t>’</w:t>
      </w:r>
      <w:r w:rsidRPr="00F32187">
        <w:rPr>
          <w:lang w:val="fr-FR"/>
        </w:rPr>
        <w:t>OMPI pour le développement et à contribuer aux résultats escomptés</w:t>
      </w:r>
      <w:r w:rsidR="00444006">
        <w:rPr>
          <w:lang w:val="fr-FR"/>
        </w:rPr>
        <w:t> </w:t>
      </w:r>
      <w:r w:rsidRPr="00F32187">
        <w:rPr>
          <w:lang w:val="fr-FR"/>
        </w:rPr>
        <w:t>V.1 et V.2 présentés dans l</w:t>
      </w:r>
      <w:r w:rsidR="00535418" w:rsidRPr="00F32187">
        <w:rPr>
          <w:lang w:val="fr-FR"/>
        </w:rPr>
        <w:t>’</w:t>
      </w:r>
      <w:r w:rsidRPr="00F32187">
        <w:rPr>
          <w:lang w:val="fr-FR"/>
        </w:rPr>
        <w:t xml:space="preserve">encadré 1.  La deuxième phase du projet (DA_35_37_02), réalisée </w:t>
      </w:r>
      <w:r w:rsidR="00535418" w:rsidRPr="00F32187">
        <w:rPr>
          <w:lang w:val="fr-FR"/>
        </w:rPr>
        <w:t>en 2016</w:t>
      </w:r>
      <w:r w:rsidR="00444006">
        <w:rPr>
          <w:lang w:val="fr-FR"/>
        </w:rPr>
        <w:noBreakHyphen/>
      </w:r>
      <w:r w:rsidRPr="00F32187">
        <w:rPr>
          <w:lang w:val="fr-FR"/>
        </w:rPr>
        <w:t>2018, a continué à servir de projet</w:t>
      </w:r>
      <w:r w:rsidR="00444006">
        <w:rPr>
          <w:lang w:val="fr-FR"/>
        </w:rPr>
        <w:noBreakHyphen/>
      </w:r>
      <w:r w:rsidRPr="00F32187">
        <w:rPr>
          <w:lang w:val="fr-FR"/>
        </w:rPr>
        <w:t>cadre, dans le cadre duquel les travaux de recherche entamés au cours de la première phase (DA_35_37_01) ont été poursuivis et la mise en œuvre a été élargie à un plus grand nombre de pays et de sujets.</w:t>
      </w:r>
    </w:p>
    <w:p w14:paraId="469C4354" w14:textId="505A5F6D" w:rsidR="00E045F1" w:rsidRPr="00F32187" w:rsidRDefault="00E045F1" w:rsidP="00E045F1">
      <w:pPr>
        <w:pStyle w:val="Caption"/>
        <w:spacing w:after="120"/>
        <w:rPr>
          <w:rStyle w:val="Strong"/>
          <w:lang w:val="fr-FR"/>
        </w:rPr>
      </w:pPr>
      <w:bookmarkStart w:id="21" w:name="_Ref140137860"/>
      <w:r w:rsidRPr="00F32187">
        <w:rPr>
          <w:rStyle w:val="Strong"/>
          <w:lang w:val="fr-FR"/>
        </w:rPr>
        <w:t xml:space="preserve">Encadré </w:t>
      </w:r>
      <w:r w:rsidRPr="00F32187">
        <w:rPr>
          <w:rStyle w:val="Strong"/>
          <w:lang w:val="fr-FR"/>
        </w:rPr>
        <w:fldChar w:fldCharType="begin"/>
      </w:r>
      <w:r w:rsidRPr="00F32187">
        <w:rPr>
          <w:rStyle w:val="Strong"/>
          <w:lang w:val="fr-FR"/>
        </w:rPr>
        <w:instrText xml:space="preserve"> SEQ Text_Box \* ARABIC </w:instrText>
      </w:r>
      <w:r w:rsidRPr="00F32187">
        <w:rPr>
          <w:rStyle w:val="Strong"/>
          <w:lang w:val="fr-FR"/>
        </w:rPr>
        <w:fldChar w:fldCharType="separate"/>
      </w:r>
      <w:r w:rsidR="0094636A">
        <w:rPr>
          <w:rStyle w:val="Strong"/>
          <w:noProof/>
          <w:lang w:val="fr-FR"/>
        </w:rPr>
        <w:t>1</w:t>
      </w:r>
      <w:r w:rsidRPr="00F32187">
        <w:rPr>
          <w:rStyle w:val="Strong"/>
          <w:lang w:val="fr-FR"/>
        </w:rPr>
        <w:fldChar w:fldCharType="end"/>
      </w:r>
      <w:bookmarkEnd w:id="21"/>
      <w:r w:rsidR="00535418" w:rsidRPr="00F32187">
        <w:rPr>
          <w:rStyle w:val="Strong"/>
          <w:lang w:val="fr-FR"/>
        </w:rPr>
        <w:t> :</w:t>
      </w:r>
      <w:r w:rsidRPr="00F32187">
        <w:rPr>
          <w:rStyle w:val="Strong"/>
          <w:lang w:val="fr-FR"/>
        </w:rPr>
        <w:t xml:space="preserve"> Liens du projet avec les recommandations au titre du Plan d</w:t>
      </w:r>
      <w:r w:rsidR="00535418" w:rsidRPr="00F32187">
        <w:rPr>
          <w:rStyle w:val="Strong"/>
          <w:lang w:val="fr-FR"/>
        </w:rPr>
        <w:t>’</w:t>
      </w:r>
      <w:r w:rsidRPr="00F32187">
        <w:rPr>
          <w:rStyle w:val="Strong"/>
          <w:lang w:val="fr-FR"/>
        </w:rPr>
        <w:t>action pour le développement et les résultats escomptés de l</w:t>
      </w:r>
      <w:r w:rsidR="00535418" w:rsidRPr="00F32187">
        <w:rPr>
          <w:rStyle w:val="Strong"/>
          <w:lang w:val="fr-FR"/>
        </w:rPr>
        <w:t>’</w:t>
      </w:r>
      <w:r w:rsidRPr="00F32187">
        <w:rPr>
          <w:rStyle w:val="Strong"/>
          <w:lang w:val="fr-FR"/>
        </w:rPr>
        <w:t>OMPI</w:t>
      </w:r>
    </w:p>
    <w:tbl>
      <w:tblPr>
        <w:tblStyle w:val="TableGrid"/>
        <w:tblW w:w="0" w:type="auto"/>
        <w:tblLook w:val="04A0" w:firstRow="1" w:lastRow="0" w:firstColumn="1" w:lastColumn="0" w:noHBand="0" w:noVBand="1"/>
        <w:tblCaption w:val="Encadré 1 : Liens du projet avec les recommandations au titre du Plan d’action pour le développement et les résultats escomptés de l’OMPI"/>
        <w:tblDescription w:val="Recommandations au titre du Plan d’action pour le développement&#10;35 – Demander à l’OMPI de réaliser, à la demande des États membres, de nouvelles études pour évaluer l’incidence économique, sociale et culturelle de l’utilisation des systèmes de propriété intellectuelle dans ces États.&#10;37 – À la demande des États membres et selon leurs instructions, l’OMPI peut réaliser des études sur la protection de la propriété intellectuelle afin de déterminer les liens et les incidences possibles entre propriété intellectuelle et développement.&#10;Résultats escomptés de l’OMPI &#10;V.1 – Utilisation plus large et plus efficace de l’information statistique de l’OMPI en matière de propriété intellectuelle.&#10;V.2 – Utilisation plus large et plus efficace des analyses économiques de l’OMPI aux fins de l’élaboration des politiques."/>
      </w:tblPr>
      <w:tblGrid>
        <w:gridCol w:w="9345"/>
      </w:tblGrid>
      <w:tr w:rsidR="00E045F1" w:rsidRPr="00F32187" w14:paraId="3FC22C76" w14:textId="77777777" w:rsidTr="0073566D">
        <w:trPr>
          <w:tblHeader/>
        </w:trPr>
        <w:tc>
          <w:tcPr>
            <w:tcW w:w="9345" w:type="dxa"/>
            <w:shd w:val="clear" w:color="auto" w:fill="DAEEF3" w:themeFill="accent5" w:themeFillTint="33"/>
          </w:tcPr>
          <w:p w14:paraId="73CFCDF2" w14:textId="5AD256BC" w:rsidR="00E045F1" w:rsidRPr="00F32187" w:rsidRDefault="00E045F1" w:rsidP="0073566D">
            <w:pPr>
              <w:pStyle w:val="ONUMFS"/>
              <w:numPr>
                <w:ilvl w:val="0"/>
                <w:numId w:val="0"/>
              </w:numPr>
              <w:spacing w:before="120"/>
              <w:rPr>
                <w:b/>
                <w:bCs/>
                <w:lang w:val="fr-FR"/>
              </w:rPr>
            </w:pPr>
            <w:r w:rsidRPr="00F32187">
              <w:rPr>
                <w:b/>
                <w:bCs/>
                <w:lang w:val="fr-FR"/>
              </w:rPr>
              <w:t>Recommandations au titre du Plan d</w:t>
            </w:r>
            <w:r w:rsidR="00535418" w:rsidRPr="00F32187">
              <w:rPr>
                <w:b/>
                <w:bCs/>
                <w:lang w:val="fr-FR"/>
              </w:rPr>
              <w:t>’</w:t>
            </w:r>
            <w:r w:rsidRPr="00F32187">
              <w:rPr>
                <w:b/>
                <w:bCs/>
                <w:lang w:val="fr-FR"/>
              </w:rPr>
              <w:t>action pour le développement</w:t>
            </w:r>
          </w:p>
          <w:p w14:paraId="061CB45B" w14:textId="13403799" w:rsidR="00E045F1" w:rsidRPr="00F32187" w:rsidRDefault="00E045F1" w:rsidP="0073566D">
            <w:pPr>
              <w:pStyle w:val="ONUMFS"/>
              <w:numPr>
                <w:ilvl w:val="0"/>
                <w:numId w:val="0"/>
              </w:numPr>
              <w:rPr>
                <w:lang w:val="fr-FR"/>
              </w:rPr>
            </w:pPr>
            <w:r w:rsidRPr="00F32187">
              <w:rPr>
                <w:lang w:val="fr-FR"/>
              </w:rPr>
              <w:t>35</w:t>
            </w:r>
            <w:r w:rsidR="00535418" w:rsidRPr="00F32187">
              <w:rPr>
                <w:lang w:val="fr-FR"/>
              </w:rPr>
              <w:t xml:space="preserve"> – </w:t>
            </w:r>
            <w:r w:rsidRPr="00F32187">
              <w:rPr>
                <w:lang w:val="fr-FR"/>
              </w:rPr>
              <w:t>Demander à l</w:t>
            </w:r>
            <w:r w:rsidR="00535418" w:rsidRPr="00F32187">
              <w:rPr>
                <w:lang w:val="fr-FR"/>
              </w:rPr>
              <w:t>’</w:t>
            </w:r>
            <w:r w:rsidRPr="00F32187">
              <w:rPr>
                <w:lang w:val="fr-FR"/>
              </w:rPr>
              <w:t>OMPI de réaliser, à la demande des États membres, de nouvelles études pour évaluer l</w:t>
            </w:r>
            <w:r w:rsidR="00535418" w:rsidRPr="00F32187">
              <w:rPr>
                <w:lang w:val="fr-FR"/>
              </w:rPr>
              <w:t>’</w:t>
            </w:r>
            <w:r w:rsidRPr="00F32187">
              <w:rPr>
                <w:lang w:val="fr-FR"/>
              </w:rPr>
              <w:t>incidence économique, sociale et culturelle de l</w:t>
            </w:r>
            <w:r w:rsidR="00535418" w:rsidRPr="00F32187">
              <w:rPr>
                <w:lang w:val="fr-FR"/>
              </w:rPr>
              <w:t>’</w:t>
            </w:r>
            <w:r w:rsidRPr="00F32187">
              <w:rPr>
                <w:lang w:val="fr-FR"/>
              </w:rPr>
              <w:t>utilisation des systèmes de propriété intellectuelle dans ces États.</w:t>
            </w:r>
          </w:p>
          <w:p w14:paraId="163FA8DB" w14:textId="506B376E" w:rsidR="00E045F1" w:rsidRPr="00F32187" w:rsidRDefault="00E045F1" w:rsidP="0073566D">
            <w:pPr>
              <w:pStyle w:val="ONUMFS"/>
              <w:numPr>
                <w:ilvl w:val="0"/>
                <w:numId w:val="0"/>
              </w:numPr>
              <w:rPr>
                <w:lang w:val="fr-FR"/>
              </w:rPr>
            </w:pPr>
            <w:r w:rsidRPr="00F32187">
              <w:rPr>
                <w:lang w:val="fr-FR"/>
              </w:rPr>
              <w:t>37</w:t>
            </w:r>
            <w:r w:rsidR="00535418" w:rsidRPr="00F32187">
              <w:rPr>
                <w:lang w:val="fr-FR"/>
              </w:rPr>
              <w:t xml:space="preserve"> – </w:t>
            </w:r>
            <w:r w:rsidRPr="00F32187">
              <w:rPr>
                <w:lang w:val="fr-FR"/>
              </w:rPr>
              <w:t>À la demande des États membres et selon leurs instructions, l</w:t>
            </w:r>
            <w:r w:rsidR="00535418" w:rsidRPr="00F32187">
              <w:rPr>
                <w:lang w:val="fr-FR"/>
              </w:rPr>
              <w:t>’</w:t>
            </w:r>
            <w:r w:rsidRPr="00F32187">
              <w:rPr>
                <w:lang w:val="fr-FR"/>
              </w:rPr>
              <w:t>OMPI peut réaliser des études sur la protection de la propriété intellectuelle afin de déterminer les liens et les incidences possibles entre propriété intellectuelle et développement.</w:t>
            </w:r>
          </w:p>
          <w:p w14:paraId="233D89F7" w14:textId="25BBC8D1" w:rsidR="00E045F1" w:rsidRPr="00F32187" w:rsidRDefault="00E045F1" w:rsidP="0073566D">
            <w:pPr>
              <w:pStyle w:val="ONUMFS"/>
              <w:numPr>
                <w:ilvl w:val="0"/>
                <w:numId w:val="0"/>
              </w:numPr>
              <w:rPr>
                <w:b/>
                <w:bCs/>
                <w:lang w:val="fr-FR"/>
              </w:rPr>
            </w:pPr>
            <w:r w:rsidRPr="00F32187">
              <w:rPr>
                <w:b/>
                <w:bCs/>
                <w:lang w:val="fr-FR"/>
              </w:rPr>
              <w:t>Résultats escomptés de l</w:t>
            </w:r>
            <w:r w:rsidR="00535418" w:rsidRPr="00F32187">
              <w:rPr>
                <w:b/>
                <w:bCs/>
                <w:lang w:val="fr-FR"/>
              </w:rPr>
              <w:t>’</w:t>
            </w:r>
            <w:r w:rsidRPr="00F32187">
              <w:rPr>
                <w:b/>
                <w:bCs/>
                <w:lang w:val="fr-FR"/>
              </w:rPr>
              <w:t>OMPI</w:t>
            </w:r>
            <w:r w:rsidRPr="00F32187">
              <w:rPr>
                <w:rStyle w:val="FootnoteReference"/>
                <w:b/>
                <w:bCs/>
                <w:lang w:val="fr-FR"/>
              </w:rPr>
              <w:footnoteReference w:id="6"/>
            </w:r>
          </w:p>
          <w:p w14:paraId="0AE2893F" w14:textId="508C5441" w:rsidR="00E045F1" w:rsidRPr="00F32187" w:rsidRDefault="00E045F1" w:rsidP="0073566D">
            <w:pPr>
              <w:pStyle w:val="ONUMFS"/>
              <w:numPr>
                <w:ilvl w:val="0"/>
                <w:numId w:val="0"/>
              </w:numPr>
              <w:rPr>
                <w:lang w:val="fr-FR"/>
              </w:rPr>
            </w:pPr>
            <w:r w:rsidRPr="00F32187">
              <w:rPr>
                <w:lang w:val="fr-FR"/>
              </w:rPr>
              <w:t>V.1</w:t>
            </w:r>
            <w:r w:rsidR="00535418" w:rsidRPr="00F32187">
              <w:rPr>
                <w:lang w:val="fr-FR"/>
              </w:rPr>
              <w:t xml:space="preserve"> – </w:t>
            </w:r>
            <w:r w:rsidRPr="00F32187">
              <w:rPr>
                <w:lang w:val="fr-FR"/>
              </w:rPr>
              <w:t>Utilisation plus large et plus efficace de l</w:t>
            </w:r>
            <w:r w:rsidR="00535418" w:rsidRPr="00F32187">
              <w:rPr>
                <w:lang w:val="fr-FR"/>
              </w:rPr>
              <w:t>’</w:t>
            </w:r>
            <w:r w:rsidRPr="00F32187">
              <w:rPr>
                <w:lang w:val="fr-FR"/>
              </w:rPr>
              <w:t>information statistique de l</w:t>
            </w:r>
            <w:r w:rsidR="00535418" w:rsidRPr="00F32187">
              <w:rPr>
                <w:lang w:val="fr-FR"/>
              </w:rPr>
              <w:t>’</w:t>
            </w:r>
            <w:r w:rsidRPr="00F32187">
              <w:rPr>
                <w:lang w:val="fr-FR"/>
              </w:rPr>
              <w:t>OMPI en matière de propriété intellectuelle.</w:t>
            </w:r>
          </w:p>
          <w:p w14:paraId="2FB7F86D" w14:textId="2F15C7B5" w:rsidR="00E045F1" w:rsidRPr="00F32187" w:rsidRDefault="00E045F1" w:rsidP="0073566D">
            <w:pPr>
              <w:pStyle w:val="ONUMFS"/>
              <w:numPr>
                <w:ilvl w:val="0"/>
                <w:numId w:val="0"/>
              </w:numPr>
              <w:rPr>
                <w:lang w:val="fr-FR"/>
              </w:rPr>
            </w:pPr>
            <w:r w:rsidRPr="00F32187">
              <w:rPr>
                <w:lang w:val="fr-FR"/>
              </w:rPr>
              <w:t>V.2</w:t>
            </w:r>
            <w:r w:rsidR="00535418" w:rsidRPr="00F32187">
              <w:rPr>
                <w:lang w:val="fr-FR"/>
              </w:rPr>
              <w:t xml:space="preserve"> – </w:t>
            </w:r>
            <w:r w:rsidRPr="00F32187">
              <w:rPr>
                <w:lang w:val="fr-FR"/>
              </w:rPr>
              <w:t>Utilisation plus large et plus efficace des analyses économiques de l</w:t>
            </w:r>
            <w:r w:rsidR="00535418" w:rsidRPr="00F32187">
              <w:rPr>
                <w:lang w:val="fr-FR"/>
              </w:rPr>
              <w:t>’</w:t>
            </w:r>
            <w:r w:rsidRPr="00F32187">
              <w:rPr>
                <w:lang w:val="fr-FR"/>
              </w:rPr>
              <w:t>OMPI aux fins de l</w:t>
            </w:r>
            <w:r w:rsidR="00535418" w:rsidRPr="00F32187">
              <w:rPr>
                <w:lang w:val="fr-FR"/>
              </w:rPr>
              <w:t>’</w:t>
            </w:r>
            <w:r w:rsidRPr="00F32187">
              <w:rPr>
                <w:lang w:val="fr-FR"/>
              </w:rPr>
              <w:t>élaboration des politiques.</w:t>
            </w:r>
          </w:p>
        </w:tc>
      </w:tr>
    </w:tbl>
    <w:p w14:paraId="173093EB" w14:textId="2EA939FA" w:rsidR="00E045F1" w:rsidRPr="00F32187" w:rsidRDefault="00E045F1" w:rsidP="00E045F1">
      <w:pPr>
        <w:pStyle w:val="ONUMFS"/>
        <w:spacing w:before="220"/>
        <w:rPr>
          <w:lang w:val="fr-FR"/>
        </w:rPr>
      </w:pPr>
      <w:r w:rsidRPr="00F32187">
        <w:rPr>
          <w:lang w:val="fr-FR"/>
        </w:rPr>
        <w:lastRenderedPageBreak/>
        <w:t>Dans le cadre du projet, des études économiques axées sur le lien entre la protection de la propriété intellectuelle et la performance économique ont été réalisées dans le but d</w:t>
      </w:r>
      <w:r w:rsidR="00535418" w:rsidRPr="00F32187">
        <w:rPr>
          <w:lang w:val="fr-FR"/>
        </w:rPr>
        <w:t>’</w:t>
      </w:r>
      <w:r w:rsidRPr="00F32187">
        <w:rPr>
          <w:lang w:val="fr-FR"/>
        </w:rPr>
        <w:t>améliorer l</w:t>
      </w:r>
      <w:r w:rsidR="00535418" w:rsidRPr="00F32187">
        <w:rPr>
          <w:lang w:val="fr-FR"/>
        </w:rPr>
        <w:t>’</w:t>
      </w:r>
      <w:r w:rsidRPr="00F32187">
        <w:rPr>
          <w:lang w:val="fr-FR"/>
        </w:rPr>
        <w:t>interface connaissances/politiques dans les pays en développement et de contribuer à des prises de décisions en meilleure connaissance de cause concernant les politiques de propriété intellectuel</w:t>
      </w:r>
      <w:r w:rsidR="00F32187" w:rsidRPr="00F32187">
        <w:rPr>
          <w:lang w:val="fr-FR"/>
        </w:rPr>
        <w:t>le.  De</w:t>
      </w:r>
      <w:r w:rsidRPr="00F32187">
        <w:rPr>
          <w:lang w:val="fr-FR"/>
        </w:rPr>
        <w:t>s travaux de recherche originaux ont été menés sur divers sujets à la demande des pays bénéficiaires, qui ont permis de renforcer leurs capacités d</w:t>
      </w:r>
      <w:r w:rsidR="00535418" w:rsidRPr="00F32187">
        <w:rPr>
          <w:lang w:val="fr-FR"/>
        </w:rPr>
        <w:t>’</w:t>
      </w:r>
      <w:r w:rsidRPr="00F32187">
        <w:rPr>
          <w:lang w:val="fr-FR"/>
        </w:rPr>
        <w:t>analyse et leurs sources de donné</w:t>
      </w:r>
      <w:r w:rsidR="00F32187" w:rsidRPr="00F32187">
        <w:rPr>
          <w:lang w:val="fr-FR"/>
        </w:rPr>
        <w:t>es.  De</w:t>
      </w:r>
      <w:r w:rsidRPr="00F32187">
        <w:rPr>
          <w:lang w:val="fr-FR"/>
        </w:rPr>
        <w:t>s séances d</w:t>
      </w:r>
      <w:r w:rsidR="00535418" w:rsidRPr="00F32187">
        <w:rPr>
          <w:lang w:val="fr-FR"/>
        </w:rPr>
        <w:t>’</w:t>
      </w:r>
      <w:r w:rsidRPr="00F32187">
        <w:rPr>
          <w:lang w:val="fr-FR"/>
        </w:rPr>
        <w:t>information de haut niveau, des réunions, des ateliers et des séminaires avec les parties prenantes ont notamment été organisés afin de diffuser les conclusions et de renforcer leurs capacités.  L</w:t>
      </w:r>
      <w:r w:rsidR="00535418" w:rsidRPr="00F32187">
        <w:rPr>
          <w:lang w:val="fr-FR"/>
        </w:rPr>
        <w:t>’</w:t>
      </w:r>
      <w:r w:rsidR="00CB7532">
        <w:rPr>
          <w:lang w:val="fr-FR"/>
        </w:rPr>
        <w:t>a</w:t>
      </w:r>
      <w:r w:rsidRPr="00F32187">
        <w:rPr>
          <w:lang w:val="fr-FR"/>
        </w:rPr>
        <w:t>ppendice</w:t>
      </w:r>
      <w:r w:rsidR="00523444">
        <w:rPr>
          <w:lang w:val="fr-FR"/>
        </w:rPr>
        <w:t> </w:t>
      </w:r>
      <w:r w:rsidRPr="00F32187">
        <w:rPr>
          <w:lang w:val="fr-FR"/>
        </w:rPr>
        <w:t>I contient un résumé des résultats escomptés du projet par phase de mise en œuvre et lieu.</w:t>
      </w:r>
    </w:p>
    <w:p w14:paraId="3DA76B2C" w14:textId="0EA58191" w:rsidR="00E045F1" w:rsidRPr="00F32187" w:rsidRDefault="00E045F1" w:rsidP="00E045F1">
      <w:pPr>
        <w:pStyle w:val="ONUMFS"/>
        <w:rPr>
          <w:lang w:val="fr-FR"/>
        </w:rPr>
      </w:pPr>
      <w:r w:rsidRPr="00F32187">
        <w:rPr>
          <w:lang w:val="fr-FR"/>
        </w:rPr>
        <w:t>Les résultats du projet ciblaient principalement les responsables de l</w:t>
      </w:r>
      <w:r w:rsidR="00535418" w:rsidRPr="00F32187">
        <w:rPr>
          <w:lang w:val="fr-FR"/>
        </w:rPr>
        <w:t>’</w:t>
      </w:r>
      <w:r w:rsidRPr="00F32187">
        <w:rPr>
          <w:lang w:val="fr-FR"/>
        </w:rPr>
        <w:t>élaboration des politiques et leurs conseillers, mais visaient également d</w:t>
      </w:r>
      <w:r w:rsidR="00535418" w:rsidRPr="00F32187">
        <w:rPr>
          <w:lang w:val="fr-FR"/>
        </w:rPr>
        <w:t>’</w:t>
      </w:r>
      <w:r w:rsidRPr="00F32187">
        <w:rPr>
          <w:lang w:val="fr-FR"/>
        </w:rPr>
        <w:t>autres bénéficiaires potentiels, tels que les organisations non gouvernementales, les économistes et le grand publ</w:t>
      </w:r>
      <w:r w:rsidR="00F32187" w:rsidRPr="00F32187">
        <w:rPr>
          <w:lang w:val="fr-FR"/>
        </w:rPr>
        <w:t>ic.  Le</w:t>
      </w:r>
      <w:r w:rsidRPr="00F32187">
        <w:rPr>
          <w:lang w:val="fr-FR"/>
        </w:rPr>
        <w:t xml:space="preserve"> projet a été administré par le Bureau de l</w:t>
      </w:r>
      <w:r w:rsidR="00535418" w:rsidRPr="00F32187">
        <w:rPr>
          <w:lang w:val="fr-FR"/>
        </w:rPr>
        <w:t>’</w:t>
      </w:r>
      <w:r w:rsidRPr="00F32187">
        <w:rPr>
          <w:lang w:val="fr-FR"/>
        </w:rPr>
        <w:t>économiste en chef de l</w:t>
      </w:r>
      <w:r w:rsidR="00535418" w:rsidRPr="00F32187">
        <w:rPr>
          <w:lang w:val="fr-FR"/>
        </w:rPr>
        <w:t>’</w:t>
      </w:r>
      <w:r w:rsidRPr="00F32187">
        <w:rPr>
          <w:lang w:val="fr-FR"/>
        </w:rPr>
        <w:t>OMPI et mis en œuvre en collaboration avec des experts et des chercheurs internationaux et loca</w:t>
      </w:r>
      <w:r w:rsidR="00F32187" w:rsidRPr="00F32187">
        <w:rPr>
          <w:lang w:val="fr-FR"/>
        </w:rPr>
        <w:t>ux.  Le</w:t>
      </w:r>
      <w:r w:rsidRPr="00F32187">
        <w:rPr>
          <w:lang w:val="fr-FR"/>
        </w:rPr>
        <w:t xml:space="preserve"> projet a mené au renforcement des capacités internes et à l</w:t>
      </w:r>
      <w:r w:rsidR="00535418" w:rsidRPr="00F32187">
        <w:rPr>
          <w:lang w:val="fr-FR"/>
        </w:rPr>
        <w:t>’</w:t>
      </w:r>
      <w:r w:rsidRPr="00F32187">
        <w:rPr>
          <w:lang w:val="fr-FR"/>
        </w:rPr>
        <w:t>élargissement du Bureau de l</w:t>
      </w:r>
      <w:r w:rsidR="00535418" w:rsidRPr="00F32187">
        <w:rPr>
          <w:lang w:val="fr-FR"/>
        </w:rPr>
        <w:t>’</w:t>
      </w:r>
      <w:r w:rsidRPr="00F32187">
        <w:rPr>
          <w:lang w:val="fr-FR"/>
        </w:rPr>
        <w:t>économiste en chef.</w:t>
      </w:r>
    </w:p>
    <w:p w14:paraId="5AC757CA" w14:textId="297BFEE3" w:rsidR="00E045F1" w:rsidRPr="00F32187" w:rsidRDefault="00E045F1" w:rsidP="00E045F1">
      <w:pPr>
        <w:pStyle w:val="ONUMFS"/>
        <w:rPr>
          <w:lang w:val="fr-FR"/>
        </w:rPr>
      </w:pPr>
      <w:r w:rsidRPr="00F32187">
        <w:rPr>
          <w:lang w:val="fr-FR"/>
        </w:rPr>
        <w:t>Toutes les activités relevant du projet ont été conçues pour les pays en développement et les pays en transiti</w:t>
      </w:r>
      <w:r w:rsidR="00F32187" w:rsidRPr="00F32187">
        <w:rPr>
          <w:lang w:val="fr-FR"/>
        </w:rPr>
        <w:t>on.  Le</w:t>
      </w:r>
      <w:r w:rsidRPr="00F32187">
        <w:rPr>
          <w:lang w:val="fr-FR"/>
        </w:rPr>
        <w:t>s incidences positives escomptées s</w:t>
      </w:r>
      <w:r w:rsidR="00535418" w:rsidRPr="00F32187">
        <w:rPr>
          <w:lang w:val="fr-FR"/>
        </w:rPr>
        <w:t>’</w:t>
      </w:r>
      <w:r w:rsidRPr="00F32187">
        <w:rPr>
          <w:lang w:val="fr-FR"/>
        </w:rPr>
        <w:t>inscrivaient toutes dans le cadre d</w:t>
      </w:r>
      <w:r w:rsidR="00535418" w:rsidRPr="00F32187">
        <w:rPr>
          <w:lang w:val="fr-FR"/>
        </w:rPr>
        <w:t>’</w:t>
      </w:r>
      <w:r w:rsidRPr="00F32187">
        <w:rPr>
          <w:lang w:val="fr-FR"/>
        </w:rPr>
        <w:t>une démarche de développement des capacités ou des politiqu</w:t>
      </w:r>
      <w:r w:rsidR="00F32187" w:rsidRPr="00F32187">
        <w:rPr>
          <w:lang w:val="fr-FR"/>
        </w:rPr>
        <w:t>es.  Da</w:t>
      </w:r>
      <w:r w:rsidRPr="00F32187">
        <w:rPr>
          <w:lang w:val="fr-FR"/>
        </w:rPr>
        <w:t>ns les deux</w:t>
      </w:r>
      <w:r w:rsidR="00B37BEF" w:rsidRPr="00F32187">
        <w:rPr>
          <w:lang w:val="fr-FR"/>
        </w:rPr>
        <w:t> </w:t>
      </w:r>
      <w:r w:rsidRPr="00F32187">
        <w:rPr>
          <w:lang w:val="fr-FR"/>
        </w:rPr>
        <w:t>cas, le contexte de mise en œuvre est complexe et les enchaînements de causalité menant des activités à l</w:t>
      </w:r>
      <w:r w:rsidR="00535418" w:rsidRPr="00F32187">
        <w:rPr>
          <w:lang w:val="fr-FR"/>
        </w:rPr>
        <w:t>’</w:t>
      </w:r>
      <w:r w:rsidRPr="00F32187">
        <w:rPr>
          <w:lang w:val="fr-FR"/>
        </w:rPr>
        <w:t>impact s</w:t>
      </w:r>
      <w:r w:rsidR="00535418" w:rsidRPr="00F32187">
        <w:rPr>
          <w:lang w:val="fr-FR"/>
        </w:rPr>
        <w:t>’</w:t>
      </w:r>
      <w:r w:rsidRPr="00F32187">
        <w:rPr>
          <w:lang w:val="fr-FR"/>
        </w:rPr>
        <w:t>inscrivent dans le long ter</w:t>
      </w:r>
      <w:r w:rsidR="00F32187" w:rsidRPr="00F32187">
        <w:rPr>
          <w:lang w:val="fr-FR"/>
        </w:rPr>
        <w:t>me.  Le</w:t>
      </w:r>
      <w:r w:rsidRPr="00F32187">
        <w:rPr>
          <w:lang w:val="fr-FR"/>
        </w:rPr>
        <w:t xml:space="preserve"> descriptif de projet (</w:t>
      </w:r>
      <w:hyperlink r:id="rId17" w:history="1">
        <w:r w:rsidRPr="00F32187">
          <w:rPr>
            <w:rStyle w:val="Hyperlink"/>
            <w:lang w:val="fr-FR"/>
          </w:rPr>
          <w:t>CDIP14/7</w:t>
        </w:r>
      </w:hyperlink>
      <w:r w:rsidRPr="00F32187">
        <w:rPr>
          <w:lang w:val="fr-FR"/>
        </w:rPr>
        <w:t>) expose les objectifs, la stratégie de mise en œuvre et les liens avec d</w:t>
      </w:r>
      <w:r w:rsidR="00535418" w:rsidRPr="00F32187">
        <w:rPr>
          <w:lang w:val="fr-FR"/>
        </w:rPr>
        <w:t>’</w:t>
      </w:r>
      <w:r w:rsidRPr="00F32187">
        <w:rPr>
          <w:lang w:val="fr-FR"/>
        </w:rPr>
        <w:t>autres programmes de l</w:t>
      </w:r>
      <w:r w:rsidR="00535418" w:rsidRPr="00F32187">
        <w:rPr>
          <w:lang w:val="fr-FR"/>
        </w:rPr>
        <w:t>’</w:t>
      </w:r>
      <w:r w:rsidRPr="00F32187">
        <w:rPr>
          <w:lang w:val="fr-FR"/>
        </w:rPr>
        <w:t>OMPI et projets du Plan d</w:t>
      </w:r>
      <w:r w:rsidR="00535418" w:rsidRPr="00F32187">
        <w:rPr>
          <w:lang w:val="fr-FR"/>
        </w:rPr>
        <w:t>’</w:t>
      </w:r>
      <w:r w:rsidRPr="00F32187">
        <w:rPr>
          <w:lang w:val="fr-FR"/>
        </w:rPr>
        <w:t>action pour le développement.  L</w:t>
      </w:r>
      <w:r w:rsidR="00535418" w:rsidRPr="00F32187">
        <w:rPr>
          <w:lang w:val="fr-FR"/>
        </w:rPr>
        <w:t>’</w:t>
      </w:r>
      <w:r w:rsidR="00CB7532">
        <w:rPr>
          <w:lang w:val="fr-FR"/>
        </w:rPr>
        <w:t>a</w:t>
      </w:r>
      <w:r w:rsidRPr="00F32187">
        <w:rPr>
          <w:lang w:val="fr-FR"/>
        </w:rPr>
        <w:t>ppendice</w:t>
      </w:r>
      <w:r w:rsidR="00CB7532">
        <w:rPr>
          <w:lang w:val="fr-FR"/>
        </w:rPr>
        <w:t> </w:t>
      </w:r>
      <w:r w:rsidRPr="00F32187">
        <w:rPr>
          <w:lang w:val="fr-FR"/>
        </w:rPr>
        <w:t>II contient une théorie du changement reconstituée résumant la logique de mise en œuvre du projet, les voies menant à l</w:t>
      </w:r>
      <w:r w:rsidR="00535418" w:rsidRPr="00F32187">
        <w:rPr>
          <w:lang w:val="fr-FR"/>
        </w:rPr>
        <w:t>’</w:t>
      </w:r>
      <w:r w:rsidRPr="00F32187">
        <w:rPr>
          <w:lang w:val="fr-FR"/>
        </w:rPr>
        <w:t>impact et les résultats escomptés</w:t>
      </w:r>
      <w:r w:rsidRPr="00F32187">
        <w:rPr>
          <w:rStyle w:val="FootnoteReference"/>
          <w:lang w:val="fr-FR"/>
        </w:rPr>
        <w:footnoteReference w:id="7"/>
      </w:r>
      <w:r w:rsidRPr="00F32187">
        <w:rPr>
          <w:lang w:val="fr-FR"/>
        </w:rPr>
        <w:t>.  L</w:t>
      </w:r>
      <w:r w:rsidR="00535418" w:rsidRPr="00F32187">
        <w:rPr>
          <w:lang w:val="fr-FR"/>
        </w:rPr>
        <w:t>’</w:t>
      </w:r>
      <w:r w:rsidRPr="00F32187">
        <w:rPr>
          <w:lang w:val="fr-FR"/>
        </w:rPr>
        <w:fldChar w:fldCharType="begin"/>
      </w:r>
      <w:r w:rsidRPr="00F32187">
        <w:rPr>
          <w:lang w:val="fr-FR"/>
        </w:rPr>
        <w:instrText xml:space="preserve"> REF _Ref137457978 \h </w:instrText>
      </w:r>
      <w:r w:rsidRPr="00F32187">
        <w:rPr>
          <w:lang w:val="fr-FR"/>
        </w:rPr>
      </w:r>
      <w:r w:rsidRPr="00F32187">
        <w:rPr>
          <w:lang w:val="fr-FR"/>
        </w:rPr>
        <w:fldChar w:fldCharType="separate"/>
      </w:r>
      <w:r w:rsidR="0094636A" w:rsidRPr="00F32187">
        <w:rPr>
          <w:rStyle w:val="Strong"/>
          <w:lang w:val="fr-FR"/>
        </w:rPr>
        <w:t xml:space="preserve">Encadré </w:t>
      </w:r>
      <w:r w:rsidR="0094636A">
        <w:rPr>
          <w:rStyle w:val="Strong"/>
          <w:noProof/>
          <w:lang w:val="fr-FR"/>
        </w:rPr>
        <w:t>2</w:t>
      </w:r>
      <w:r w:rsidRPr="00F32187">
        <w:rPr>
          <w:lang w:val="fr-FR"/>
        </w:rPr>
        <w:fldChar w:fldCharType="end"/>
      </w:r>
      <w:r w:rsidRPr="00F32187">
        <w:rPr>
          <w:lang w:val="fr-FR"/>
        </w:rPr>
        <w:t xml:space="preserve"> contient un récapitulatif de la théorie du changement du projet.</w:t>
      </w:r>
    </w:p>
    <w:p w14:paraId="2C7FD44C" w14:textId="086BF377" w:rsidR="00E045F1" w:rsidRPr="00F32187" w:rsidRDefault="00E045F1" w:rsidP="00E045F1">
      <w:pPr>
        <w:pStyle w:val="Caption"/>
        <w:spacing w:after="120"/>
        <w:rPr>
          <w:rStyle w:val="Strong"/>
          <w:b w:val="0"/>
          <w:bCs w:val="0"/>
          <w:sz w:val="22"/>
          <w:lang w:val="fr-FR"/>
        </w:rPr>
      </w:pPr>
      <w:bookmarkStart w:id="22" w:name="_Ref137457978"/>
      <w:r w:rsidRPr="00F32187">
        <w:rPr>
          <w:rStyle w:val="Strong"/>
          <w:lang w:val="fr-FR"/>
        </w:rPr>
        <w:t xml:space="preserve">Encadré </w:t>
      </w:r>
      <w:r w:rsidRPr="00F32187">
        <w:rPr>
          <w:rStyle w:val="Strong"/>
          <w:lang w:val="fr-FR"/>
        </w:rPr>
        <w:fldChar w:fldCharType="begin"/>
      </w:r>
      <w:r w:rsidRPr="00F32187">
        <w:rPr>
          <w:rStyle w:val="Strong"/>
          <w:lang w:val="fr-FR"/>
        </w:rPr>
        <w:instrText xml:space="preserve"> SEQ Text_Box \* ARABIC </w:instrText>
      </w:r>
      <w:r w:rsidRPr="00F32187">
        <w:rPr>
          <w:rStyle w:val="Strong"/>
          <w:lang w:val="fr-FR"/>
        </w:rPr>
        <w:fldChar w:fldCharType="separate"/>
      </w:r>
      <w:r w:rsidR="0094636A">
        <w:rPr>
          <w:rStyle w:val="Strong"/>
          <w:noProof/>
          <w:lang w:val="fr-FR"/>
        </w:rPr>
        <w:t>2</w:t>
      </w:r>
      <w:r w:rsidRPr="00F32187">
        <w:rPr>
          <w:rStyle w:val="Strong"/>
          <w:lang w:val="fr-FR"/>
        </w:rPr>
        <w:fldChar w:fldCharType="end"/>
      </w:r>
      <w:bookmarkEnd w:id="22"/>
      <w:r w:rsidR="00535418" w:rsidRPr="00F32187">
        <w:rPr>
          <w:rStyle w:val="Strong"/>
          <w:lang w:val="fr-FR"/>
        </w:rPr>
        <w:t> :</w:t>
      </w:r>
      <w:r w:rsidRPr="00F32187">
        <w:rPr>
          <w:rStyle w:val="Strong"/>
          <w:lang w:val="fr-FR"/>
        </w:rPr>
        <w:t xml:space="preserve"> Récapitulatif de la théorie du changement et de l</w:t>
      </w:r>
      <w:r w:rsidR="00535418" w:rsidRPr="00F32187">
        <w:rPr>
          <w:rStyle w:val="Strong"/>
          <w:lang w:val="fr-FR"/>
        </w:rPr>
        <w:t>’</w:t>
      </w:r>
      <w:r w:rsidRPr="00F32187">
        <w:rPr>
          <w:rStyle w:val="Strong"/>
          <w:lang w:val="fr-FR"/>
        </w:rPr>
        <w:t>impact escompté du projet</w:t>
      </w:r>
    </w:p>
    <w:tbl>
      <w:tblPr>
        <w:tblStyle w:val="TableGrid"/>
        <w:tblW w:w="0" w:type="auto"/>
        <w:tblLook w:val="04A0" w:firstRow="1" w:lastRow="0" w:firstColumn="1" w:lastColumn="0" w:noHBand="0" w:noVBand="1"/>
        <w:tblCaption w:val="Encadré 2 : Récapitulatif de la théorie du changement et de l’impact escompté du projet"/>
        <w:tblDescription w:val="Le renforcement des capacités et des connaissances des décideurs en matière d’utilisation des données de recherche mènera à des décisions politiques fondées sur des bases factuelles ayant pour effet d’améliorer le développement socioéconomique des pays bénéficiaires."/>
      </w:tblPr>
      <w:tblGrid>
        <w:gridCol w:w="9345"/>
      </w:tblGrid>
      <w:tr w:rsidR="00E045F1" w:rsidRPr="00F32187" w14:paraId="07D8CA95" w14:textId="77777777" w:rsidTr="0073566D">
        <w:trPr>
          <w:tblHeader/>
        </w:trPr>
        <w:tc>
          <w:tcPr>
            <w:tcW w:w="9345" w:type="dxa"/>
            <w:shd w:val="clear" w:color="auto" w:fill="DAEEF3" w:themeFill="accent5" w:themeFillTint="33"/>
          </w:tcPr>
          <w:p w14:paraId="3F004160" w14:textId="2E97F8C7" w:rsidR="00E045F1" w:rsidRPr="00F32187" w:rsidRDefault="00E045F1" w:rsidP="0073566D">
            <w:pPr>
              <w:pStyle w:val="ONUMFS"/>
              <w:numPr>
                <w:ilvl w:val="0"/>
                <w:numId w:val="0"/>
              </w:numPr>
              <w:spacing w:before="120" w:after="120"/>
              <w:rPr>
                <w:lang w:val="fr-FR"/>
              </w:rPr>
            </w:pPr>
            <w:r w:rsidRPr="00F32187">
              <w:rPr>
                <w:lang w:val="fr-FR"/>
              </w:rPr>
              <w:t>Le renforcement des capacités et des connaissances des décideurs en matière d</w:t>
            </w:r>
            <w:r w:rsidR="00535418" w:rsidRPr="00F32187">
              <w:rPr>
                <w:lang w:val="fr-FR"/>
              </w:rPr>
              <w:t>’</w:t>
            </w:r>
            <w:r w:rsidRPr="00F32187">
              <w:rPr>
                <w:lang w:val="fr-FR"/>
              </w:rPr>
              <w:t>utilisation des données de recherche mènera à des décisions politiques fondées sur des bases factuelles ayant pour effet d</w:t>
            </w:r>
            <w:r w:rsidR="00535418" w:rsidRPr="00F32187">
              <w:rPr>
                <w:lang w:val="fr-FR"/>
              </w:rPr>
              <w:t>’</w:t>
            </w:r>
            <w:r w:rsidRPr="00F32187">
              <w:rPr>
                <w:lang w:val="fr-FR"/>
              </w:rPr>
              <w:t>améliorer le développement socioéconomique des pays bénéficiaires.</w:t>
            </w:r>
          </w:p>
        </w:tc>
      </w:tr>
    </w:tbl>
    <w:p w14:paraId="552D0A94" w14:textId="6CF52DA0" w:rsidR="00535418" w:rsidRPr="00F32187" w:rsidRDefault="00E045F1" w:rsidP="00E045F1">
      <w:pPr>
        <w:pStyle w:val="ONUMFS"/>
        <w:spacing w:before="220"/>
        <w:rPr>
          <w:lang w:val="fr-FR"/>
        </w:rPr>
      </w:pPr>
      <w:r w:rsidRPr="00F32187">
        <w:rPr>
          <w:lang w:val="fr-FR"/>
        </w:rPr>
        <w:t>Le budget total des deux</w:t>
      </w:r>
      <w:r w:rsidR="00B37BEF" w:rsidRPr="00F32187">
        <w:rPr>
          <w:lang w:val="fr-FR"/>
        </w:rPr>
        <w:t> </w:t>
      </w:r>
      <w:r w:rsidRPr="00F32187">
        <w:rPr>
          <w:lang w:val="fr-FR"/>
        </w:rPr>
        <w:t>phases du projet s</w:t>
      </w:r>
      <w:r w:rsidR="00535418" w:rsidRPr="00F32187">
        <w:rPr>
          <w:lang w:val="fr-FR"/>
        </w:rPr>
        <w:t>’</w:t>
      </w:r>
      <w:r w:rsidRPr="00F32187">
        <w:rPr>
          <w:lang w:val="fr-FR"/>
        </w:rPr>
        <w:t>élevait à 2 292 700 francs suiss</w:t>
      </w:r>
      <w:r w:rsidR="00F32187" w:rsidRPr="00F32187">
        <w:rPr>
          <w:lang w:val="fr-FR"/>
        </w:rPr>
        <w:t>es.  Le</w:t>
      </w:r>
      <w:r w:rsidRPr="00F32187">
        <w:rPr>
          <w:lang w:val="fr-FR"/>
        </w:rPr>
        <w:t xml:space="preserve"> budget et le nombre de pays bénéficiaires ont augmenté de manière significative au cours de la deuxième phase du proj</w:t>
      </w:r>
      <w:r w:rsidR="00F32187" w:rsidRPr="00F32187">
        <w:rPr>
          <w:lang w:val="fr-FR"/>
        </w:rPr>
        <w:t>et.  Le</w:t>
      </w:r>
      <w:r w:rsidRPr="00F32187">
        <w:rPr>
          <w:lang w:val="fr-FR"/>
        </w:rPr>
        <w:t xml:space="preserve"> </w:t>
      </w:r>
      <w:r w:rsidRPr="00F32187">
        <w:rPr>
          <w:lang w:val="fr-FR"/>
        </w:rPr>
        <w:fldChar w:fldCharType="begin"/>
      </w:r>
      <w:r w:rsidRPr="00F32187">
        <w:rPr>
          <w:lang w:val="fr-FR"/>
        </w:rPr>
        <w:instrText xml:space="preserve"> REF _Ref137022528 \h  \* MERGEFORMAT </w:instrText>
      </w:r>
      <w:r w:rsidRPr="00F32187">
        <w:rPr>
          <w:lang w:val="fr-FR"/>
        </w:rPr>
      </w:r>
      <w:r w:rsidRPr="00F32187">
        <w:rPr>
          <w:lang w:val="fr-FR"/>
        </w:rPr>
        <w:fldChar w:fldCharType="separate"/>
      </w:r>
      <w:r w:rsidR="0094636A" w:rsidRPr="00F32187">
        <w:rPr>
          <w:lang w:val="fr-FR"/>
        </w:rPr>
        <w:t xml:space="preserve">Tableau </w:t>
      </w:r>
      <w:r w:rsidR="0094636A">
        <w:rPr>
          <w:noProof/>
          <w:lang w:val="fr-FR"/>
        </w:rPr>
        <w:t>1</w:t>
      </w:r>
      <w:r w:rsidRPr="00F32187">
        <w:rPr>
          <w:lang w:val="fr-FR"/>
        </w:rPr>
        <w:fldChar w:fldCharType="end"/>
      </w:r>
      <w:r w:rsidRPr="00F32187">
        <w:rPr>
          <w:lang w:val="fr-FR"/>
        </w:rPr>
        <w:t xml:space="preserve"> résume les objectifs, le budget, la durée et les pays bénéficiaires de chaque phase du projet</w:t>
      </w:r>
      <w:r w:rsidR="00444006">
        <w:rPr>
          <w:lang w:val="fr-FR"/>
        </w:rPr>
        <w:t>.</w:t>
      </w:r>
    </w:p>
    <w:p w14:paraId="16CD0AA5" w14:textId="2CC1BE45" w:rsidR="00E045F1" w:rsidRPr="00F32187" w:rsidRDefault="00E045F1" w:rsidP="00E045F1">
      <w:pPr>
        <w:pStyle w:val="Caption"/>
        <w:keepNext/>
        <w:keepLines/>
        <w:spacing w:after="120"/>
        <w:rPr>
          <w:lang w:val="fr-FR"/>
        </w:rPr>
      </w:pPr>
      <w:bookmarkStart w:id="23" w:name="_Ref137022528"/>
      <w:r w:rsidRPr="00F32187">
        <w:rPr>
          <w:lang w:val="fr-FR"/>
        </w:rPr>
        <w:lastRenderedPageBreak/>
        <w:t xml:space="preserve">Tableau </w:t>
      </w:r>
      <w:r w:rsidRPr="00F32187">
        <w:rPr>
          <w:lang w:val="fr-FR"/>
        </w:rPr>
        <w:fldChar w:fldCharType="begin"/>
      </w:r>
      <w:r w:rsidRPr="00F32187">
        <w:rPr>
          <w:lang w:val="fr-FR"/>
        </w:rPr>
        <w:instrText xml:space="preserve"> SEQ Table \* ARABIC </w:instrText>
      </w:r>
      <w:r w:rsidRPr="00F32187">
        <w:rPr>
          <w:lang w:val="fr-FR"/>
        </w:rPr>
        <w:fldChar w:fldCharType="separate"/>
      </w:r>
      <w:r w:rsidR="0094636A">
        <w:rPr>
          <w:noProof/>
          <w:lang w:val="fr-FR"/>
        </w:rPr>
        <w:t>1</w:t>
      </w:r>
      <w:r w:rsidRPr="00F32187">
        <w:rPr>
          <w:lang w:val="fr-FR"/>
        </w:rPr>
        <w:fldChar w:fldCharType="end"/>
      </w:r>
      <w:bookmarkEnd w:id="23"/>
      <w:r w:rsidR="00535418" w:rsidRPr="00F32187">
        <w:rPr>
          <w:lang w:val="fr-FR"/>
        </w:rPr>
        <w:t> :</w:t>
      </w:r>
      <w:r w:rsidRPr="00F32187">
        <w:rPr>
          <w:lang w:val="fr-FR"/>
        </w:rPr>
        <w:t xml:space="preserve"> Résumé des phases de mise en œuvre du projet</w:t>
      </w:r>
    </w:p>
    <w:tbl>
      <w:tblPr>
        <w:tblStyle w:val="GridTable1Light-Accent1"/>
        <w:tblW w:w="9493" w:type="dxa"/>
        <w:tblLayout w:type="fixed"/>
        <w:tblLook w:val="04A0" w:firstRow="1" w:lastRow="0" w:firstColumn="1" w:lastColumn="0" w:noHBand="0" w:noVBand="1"/>
        <w:tblCaption w:val="Tableau 1 : Résumé des phases de mise en œuvre du projet"/>
        <w:tblDescription w:val="Tableau 1 : Résumé des phases de mise en œuvre du projet"/>
      </w:tblPr>
      <w:tblGrid>
        <w:gridCol w:w="988"/>
        <w:gridCol w:w="3260"/>
        <w:gridCol w:w="1984"/>
        <w:gridCol w:w="1560"/>
        <w:gridCol w:w="1701"/>
      </w:tblGrid>
      <w:tr w:rsidR="00E045F1" w:rsidRPr="00F32187" w14:paraId="756FC580" w14:textId="77777777" w:rsidTr="005234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8" w:type="dxa"/>
          </w:tcPr>
          <w:p w14:paraId="531E2B37" w14:textId="77777777" w:rsidR="00E045F1" w:rsidRPr="00F32187" w:rsidRDefault="00E045F1" w:rsidP="0073566D">
            <w:pPr>
              <w:pStyle w:val="ONUMFS"/>
              <w:keepNext/>
              <w:keepLines/>
              <w:numPr>
                <w:ilvl w:val="0"/>
                <w:numId w:val="0"/>
              </w:numPr>
              <w:spacing w:before="120" w:after="120"/>
              <w:jc w:val="center"/>
              <w:rPr>
                <w:sz w:val="20"/>
                <w:szCs w:val="18"/>
                <w:lang w:val="fr-FR"/>
              </w:rPr>
            </w:pPr>
            <w:r w:rsidRPr="00F32187">
              <w:rPr>
                <w:sz w:val="20"/>
                <w:szCs w:val="18"/>
                <w:lang w:val="fr-FR"/>
              </w:rPr>
              <w:t>Phase</w:t>
            </w:r>
          </w:p>
        </w:tc>
        <w:tc>
          <w:tcPr>
            <w:tcW w:w="3260" w:type="dxa"/>
          </w:tcPr>
          <w:p w14:paraId="476CBD90" w14:textId="77777777" w:rsidR="00E045F1" w:rsidRPr="00F32187" w:rsidRDefault="00E045F1" w:rsidP="0073566D">
            <w:pPr>
              <w:pStyle w:val="ONUMFS"/>
              <w:keepNext/>
              <w:keepLines/>
              <w:numPr>
                <w:ilvl w:val="0"/>
                <w:numId w:val="0"/>
              </w:numPr>
              <w:spacing w:before="120" w:after="120"/>
              <w:jc w:val="center"/>
              <w:cnfStyle w:val="100000000000" w:firstRow="1" w:lastRow="0" w:firstColumn="0" w:lastColumn="0" w:oddVBand="0" w:evenVBand="0" w:oddHBand="0" w:evenHBand="0" w:firstRowFirstColumn="0" w:firstRowLastColumn="0" w:lastRowFirstColumn="0" w:lastRowLastColumn="0"/>
              <w:rPr>
                <w:sz w:val="20"/>
                <w:szCs w:val="18"/>
                <w:lang w:val="fr-FR"/>
              </w:rPr>
            </w:pPr>
            <w:r w:rsidRPr="00F32187">
              <w:rPr>
                <w:sz w:val="20"/>
                <w:szCs w:val="18"/>
                <w:lang w:val="fr-FR"/>
              </w:rPr>
              <w:t>Objectif</w:t>
            </w:r>
          </w:p>
        </w:tc>
        <w:tc>
          <w:tcPr>
            <w:tcW w:w="1984" w:type="dxa"/>
          </w:tcPr>
          <w:p w14:paraId="31B11C53" w14:textId="77777777" w:rsidR="00E045F1" w:rsidRPr="00F32187" w:rsidRDefault="00E045F1" w:rsidP="0073566D">
            <w:pPr>
              <w:pStyle w:val="ONUMFS"/>
              <w:keepNext/>
              <w:keepLines/>
              <w:numPr>
                <w:ilvl w:val="0"/>
                <w:numId w:val="0"/>
              </w:numPr>
              <w:spacing w:before="120" w:after="120"/>
              <w:jc w:val="center"/>
              <w:cnfStyle w:val="100000000000" w:firstRow="1" w:lastRow="0" w:firstColumn="0" w:lastColumn="0" w:oddVBand="0" w:evenVBand="0" w:oddHBand="0" w:evenHBand="0" w:firstRowFirstColumn="0" w:firstRowLastColumn="0" w:lastRowFirstColumn="0" w:lastRowLastColumn="0"/>
              <w:rPr>
                <w:sz w:val="20"/>
                <w:szCs w:val="18"/>
                <w:lang w:val="fr-FR"/>
              </w:rPr>
            </w:pPr>
            <w:r w:rsidRPr="00F32187">
              <w:rPr>
                <w:sz w:val="20"/>
                <w:szCs w:val="18"/>
                <w:lang w:val="fr-FR"/>
              </w:rPr>
              <w:t>Mise en œuvre</w:t>
            </w:r>
          </w:p>
        </w:tc>
        <w:tc>
          <w:tcPr>
            <w:tcW w:w="1560" w:type="dxa"/>
          </w:tcPr>
          <w:p w14:paraId="72985BEA" w14:textId="679F587B" w:rsidR="00E045F1" w:rsidRPr="00F32187" w:rsidRDefault="00E045F1" w:rsidP="0073566D">
            <w:pPr>
              <w:pStyle w:val="ONUMFS"/>
              <w:keepNext/>
              <w:keepLines/>
              <w:numPr>
                <w:ilvl w:val="0"/>
                <w:numId w:val="0"/>
              </w:numPr>
              <w:spacing w:before="120" w:after="120"/>
              <w:jc w:val="center"/>
              <w:cnfStyle w:val="100000000000" w:firstRow="1" w:lastRow="0" w:firstColumn="0" w:lastColumn="0" w:oddVBand="0" w:evenVBand="0" w:oddHBand="0" w:evenHBand="0" w:firstRowFirstColumn="0" w:firstRowLastColumn="0" w:lastRowFirstColumn="0" w:lastRowLastColumn="0"/>
              <w:rPr>
                <w:sz w:val="20"/>
                <w:szCs w:val="18"/>
                <w:lang w:val="fr-FR"/>
              </w:rPr>
            </w:pPr>
            <w:r w:rsidRPr="00F32187">
              <w:rPr>
                <w:sz w:val="20"/>
                <w:szCs w:val="18"/>
                <w:lang w:val="fr-FR"/>
              </w:rPr>
              <w:t>Budget (en</w:t>
            </w:r>
            <w:r w:rsidR="00523444">
              <w:rPr>
                <w:sz w:val="20"/>
                <w:szCs w:val="18"/>
                <w:lang w:val="fr-FR"/>
              </w:rPr>
              <w:t> </w:t>
            </w:r>
            <w:r w:rsidRPr="00F32187">
              <w:rPr>
                <w:sz w:val="20"/>
                <w:szCs w:val="18"/>
                <w:lang w:val="fr-FR"/>
              </w:rPr>
              <w:t>francs suisses)</w:t>
            </w:r>
          </w:p>
        </w:tc>
        <w:tc>
          <w:tcPr>
            <w:tcW w:w="1701" w:type="dxa"/>
          </w:tcPr>
          <w:p w14:paraId="5A0B0FF3" w14:textId="77777777" w:rsidR="00E045F1" w:rsidRPr="00F32187" w:rsidRDefault="00E045F1" w:rsidP="0073566D">
            <w:pPr>
              <w:pStyle w:val="ONUMFS"/>
              <w:keepNext/>
              <w:keepLines/>
              <w:numPr>
                <w:ilvl w:val="0"/>
                <w:numId w:val="0"/>
              </w:numPr>
              <w:spacing w:before="120" w:after="120"/>
              <w:jc w:val="center"/>
              <w:cnfStyle w:val="100000000000" w:firstRow="1" w:lastRow="0" w:firstColumn="0" w:lastColumn="0" w:oddVBand="0" w:evenVBand="0" w:oddHBand="0" w:evenHBand="0" w:firstRowFirstColumn="0" w:firstRowLastColumn="0" w:lastRowFirstColumn="0" w:lastRowLastColumn="0"/>
              <w:rPr>
                <w:sz w:val="20"/>
                <w:szCs w:val="18"/>
                <w:lang w:val="fr-FR"/>
              </w:rPr>
            </w:pPr>
            <w:r w:rsidRPr="00F32187">
              <w:rPr>
                <w:sz w:val="20"/>
                <w:szCs w:val="18"/>
                <w:lang w:val="fr-FR"/>
              </w:rPr>
              <w:t>Durée</w:t>
            </w:r>
          </w:p>
        </w:tc>
      </w:tr>
      <w:tr w:rsidR="00E045F1" w:rsidRPr="00F32187" w14:paraId="35C34C52" w14:textId="77777777" w:rsidTr="00523444">
        <w:tc>
          <w:tcPr>
            <w:cnfStyle w:val="001000000000" w:firstRow="0" w:lastRow="0" w:firstColumn="1" w:lastColumn="0" w:oddVBand="0" w:evenVBand="0" w:oddHBand="0" w:evenHBand="0" w:firstRowFirstColumn="0" w:firstRowLastColumn="0" w:lastRowFirstColumn="0" w:lastRowLastColumn="0"/>
            <w:tcW w:w="988" w:type="dxa"/>
          </w:tcPr>
          <w:p w14:paraId="5BF8B2BD" w14:textId="77777777" w:rsidR="00E045F1" w:rsidRPr="00F32187" w:rsidRDefault="00E045F1" w:rsidP="0073566D">
            <w:pPr>
              <w:pStyle w:val="ONUMFS"/>
              <w:keepNext/>
              <w:keepLines/>
              <w:numPr>
                <w:ilvl w:val="0"/>
                <w:numId w:val="0"/>
              </w:numPr>
              <w:spacing w:before="120" w:after="120"/>
              <w:jc w:val="center"/>
              <w:rPr>
                <w:sz w:val="20"/>
                <w:szCs w:val="18"/>
                <w:lang w:val="fr-FR"/>
              </w:rPr>
            </w:pPr>
            <w:r w:rsidRPr="00F32187">
              <w:rPr>
                <w:sz w:val="20"/>
                <w:szCs w:val="18"/>
                <w:lang w:val="fr-FR"/>
              </w:rPr>
              <w:t>1</w:t>
            </w:r>
          </w:p>
        </w:tc>
        <w:tc>
          <w:tcPr>
            <w:tcW w:w="3260" w:type="dxa"/>
          </w:tcPr>
          <w:p w14:paraId="6EEDE495" w14:textId="2769FA6E" w:rsidR="00E045F1" w:rsidRPr="00F32187" w:rsidRDefault="00E045F1" w:rsidP="0073566D">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sz w:val="20"/>
                <w:szCs w:val="18"/>
                <w:lang w:val="fr-FR"/>
              </w:rPr>
            </w:pPr>
            <w:r w:rsidRPr="00F32187">
              <w:rPr>
                <w:sz w:val="20"/>
                <w:szCs w:val="18"/>
                <w:lang w:val="fr-FR"/>
              </w:rPr>
              <w:t>Contribuer à combler les lacunes des décideurs dans les pays en développement au moyen d</w:t>
            </w:r>
            <w:r w:rsidR="00535418" w:rsidRPr="00F32187">
              <w:rPr>
                <w:sz w:val="20"/>
                <w:szCs w:val="18"/>
                <w:lang w:val="fr-FR"/>
              </w:rPr>
              <w:t>’</w:t>
            </w:r>
            <w:r w:rsidRPr="00F32187">
              <w:rPr>
                <w:sz w:val="20"/>
                <w:szCs w:val="18"/>
                <w:lang w:val="fr-FR"/>
              </w:rPr>
              <w:t xml:space="preserve">études économiques sur le lien entre la protection de la propriété intellectuelle et les différents aspects de la performance </w:t>
            </w:r>
            <w:proofErr w:type="gramStart"/>
            <w:r w:rsidRPr="00F32187">
              <w:rPr>
                <w:sz w:val="20"/>
                <w:szCs w:val="18"/>
                <w:lang w:val="fr-FR"/>
              </w:rPr>
              <w:t>économique;  ces</w:t>
            </w:r>
            <w:proofErr w:type="gramEnd"/>
            <w:r w:rsidRPr="00F32187">
              <w:rPr>
                <w:sz w:val="20"/>
                <w:szCs w:val="18"/>
                <w:lang w:val="fr-FR"/>
              </w:rPr>
              <w:t xml:space="preserve"> études étaient axées sur trois</w:t>
            </w:r>
            <w:r w:rsidR="00B37BEF" w:rsidRPr="00F32187">
              <w:rPr>
                <w:sz w:val="20"/>
                <w:szCs w:val="18"/>
                <w:lang w:val="fr-FR"/>
              </w:rPr>
              <w:t> </w:t>
            </w:r>
            <w:r w:rsidRPr="00F32187">
              <w:rPr>
                <w:sz w:val="20"/>
                <w:szCs w:val="18"/>
                <w:lang w:val="fr-FR"/>
              </w:rPr>
              <w:t>grands thèmes</w:t>
            </w:r>
            <w:r w:rsidR="00535418" w:rsidRPr="00F32187">
              <w:rPr>
                <w:sz w:val="20"/>
                <w:szCs w:val="18"/>
                <w:lang w:val="fr-FR"/>
              </w:rPr>
              <w:t> :</w:t>
            </w:r>
            <w:r w:rsidRPr="00F32187">
              <w:rPr>
                <w:sz w:val="20"/>
                <w:szCs w:val="18"/>
                <w:lang w:val="fr-FR"/>
              </w:rPr>
              <w:t xml:space="preserve"> l</w:t>
            </w:r>
            <w:r w:rsidR="00535418" w:rsidRPr="00F32187">
              <w:rPr>
                <w:sz w:val="20"/>
                <w:szCs w:val="18"/>
                <w:lang w:val="fr-FR"/>
              </w:rPr>
              <w:t>’</w:t>
            </w:r>
            <w:r w:rsidRPr="00F32187">
              <w:rPr>
                <w:sz w:val="20"/>
                <w:szCs w:val="18"/>
                <w:lang w:val="fr-FR"/>
              </w:rPr>
              <w:t>innovation sur le plan intérieur, la diffusion internationale et nationale du savoir et les caractéristiques institutionnelles du système de la propriété intellectuelle et ses incidences économiques.</w:t>
            </w:r>
          </w:p>
        </w:tc>
        <w:tc>
          <w:tcPr>
            <w:tcW w:w="1984" w:type="dxa"/>
          </w:tcPr>
          <w:p w14:paraId="376725DC" w14:textId="77777777" w:rsidR="00E045F1" w:rsidRPr="00F32187" w:rsidRDefault="00E045F1" w:rsidP="0073566D">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sz w:val="20"/>
                <w:szCs w:val="18"/>
                <w:lang w:val="fr-FR"/>
              </w:rPr>
            </w:pPr>
            <w:r w:rsidRPr="00F32187">
              <w:rPr>
                <w:sz w:val="20"/>
                <w:szCs w:val="18"/>
                <w:lang w:val="fr-FR"/>
              </w:rPr>
              <w:t>Brésil, Chili, Chine, Égypte, Thaïlande et Uruguay</w:t>
            </w:r>
          </w:p>
        </w:tc>
        <w:tc>
          <w:tcPr>
            <w:tcW w:w="1560" w:type="dxa"/>
          </w:tcPr>
          <w:p w14:paraId="6743A979" w14:textId="77777777" w:rsidR="00535418" w:rsidRPr="00F32187" w:rsidRDefault="00E045F1" w:rsidP="0073566D">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sz w:val="20"/>
                <w:szCs w:val="18"/>
                <w:lang w:val="fr-FR"/>
              </w:rPr>
            </w:pPr>
            <w:r w:rsidRPr="00F32187">
              <w:rPr>
                <w:sz w:val="20"/>
                <w:szCs w:val="18"/>
                <w:lang w:val="fr-FR"/>
              </w:rPr>
              <w:t>1 491 700</w:t>
            </w:r>
          </w:p>
          <w:p w14:paraId="07F711F7" w14:textId="042DAC9D" w:rsidR="00E045F1" w:rsidRPr="00F32187" w:rsidRDefault="00E045F1" w:rsidP="0073566D">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sz w:val="20"/>
                <w:szCs w:val="18"/>
                <w:lang w:val="fr-FR"/>
              </w:rPr>
            </w:pPr>
          </w:p>
        </w:tc>
        <w:tc>
          <w:tcPr>
            <w:tcW w:w="1701" w:type="dxa"/>
          </w:tcPr>
          <w:p w14:paraId="2C78EA5A" w14:textId="0F31F8E7" w:rsidR="00E045F1" w:rsidRPr="00F32187" w:rsidRDefault="00E045F1" w:rsidP="0073566D">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sz w:val="20"/>
                <w:szCs w:val="18"/>
                <w:lang w:val="fr-FR"/>
              </w:rPr>
            </w:pPr>
            <w:r w:rsidRPr="00F32187">
              <w:rPr>
                <w:sz w:val="20"/>
                <w:szCs w:val="18"/>
                <w:lang w:val="fr-FR"/>
              </w:rPr>
              <w:t xml:space="preserve">De </w:t>
            </w:r>
            <w:r w:rsidR="00535418" w:rsidRPr="00F32187">
              <w:rPr>
                <w:sz w:val="20"/>
                <w:szCs w:val="18"/>
                <w:lang w:val="fr-FR"/>
              </w:rPr>
              <w:t>juillet 20</w:t>
            </w:r>
            <w:r w:rsidRPr="00F32187">
              <w:rPr>
                <w:sz w:val="20"/>
                <w:szCs w:val="18"/>
                <w:lang w:val="fr-FR"/>
              </w:rPr>
              <w:t>12 à décembre 2013</w:t>
            </w:r>
          </w:p>
        </w:tc>
      </w:tr>
      <w:tr w:rsidR="00E045F1" w:rsidRPr="00F32187" w14:paraId="70CCA472" w14:textId="77777777" w:rsidTr="00523444">
        <w:tc>
          <w:tcPr>
            <w:cnfStyle w:val="001000000000" w:firstRow="0" w:lastRow="0" w:firstColumn="1" w:lastColumn="0" w:oddVBand="0" w:evenVBand="0" w:oddHBand="0" w:evenHBand="0" w:firstRowFirstColumn="0" w:firstRowLastColumn="0" w:lastRowFirstColumn="0" w:lastRowLastColumn="0"/>
            <w:tcW w:w="988" w:type="dxa"/>
          </w:tcPr>
          <w:p w14:paraId="2053C686" w14:textId="77777777" w:rsidR="00E045F1" w:rsidRPr="00F32187" w:rsidRDefault="00E045F1" w:rsidP="0073566D">
            <w:pPr>
              <w:pStyle w:val="ONUMFS"/>
              <w:keepNext/>
              <w:keepLines/>
              <w:numPr>
                <w:ilvl w:val="0"/>
                <w:numId w:val="0"/>
              </w:numPr>
              <w:spacing w:before="120" w:after="120"/>
              <w:jc w:val="center"/>
              <w:rPr>
                <w:sz w:val="20"/>
                <w:szCs w:val="18"/>
                <w:lang w:val="fr-FR"/>
              </w:rPr>
            </w:pPr>
            <w:r w:rsidRPr="00F32187">
              <w:rPr>
                <w:sz w:val="20"/>
                <w:szCs w:val="18"/>
                <w:lang w:val="fr-FR"/>
              </w:rPr>
              <w:t>2</w:t>
            </w:r>
          </w:p>
        </w:tc>
        <w:tc>
          <w:tcPr>
            <w:tcW w:w="3260" w:type="dxa"/>
          </w:tcPr>
          <w:p w14:paraId="48F3C943" w14:textId="18D88F41" w:rsidR="00E045F1" w:rsidRPr="00F32187" w:rsidRDefault="00E045F1" w:rsidP="0073566D">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sz w:val="20"/>
                <w:szCs w:val="18"/>
                <w:lang w:val="fr-FR"/>
              </w:rPr>
            </w:pPr>
            <w:r w:rsidRPr="00F32187">
              <w:rPr>
                <w:sz w:val="20"/>
                <w:szCs w:val="18"/>
                <w:lang w:val="fr-FR"/>
              </w:rPr>
              <w:t>Promouvoir la continuité des recherches entamées lors de la première phase du projet et étendre l</w:t>
            </w:r>
            <w:r w:rsidR="00535418" w:rsidRPr="00F32187">
              <w:rPr>
                <w:sz w:val="20"/>
                <w:szCs w:val="18"/>
                <w:lang w:val="fr-FR"/>
              </w:rPr>
              <w:t>’</w:t>
            </w:r>
            <w:r w:rsidRPr="00F32187">
              <w:rPr>
                <w:sz w:val="20"/>
                <w:szCs w:val="18"/>
                <w:lang w:val="fr-FR"/>
              </w:rPr>
              <w:t>étude à de nouveaux pays et régions, et à des sujets non traités au cours de la phase I.  Création et maintien de capacités d</w:t>
            </w:r>
            <w:r w:rsidR="00535418" w:rsidRPr="00F32187">
              <w:rPr>
                <w:sz w:val="20"/>
                <w:szCs w:val="18"/>
                <w:lang w:val="fr-FR"/>
              </w:rPr>
              <w:t>’</w:t>
            </w:r>
            <w:r w:rsidRPr="00F32187">
              <w:rPr>
                <w:sz w:val="20"/>
                <w:szCs w:val="18"/>
                <w:lang w:val="fr-FR"/>
              </w:rPr>
              <w:t>analyse dans les pays où peu d</w:t>
            </w:r>
            <w:r w:rsidR="00535418" w:rsidRPr="00F32187">
              <w:rPr>
                <w:sz w:val="20"/>
                <w:szCs w:val="18"/>
                <w:lang w:val="fr-FR"/>
              </w:rPr>
              <w:t>’</w:t>
            </w:r>
            <w:r w:rsidRPr="00F32187">
              <w:rPr>
                <w:sz w:val="20"/>
                <w:szCs w:val="18"/>
                <w:lang w:val="fr-FR"/>
              </w:rPr>
              <w:t>études économiques sur la propriété intellectuelle avaient été menées auparavant.</w:t>
            </w:r>
          </w:p>
        </w:tc>
        <w:tc>
          <w:tcPr>
            <w:tcW w:w="1984" w:type="dxa"/>
          </w:tcPr>
          <w:p w14:paraId="4B7CED3A" w14:textId="04ABDB7C" w:rsidR="00E045F1" w:rsidRPr="00F32187" w:rsidRDefault="00E045F1" w:rsidP="0073566D">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sz w:val="20"/>
                <w:szCs w:val="18"/>
                <w:lang w:val="fr-FR"/>
              </w:rPr>
            </w:pPr>
            <w:r w:rsidRPr="00F32187">
              <w:rPr>
                <w:sz w:val="20"/>
                <w:szCs w:val="18"/>
                <w:lang w:val="fr-FR"/>
              </w:rPr>
              <w:t>Colombie, Chili, Costa</w:t>
            </w:r>
            <w:r w:rsidR="00B37BEF" w:rsidRPr="00F32187">
              <w:rPr>
                <w:sz w:val="20"/>
                <w:szCs w:val="18"/>
                <w:lang w:val="fr-FR"/>
              </w:rPr>
              <w:t> </w:t>
            </w:r>
            <w:r w:rsidRPr="00F32187">
              <w:rPr>
                <w:sz w:val="20"/>
                <w:szCs w:val="18"/>
                <w:lang w:val="fr-FR"/>
              </w:rPr>
              <w:t>Rica, El</w:t>
            </w:r>
            <w:r w:rsidR="00B37BEF" w:rsidRPr="00F32187">
              <w:rPr>
                <w:sz w:val="20"/>
                <w:szCs w:val="18"/>
                <w:lang w:val="fr-FR"/>
              </w:rPr>
              <w:t> </w:t>
            </w:r>
            <w:r w:rsidRPr="00F32187">
              <w:rPr>
                <w:sz w:val="20"/>
                <w:szCs w:val="18"/>
                <w:lang w:val="fr-FR"/>
              </w:rPr>
              <w:t>Salvador, Guatemala, Honduras, Indonésie, Nicaragua, Ouganda, Panama, Philippines, Pologne, République dominicaine et Thaïlande</w:t>
            </w:r>
          </w:p>
        </w:tc>
        <w:tc>
          <w:tcPr>
            <w:tcW w:w="1560" w:type="dxa"/>
          </w:tcPr>
          <w:p w14:paraId="12A59467" w14:textId="77777777" w:rsidR="00E045F1" w:rsidRPr="00F32187" w:rsidRDefault="00E045F1" w:rsidP="0073566D">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sz w:val="20"/>
                <w:szCs w:val="18"/>
                <w:lang w:val="fr-FR"/>
              </w:rPr>
            </w:pPr>
            <w:r w:rsidRPr="00F32187">
              <w:rPr>
                <w:sz w:val="20"/>
                <w:szCs w:val="18"/>
                <w:lang w:val="fr-FR"/>
              </w:rPr>
              <w:t>801 000</w:t>
            </w:r>
          </w:p>
        </w:tc>
        <w:tc>
          <w:tcPr>
            <w:tcW w:w="1701" w:type="dxa"/>
          </w:tcPr>
          <w:p w14:paraId="753AEE15" w14:textId="2E94F094" w:rsidR="00E045F1" w:rsidRPr="00F32187" w:rsidRDefault="00E045F1" w:rsidP="0073566D">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sz w:val="20"/>
                <w:szCs w:val="18"/>
                <w:lang w:val="fr-FR"/>
              </w:rPr>
            </w:pPr>
            <w:r w:rsidRPr="00F32187">
              <w:rPr>
                <w:sz w:val="20"/>
                <w:szCs w:val="18"/>
                <w:lang w:val="fr-FR"/>
              </w:rPr>
              <w:t xml:space="preserve">De </w:t>
            </w:r>
            <w:r w:rsidR="00535418" w:rsidRPr="00F32187">
              <w:rPr>
                <w:sz w:val="20"/>
                <w:szCs w:val="18"/>
                <w:lang w:val="fr-FR"/>
              </w:rPr>
              <w:t>janvier 20</w:t>
            </w:r>
            <w:r w:rsidRPr="00F32187">
              <w:rPr>
                <w:sz w:val="20"/>
                <w:szCs w:val="18"/>
                <w:lang w:val="fr-FR"/>
              </w:rPr>
              <w:t>15 à juin 2018</w:t>
            </w:r>
          </w:p>
        </w:tc>
      </w:tr>
      <w:tr w:rsidR="00E045F1" w:rsidRPr="00F32187" w14:paraId="7366B915" w14:textId="77777777" w:rsidTr="00523444">
        <w:tc>
          <w:tcPr>
            <w:cnfStyle w:val="001000000000" w:firstRow="0" w:lastRow="0" w:firstColumn="1" w:lastColumn="0" w:oddVBand="0" w:evenVBand="0" w:oddHBand="0" w:evenHBand="0" w:firstRowFirstColumn="0" w:firstRowLastColumn="0" w:lastRowFirstColumn="0" w:lastRowLastColumn="0"/>
            <w:tcW w:w="988" w:type="dxa"/>
          </w:tcPr>
          <w:p w14:paraId="75CD9D53" w14:textId="77777777" w:rsidR="00E045F1" w:rsidRPr="00F32187" w:rsidRDefault="00E045F1" w:rsidP="0073566D">
            <w:pPr>
              <w:pStyle w:val="ONUMFS"/>
              <w:keepNext/>
              <w:keepLines/>
              <w:numPr>
                <w:ilvl w:val="0"/>
                <w:numId w:val="0"/>
              </w:numPr>
              <w:spacing w:before="120" w:after="120"/>
              <w:jc w:val="center"/>
              <w:rPr>
                <w:sz w:val="20"/>
                <w:szCs w:val="18"/>
                <w:lang w:val="fr-FR"/>
              </w:rPr>
            </w:pPr>
            <w:r w:rsidRPr="00F32187">
              <w:rPr>
                <w:sz w:val="20"/>
                <w:szCs w:val="18"/>
                <w:lang w:val="fr-FR"/>
              </w:rPr>
              <w:t>Total</w:t>
            </w:r>
          </w:p>
        </w:tc>
        <w:tc>
          <w:tcPr>
            <w:tcW w:w="3260" w:type="dxa"/>
          </w:tcPr>
          <w:p w14:paraId="6C19795A" w14:textId="77777777" w:rsidR="00E045F1" w:rsidRPr="00F32187" w:rsidRDefault="00E045F1" w:rsidP="0073566D">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sz w:val="20"/>
                <w:szCs w:val="18"/>
                <w:lang w:val="fr-FR"/>
              </w:rPr>
            </w:pPr>
          </w:p>
        </w:tc>
        <w:tc>
          <w:tcPr>
            <w:tcW w:w="1984" w:type="dxa"/>
          </w:tcPr>
          <w:p w14:paraId="285169CF" w14:textId="77777777" w:rsidR="00E045F1" w:rsidRPr="00F32187" w:rsidRDefault="00E045F1" w:rsidP="0073566D">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b/>
                <w:bCs/>
                <w:sz w:val="20"/>
                <w:szCs w:val="18"/>
                <w:lang w:val="fr-FR"/>
              </w:rPr>
            </w:pPr>
            <w:r w:rsidRPr="00F32187">
              <w:rPr>
                <w:b/>
                <w:bCs/>
                <w:sz w:val="20"/>
                <w:szCs w:val="18"/>
                <w:lang w:val="fr-FR"/>
              </w:rPr>
              <w:t>20 pays</w:t>
            </w:r>
          </w:p>
        </w:tc>
        <w:tc>
          <w:tcPr>
            <w:tcW w:w="1560" w:type="dxa"/>
          </w:tcPr>
          <w:p w14:paraId="5654E445" w14:textId="77777777" w:rsidR="00E045F1" w:rsidRPr="00F32187" w:rsidRDefault="00E045F1" w:rsidP="0073566D">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b/>
                <w:bCs/>
                <w:sz w:val="20"/>
                <w:szCs w:val="18"/>
                <w:lang w:val="fr-FR"/>
              </w:rPr>
            </w:pPr>
            <w:r w:rsidRPr="00F32187">
              <w:rPr>
                <w:b/>
                <w:bCs/>
                <w:sz w:val="20"/>
                <w:szCs w:val="18"/>
                <w:lang w:val="fr-FR"/>
              </w:rPr>
              <w:t>2 292 700</w:t>
            </w:r>
          </w:p>
        </w:tc>
        <w:tc>
          <w:tcPr>
            <w:tcW w:w="1701" w:type="dxa"/>
          </w:tcPr>
          <w:p w14:paraId="11C5FC24" w14:textId="77777777" w:rsidR="00E045F1" w:rsidRPr="00F32187" w:rsidRDefault="00E045F1" w:rsidP="0073566D">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b/>
                <w:bCs/>
                <w:sz w:val="20"/>
                <w:szCs w:val="18"/>
                <w:lang w:val="fr-FR"/>
              </w:rPr>
            </w:pPr>
            <w:r w:rsidRPr="00F32187">
              <w:rPr>
                <w:b/>
                <w:bCs/>
                <w:sz w:val="20"/>
                <w:szCs w:val="18"/>
                <w:lang w:val="fr-FR"/>
              </w:rPr>
              <w:t>6 ans</w:t>
            </w:r>
          </w:p>
        </w:tc>
      </w:tr>
    </w:tbl>
    <w:p w14:paraId="46D749D3" w14:textId="468441F7" w:rsidR="00E045F1" w:rsidRPr="00523444" w:rsidRDefault="00523444" w:rsidP="00521E1F">
      <w:pPr>
        <w:pStyle w:val="Heading2"/>
        <w:ind w:left="1134" w:hanging="567"/>
      </w:pPr>
      <w:bookmarkStart w:id="24" w:name="_Toc140224972"/>
      <w:bookmarkStart w:id="25" w:name="_Toc145933439"/>
      <w:bookmarkStart w:id="26" w:name="_Toc146025099"/>
      <w:r>
        <w:t>O</w:t>
      </w:r>
      <w:r w:rsidRPr="00523444">
        <w:t>bjet, méthodologie et limites de l’évaluation</w:t>
      </w:r>
      <w:bookmarkEnd w:id="24"/>
      <w:bookmarkEnd w:id="25"/>
      <w:bookmarkEnd w:id="26"/>
    </w:p>
    <w:p w14:paraId="4C37EC68" w14:textId="500FE130" w:rsidR="00E045F1" w:rsidRPr="00F32187" w:rsidRDefault="00E045F1" w:rsidP="00E045F1">
      <w:pPr>
        <w:pStyle w:val="ONUMFS"/>
        <w:rPr>
          <w:lang w:val="fr-FR"/>
        </w:rPr>
      </w:pPr>
      <w:r w:rsidRPr="00F32187">
        <w:rPr>
          <w:lang w:val="fr-FR"/>
        </w:rPr>
        <w:t>L</w:t>
      </w:r>
      <w:r w:rsidR="00535418" w:rsidRPr="00F32187">
        <w:rPr>
          <w:lang w:val="fr-FR"/>
        </w:rPr>
        <w:t>’</w:t>
      </w:r>
      <w:r w:rsidRPr="00F32187">
        <w:rPr>
          <w:lang w:val="fr-FR"/>
        </w:rPr>
        <w:t>objet de la présente évaluation d</w:t>
      </w:r>
      <w:r w:rsidR="00535418" w:rsidRPr="00F32187">
        <w:rPr>
          <w:lang w:val="fr-FR"/>
        </w:rPr>
        <w:t>’</w:t>
      </w:r>
      <w:r w:rsidRPr="00F32187">
        <w:rPr>
          <w:lang w:val="fr-FR"/>
        </w:rPr>
        <w:t>impact est le projet, composé de deux</w:t>
      </w:r>
      <w:r w:rsidR="00B37BEF" w:rsidRPr="00F32187">
        <w:rPr>
          <w:lang w:val="fr-FR"/>
        </w:rPr>
        <w:t> </w:t>
      </w:r>
      <w:r w:rsidRPr="00F32187">
        <w:rPr>
          <w:lang w:val="fr-FR"/>
        </w:rPr>
        <w:t>phases de mise en œuvre complémentaires réalisées entre 2012 et 2018, en tenant compte de la date effective d</w:t>
      </w:r>
      <w:r w:rsidR="00535418" w:rsidRPr="00F32187">
        <w:rPr>
          <w:lang w:val="fr-FR"/>
        </w:rPr>
        <w:t>’</w:t>
      </w:r>
      <w:r w:rsidRPr="00F32187">
        <w:rPr>
          <w:lang w:val="fr-FR"/>
        </w:rPr>
        <w:t>achèvement du projet et du contexte de chaque pays bénéficiaire.</w:t>
      </w:r>
    </w:p>
    <w:p w14:paraId="187539EF" w14:textId="0BCD190A" w:rsidR="00E045F1" w:rsidRPr="00F32187" w:rsidRDefault="00E045F1" w:rsidP="00E045F1">
      <w:pPr>
        <w:pStyle w:val="ONUMFS"/>
        <w:rPr>
          <w:lang w:val="fr-FR"/>
        </w:rPr>
      </w:pPr>
      <w:r w:rsidRPr="00F32187">
        <w:rPr>
          <w:lang w:val="fr-FR"/>
        </w:rPr>
        <w:t>Quatre axes d</w:t>
      </w:r>
      <w:r w:rsidR="00535418" w:rsidRPr="00F32187">
        <w:rPr>
          <w:lang w:val="fr-FR"/>
        </w:rPr>
        <w:t>’</w:t>
      </w:r>
      <w:r w:rsidRPr="00F32187">
        <w:rPr>
          <w:lang w:val="fr-FR"/>
        </w:rPr>
        <w:t>évaluation sont recensés dans le mand</w:t>
      </w:r>
      <w:r w:rsidR="00F32187" w:rsidRPr="00F32187">
        <w:rPr>
          <w:lang w:val="fr-FR"/>
        </w:rPr>
        <w:t>at.  Ap</w:t>
      </w:r>
      <w:r w:rsidRPr="00F32187">
        <w:rPr>
          <w:lang w:val="fr-FR"/>
        </w:rPr>
        <w:t>rès consultation avec le responsable de l</w:t>
      </w:r>
      <w:r w:rsidR="00535418" w:rsidRPr="00F32187">
        <w:rPr>
          <w:lang w:val="fr-FR"/>
        </w:rPr>
        <w:t>’</w:t>
      </w:r>
      <w:r w:rsidRPr="00F32187">
        <w:rPr>
          <w:lang w:val="fr-FR"/>
        </w:rPr>
        <w:t>évaluation et conformément à la politique de l</w:t>
      </w:r>
      <w:r w:rsidR="00535418" w:rsidRPr="00F32187">
        <w:rPr>
          <w:lang w:val="fr-FR"/>
        </w:rPr>
        <w:t>’</w:t>
      </w:r>
      <w:r w:rsidRPr="00F32187">
        <w:rPr>
          <w:lang w:val="fr-FR"/>
        </w:rPr>
        <w:t>OMPI en matière d</w:t>
      </w:r>
      <w:r w:rsidR="00535418" w:rsidRPr="00F32187">
        <w:rPr>
          <w:lang w:val="fr-FR"/>
        </w:rPr>
        <w:t>’</w:t>
      </w:r>
      <w:r w:rsidRPr="00F32187">
        <w:rPr>
          <w:lang w:val="fr-FR"/>
        </w:rPr>
        <w:t>évaluation, l</w:t>
      </w:r>
      <w:r w:rsidR="00535418" w:rsidRPr="00F32187">
        <w:rPr>
          <w:lang w:val="fr-FR"/>
        </w:rPr>
        <w:t>’</w:t>
      </w:r>
      <w:r w:rsidRPr="00F32187">
        <w:rPr>
          <w:lang w:val="fr-FR"/>
        </w:rPr>
        <w:t>évaluateur a traduit les axes d</w:t>
      </w:r>
      <w:r w:rsidR="00535418" w:rsidRPr="00F32187">
        <w:rPr>
          <w:lang w:val="fr-FR"/>
        </w:rPr>
        <w:t>’</w:t>
      </w:r>
      <w:r w:rsidRPr="00F32187">
        <w:rPr>
          <w:lang w:val="fr-FR"/>
        </w:rPr>
        <w:t>évaluation en six</w:t>
      </w:r>
      <w:r w:rsidR="00B37BEF" w:rsidRPr="00F32187">
        <w:rPr>
          <w:lang w:val="fr-FR"/>
        </w:rPr>
        <w:t> </w:t>
      </w:r>
      <w:r w:rsidRPr="00F32187">
        <w:rPr>
          <w:lang w:val="fr-FR"/>
        </w:rPr>
        <w:t>questions d</w:t>
      </w:r>
      <w:r w:rsidR="00535418" w:rsidRPr="00F32187">
        <w:rPr>
          <w:lang w:val="fr-FR"/>
        </w:rPr>
        <w:t>’</w:t>
      </w:r>
      <w:r w:rsidRPr="00F32187">
        <w:rPr>
          <w:lang w:val="fr-FR"/>
        </w:rPr>
        <w:t>évaluation correspondant aux critères d</w:t>
      </w:r>
      <w:r w:rsidR="00535418" w:rsidRPr="00F32187">
        <w:rPr>
          <w:lang w:val="fr-FR"/>
        </w:rPr>
        <w:t>’</w:t>
      </w:r>
      <w:r w:rsidRPr="00F32187">
        <w:rPr>
          <w:lang w:val="fr-FR"/>
        </w:rPr>
        <w:t>évaluation du Comité d</w:t>
      </w:r>
      <w:r w:rsidR="00535418" w:rsidRPr="00F32187">
        <w:rPr>
          <w:lang w:val="fr-FR"/>
        </w:rPr>
        <w:t>’</w:t>
      </w:r>
      <w:r w:rsidRPr="00F32187">
        <w:rPr>
          <w:lang w:val="fr-FR"/>
        </w:rPr>
        <w:t>aide au développement de l</w:t>
      </w:r>
      <w:r w:rsidR="00535418" w:rsidRPr="00F32187">
        <w:rPr>
          <w:lang w:val="fr-FR"/>
        </w:rPr>
        <w:t>’</w:t>
      </w:r>
      <w:r w:rsidRPr="00F32187">
        <w:rPr>
          <w:lang w:val="fr-FR"/>
        </w:rPr>
        <w:t>Organisation de coopération et de développement économiques (OCDE), pour la plupart liées à l</w:t>
      </w:r>
      <w:r w:rsidR="00535418" w:rsidRPr="00F32187">
        <w:rPr>
          <w:lang w:val="fr-FR"/>
        </w:rPr>
        <w:t>’</w:t>
      </w:r>
      <w:r w:rsidRPr="00F32187">
        <w:rPr>
          <w:lang w:val="fr-FR"/>
        </w:rPr>
        <w:t>impact, tel qu</w:t>
      </w:r>
      <w:r w:rsidR="00535418" w:rsidRPr="00F32187">
        <w:rPr>
          <w:lang w:val="fr-FR"/>
        </w:rPr>
        <w:t>’</w:t>
      </w:r>
      <w:r w:rsidRPr="00F32187">
        <w:rPr>
          <w:lang w:val="fr-FR"/>
        </w:rPr>
        <w:t xml:space="preserve">illustré dans le </w:t>
      </w:r>
      <w:r w:rsidRPr="00F32187">
        <w:rPr>
          <w:lang w:val="fr-FR"/>
        </w:rPr>
        <w:fldChar w:fldCharType="begin"/>
      </w:r>
      <w:r w:rsidRPr="00F32187">
        <w:rPr>
          <w:lang w:val="fr-FR"/>
        </w:rPr>
        <w:instrText xml:space="preserve"> REF _Ref137113259 \h  \* MERGEFORMAT </w:instrText>
      </w:r>
      <w:r w:rsidRPr="00F32187">
        <w:rPr>
          <w:lang w:val="fr-FR"/>
        </w:rPr>
      </w:r>
      <w:r w:rsidRPr="00F32187">
        <w:rPr>
          <w:lang w:val="fr-FR"/>
        </w:rPr>
        <w:fldChar w:fldCharType="separate"/>
      </w:r>
      <w:r w:rsidR="0094636A" w:rsidRPr="0094636A">
        <w:rPr>
          <w:lang w:val="fr-FR"/>
        </w:rPr>
        <w:t>Tableau</w:t>
      </w:r>
      <w:r w:rsidR="0094636A" w:rsidRPr="00F32187">
        <w:rPr>
          <w:b/>
          <w:bCs/>
          <w:sz w:val="18"/>
          <w:szCs w:val="18"/>
          <w:lang w:val="fr-FR"/>
        </w:rPr>
        <w:t xml:space="preserve"> </w:t>
      </w:r>
      <w:r w:rsidR="0094636A">
        <w:rPr>
          <w:b/>
          <w:bCs/>
          <w:noProof/>
          <w:sz w:val="18"/>
          <w:szCs w:val="18"/>
          <w:lang w:val="fr-FR"/>
        </w:rPr>
        <w:t>2</w:t>
      </w:r>
      <w:r w:rsidRPr="00F32187">
        <w:rPr>
          <w:lang w:val="fr-FR"/>
        </w:rPr>
        <w:fldChar w:fldCharType="end"/>
      </w:r>
      <w:r w:rsidRPr="00F32187">
        <w:rPr>
          <w:lang w:val="fr-FR"/>
        </w:rPr>
        <w:t>.</w:t>
      </w:r>
    </w:p>
    <w:p w14:paraId="643C4BBB" w14:textId="21E08B8F" w:rsidR="00E045F1" w:rsidRPr="00F32187" w:rsidRDefault="00E045F1" w:rsidP="00E045F1">
      <w:pPr>
        <w:pStyle w:val="ONUMFS"/>
        <w:keepNext/>
        <w:keepLines/>
        <w:numPr>
          <w:ilvl w:val="0"/>
          <w:numId w:val="0"/>
        </w:numPr>
        <w:spacing w:after="120"/>
        <w:rPr>
          <w:b/>
          <w:sz w:val="18"/>
          <w:szCs w:val="18"/>
          <w:lang w:val="fr-FR"/>
        </w:rPr>
      </w:pPr>
      <w:bookmarkStart w:id="27" w:name="_Ref137113259"/>
      <w:r w:rsidRPr="00F32187">
        <w:rPr>
          <w:b/>
          <w:bCs/>
          <w:sz w:val="18"/>
          <w:szCs w:val="18"/>
          <w:lang w:val="fr-FR"/>
        </w:rPr>
        <w:lastRenderedPageBreak/>
        <w:t xml:space="preserve">Tableau </w:t>
      </w:r>
      <w:r w:rsidRPr="00F32187">
        <w:rPr>
          <w:b/>
          <w:bCs/>
          <w:sz w:val="18"/>
          <w:szCs w:val="18"/>
          <w:lang w:val="fr-FR"/>
        </w:rPr>
        <w:fldChar w:fldCharType="begin"/>
      </w:r>
      <w:r w:rsidRPr="00F32187">
        <w:rPr>
          <w:b/>
          <w:bCs/>
          <w:sz w:val="18"/>
          <w:szCs w:val="18"/>
          <w:lang w:val="fr-FR"/>
        </w:rPr>
        <w:instrText xml:space="preserve"> SEQ Table \* ARABIC </w:instrText>
      </w:r>
      <w:r w:rsidRPr="00F32187">
        <w:rPr>
          <w:b/>
          <w:bCs/>
          <w:sz w:val="18"/>
          <w:szCs w:val="18"/>
          <w:lang w:val="fr-FR"/>
        </w:rPr>
        <w:fldChar w:fldCharType="separate"/>
      </w:r>
      <w:r w:rsidR="0094636A">
        <w:rPr>
          <w:b/>
          <w:bCs/>
          <w:noProof/>
          <w:sz w:val="18"/>
          <w:szCs w:val="18"/>
          <w:lang w:val="fr-FR"/>
        </w:rPr>
        <w:t>2</w:t>
      </w:r>
      <w:r w:rsidRPr="00F32187">
        <w:rPr>
          <w:b/>
          <w:bCs/>
          <w:sz w:val="18"/>
          <w:szCs w:val="18"/>
          <w:lang w:val="fr-FR"/>
        </w:rPr>
        <w:fldChar w:fldCharType="end"/>
      </w:r>
      <w:bookmarkEnd w:id="27"/>
      <w:r w:rsidR="00535418" w:rsidRPr="00F32187">
        <w:rPr>
          <w:b/>
          <w:bCs/>
          <w:sz w:val="18"/>
          <w:szCs w:val="18"/>
          <w:lang w:val="fr-FR"/>
        </w:rPr>
        <w:t> :</w:t>
      </w:r>
      <w:r w:rsidRPr="00F32187">
        <w:rPr>
          <w:b/>
          <w:bCs/>
          <w:sz w:val="18"/>
          <w:szCs w:val="18"/>
          <w:lang w:val="fr-FR"/>
        </w:rPr>
        <w:t xml:space="preserve"> Questions et critères d</w:t>
      </w:r>
      <w:r w:rsidR="00535418" w:rsidRPr="00F32187">
        <w:rPr>
          <w:b/>
          <w:bCs/>
          <w:sz w:val="18"/>
          <w:szCs w:val="18"/>
          <w:lang w:val="fr-FR"/>
        </w:rPr>
        <w:t>’</w:t>
      </w:r>
      <w:r w:rsidRPr="00F32187">
        <w:rPr>
          <w:b/>
          <w:bCs/>
          <w:sz w:val="18"/>
          <w:szCs w:val="18"/>
          <w:lang w:val="fr-FR"/>
        </w:rPr>
        <w:t>évaluation</w:t>
      </w:r>
    </w:p>
    <w:tbl>
      <w:tblPr>
        <w:tblStyle w:val="GridTable1Light-Accent1"/>
        <w:tblW w:w="9350" w:type="dxa"/>
        <w:tblLook w:val="04A0" w:firstRow="1" w:lastRow="0" w:firstColumn="1" w:lastColumn="0" w:noHBand="0" w:noVBand="1"/>
        <w:tblCaption w:val="Tableau 2 : Questions et critères d’évaluation"/>
        <w:tblDescription w:val="Tableau 2 : Questions et critères d’évaluation"/>
      </w:tblPr>
      <w:tblGrid>
        <w:gridCol w:w="593"/>
        <w:gridCol w:w="6915"/>
        <w:gridCol w:w="1842"/>
      </w:tblGrid>
      <w:tr w:rsidR="00E045F1" w:rsidRPr="00F32187" w14:paraId="173EE635" w14:textId="77777777" w:rsidTr="0073566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93" w:type="dxa"/>
          </w:tcPr>
          <w:p w14:paraId="783230D4" w14:textId="77777777" w:rsidR="00E045F1" w:rsidRPr="00F32187" w:rsidRDefault="00E045F1" w:rsidP="0073566D">
            <w:pPr>
              <w:pStyle w:val="ONUMFS"/>
              <w:keepNext/>
              <w:keepLines/>
              <w:numPr>
                <w:ilvl w:val="0"/>
                <w:numId w:val="0"/>
              </w:numPr>
              <w:jc w:val="center"/>
              <w:rPr>
                <w:sz w:val="20"/>
                <w:szCs w:val="18"/>
                <w:lang w:val="fr-FR"/>
              </w:rPr>
            </w:pPr>
            <w:r w:rsidRPr="00F32187">
              <w:rPr>
                <w:sz w:val="20"/>
                <w:szCs w:val="18"/>
                <w:lang w:val="fr-FR"/>
              </w:rPr>
              <w:t xml:space="preserve">QE </w:t>
            </w:r>
          </w:p>
        </w:tc>
        <w:tc>
          <w:tcPr>
            <w:tcW w:w="6915" w:type="dxa"/>
          </w:tcPr>
          <w:p w14:paraId="3888246F" w14:textId="6450A86A" w:rsidR="00E045F1" w:rsidRPr="00F32187" w:rsidRDefault="00E045F1" w:rsidP="0073566D">
            <w:pPr>
              <w:pStyle w:val="ONUMFS"/>
              <w:keepNext/>
              <w:keepLines/>
              <w:numPr>
                <w:ilvl w:val="0"/>
                <w:numId w:val="0"/>
              </w:numPr>
              <w:jc w:val="center"/>
              <w:cnfStyle w:val="100000000000" w:firstRow="1" w:lastRow="0" w:firstColumn="0" w:lastColumn="0" w:oddVBand="0" w:evenVBand="0" w:oddHBand="0" w:evenHBand="0" w:firstRowFirstColumn="0" w:firstRowLastColumn="0" w:lastRowFirstColumn="0" w:lastRowLastColumn="0"/>
              <w:rPr>
                <w:sz w:val="20"/>
                <w:szCs w:val="18"/>
                <w:lang w:val="fr-FR"/>
              </w:rPr>
            </w:pPr>
            <w:r w:rsidRPr="00F32187">
              <w:rPr>
                <w:sz w:val="20"/>
                <w:szCs w:val="18"/>
                <w:lang w:val="fr-FR"/>
              </w:rPr>
              <w:t>Axes d</w:t>
            </w:r>
            <w:r w:rsidR="00535418" w:rsidRPr="00F32187">
              <w:rPr>
                <w:sz w:val="20"/>
                <w:szCs w:val="18"/>
                <w:lang w:val="fr-FR"/>
              </w:rPr>
              <w:t>’</w:t>
            </w:r>
            <w:r w:rsidRPr="00F32187">
              <w:rPr>
                <w:sz w:val="20"/>
                <w:szCs w:val="18"/>
                <w:lang w:val="fr-FR"/>
              </w:rPr>
              <w:t>enquête</w:t>
            </w:r>
          </w:p>
        </w:tc>
        <w:tc>
          <w:tcPr>
            <w:tcW w:w="1842" w:type="dxa"/>
          </w:tcPr>
          <w:p w14:paraId="59EA940F" w14:textId="77777777" w:rsidR="00E045F1" w:rsidRPr="00F32187" w:rsidRDefault="00E045F1" w:rsidP="0073566D">
            <w:pPr>
              <w:pStyle w:val="ONUMFS"/>
              <w:keepNext/>
              <w:keepLines/>
              <w:numPr>
                <w:ilvl w:val="0"/>
                <w:numId w:val="0"/>
              </w:numPr>
              <w:jc w:val="center"/>
              <w:cnfStyle w:val="100000000000" w:firstRow="1" w:lastRow="0" w:firstColumn="0" w:lastColumn="0" w:oddVBand="0" w:evenVBand="0" w:oddHBand="0" w:evenHBand="0" w:firstRowFirstColumn="0" w:firstRowLastColumn="0" w:lastRowFirstColumn="0" w:lastRowLastColumn="0"/>
              <w:rPr>
                <w:sz w:val="20"/>
                <w:szCs w:val="18"/>
                <w:lang w:val="fr-FR"/>
              </w:rPr>
            </w:pPr>
            <w:r w:rsidRPr="00F32187">
              <w:rPr>
                <w:sz w:val="20"/>
                <w:szCs w:val="18"/>
                <w:lang w:val="fr-FR"/>
              </w:rPr>
              <w:t>Critère</w:t>
            </w:r>
          </w:p>
        </w:tc>
      </w:tr>
      <w:tr w:rsidR="00E045F1" w:rsidRPr="00F32187" w14:paraId="38B3DB06" w14:textId="77777777" w:rsidTr="0073566D">
        <w:trPr>
          <w:trHeight w:val="300"/>
        </w:trPr>
        <w:tc>
          <w:tcPr>
            <w:cnfStyle w:val="001000000000" w:firstRow="0" w:lastRow="0" w:firstColumn="1" w:lastColumn="0" w:oddVBand="0" w:evenVBand="0" w:oddHBand="0" w:evenHBand="0" w:firstRowFirstColumn="0" w:firstRowLastColumn="0" w:lastRowFirstColumn="0" w:lastRowLastColumn="0"/>
            <w:tcW w:w="593" w:type="dxa"/>
          </w:tcPr>
          <w:p w14:paraId="6312422A" w14:textId="77777777" w:rsidR="00E045F1" w:rsidRPr="00F32187" w:rsidRDefault="00E045F1" w:rsidP="0073566D">
            <w:pPr>
              <w:pStyle w:val="ONUMFS"/>
              <w:keepNext/>
              <w:keepLines/>
              <w:numPr>
                <w:ilvl w:val="0"/>
                <w:numId w:val="0"/>
              </w:numPr>
              <w:jc w:val="center"/>
              <w:rPr>
                <w:sz w:val="20"/>
                <w:szCs w:val="18"/>
                <w:lang w:val="fr-FR"/>
              </w:rPr>
            </w:pPr>
            <w:r w:rsidRPr="00F32187">
              <w:rPr>
                <w:sz w:val="20"/>
                <w:szCs w:val="18"/>
                <w:lang w:val="fr-FR"/>
              </w:rPr>
              <w:t>1</w:t>
            </w:r>
          </w:p>
        </w:tc>
        <w:tc>
          <w:tcPr>
            <w:tcW w:w="6915" w:type="dxa"/>
          </w:tcPr>
          <w:p w14:paraId="4E8126F7" w14:textId="419EA729" w:rsidR="00E045F1" w:rsidRPr="00F32187" w:rsidRDefault="00E045F1" w:rsidP="0073566D">
            <w:pPr>
              <w:pStyle w:val="ONUMFS"/>
              <w:keepNext/>
              <w:keepLines/>
              <w:numPr>
                <w:ilvl w:val="0"/>
                <w:numId w:val="0"/>
              </w:numPr>
              <w:cnfStyle w:val="000000000000" w:firstRow="0" w:lastRow="0" w:firstColumn="0" w:lastColumn="0" w:oddVBand="0" w:evenVBand="0" w:oddHBand="0" w:evenHBand="0" w:firstRowFirstColumn="0" w:firstRowLastColumn="0" w:lastRowFirstColumn="0" w:lastRowLastColumn="0"/>
              <w:rPr>
                <w:sz w:val="20"/>
                <w:szCs w:val="18"/>
                <w:lang w:val="fr-FR"/>
              </w:rPr>
            </w:pPr>
            <w:r w:rsidRPr="00F32187">
              <w:rPr>
                <w:sz w:val="20"/>
                <w:szCs w:val="18"/>
                <w:lang w:val="fr-FR"/>
              </w:rPr>
              <w:t>L</w:t>
            </w:r>
            <w:r w:rsidR="00535418" w:rsidRPr="00F32187">
              <w:rPr>
                <w:sz w:val="20"/>
                <w:szCs w:val="18"/>
                <w:lang w:val="fr-FR"/>
              </w:rPr>
              <w:t>’</w:t>
            </w:r>
            <w:r w:rsidRPr="00F32187">
              <w:rPr>
                <w:sz w:val="20"/>
                <w:szCs w:val="18"/>
                <w:lang w:val="fr-FR"/>
              </w:rPr>
              <w:t>approche et les résultats escomptés du projet sont</w:t>
            </w:r>
            <w:r w:rsidR="00444006">
              <w:rPr>
                <w:sz w:val="20"/>
                <w:szCs w:val="18"/>
                <w:lang w:val="fr-FR"/>
              </w:rPr>
              <w:noBreakHyphen/>
            </w:r>
            <w:r w:rsidRPr="00F32187">
              <w:rPr>
                <w:sz w:val="20"/>
                <w:szCs w:val="18"/>
                <w:lang w:val="fr-FR"/>
              </w:rPr>
              <w:t xml:space="preserve">ils toujours </w:t>
            </w:r>
            <w:proofErr w:type="gramStart"/>
            <w:r w:rsidRPr="00F32187">
              <w:rPr>
                <w:sz w:val="20"/>
                <w:szCs w:val="18"/>
                <w:lang w:val="fr-FR"/>
              </w:rPr>
              <w:t>pertinents?</w:t>
            </w:r>
            <w:proofErr w:type="gramEnd"/>
          </w:p>
        </w:tc>
        <w:tc>
          <w:tcPr>
            <w:tcW w:w="1842" w:type="dxa"/>
          </w:tcPr>
          <w:p w14:paraId="4BC0A62D" w14:textId="77777777" w:rsidR="00E045F1" w:rsidRPr="00F32187" w:rsidRDefault="00E045F1" w:rsidP="0073566D">
            <w:pPr>
              <w:pStyle w:val="ONUMFS"/>
              <w:keepNext/>
              <w:keepLines/>
              <w:numPr>
                <w:ilvl w:val="0"/>
                <w:numId w:val="0"/>
              </w:numPr>
              <w:cnfStyle w:val="000000000000" w:firstRow="0" w:lastRow="0" w:firstColumn="0" w:lastColumn="0" w:oddVBand="0" w:evenVBand="0" w:oddHBand="0" w:evenHBand="0" w:firstRowFirstColumn="0" w:firstRowLastColumn="0" w:lastRowFirstColumn="0" w:lastRowLastColumn="0"/>
              <w:rPr>
                <w:sz w:val="20"/>
                <w:szCs w:val="18"/>
                <w:lang w:val="fr-FR"/>
              </w:rPr>
            </w:pPr>
            <w:r w:rsidRPr="00F32187">
              <w:rPr>
                <w:sz w:val="20"/>
                <w:szCs w:val="18"/>
                <w:lang w:val="fr-FR"/>
              </w:rPr>
              <w:t>Pertinence</w:t>
            </w:r>
          </w:p>
        </w:tc>
      </w:tr>
      <w:tr w:rsidR="00E045F1" w:rsidRPr="00F32187" w14:paraId="4F3331E8" w14:textId="77777777" w:rsidTr="0073566D">
        <w:trPr>
          <w:trHeight w:val="300"/>
        </w:trPr>
        <w:tc>
          <w:tcPr>
            <w:cnfStyle w:val="001000000000" w:firstRow="0" w:lastRow="0" w:firstColumn="1" w:lastColumn="0" w:oddVBand="0" w:evenVBand="0" w:oddHBand="0" w:evenHBand="0" w:firstRowFirstColumn="0" w:firstRowLastColumn="0" w:lastRowFirstColumn="0" w:lastRowLastColumn="0"/>
            <w:tcW w:w="593" w:type="dxa"/>
          </w:tcPr>
          <w:p w14:paraId="66E64460" w14:textId="77777777" w:rsidR="00E045F1" w:rsidRPr="00F32187" w:rsidRDefault="00E045F1" w:rsidP="0073566D">
            <w:pPr>
              <w:pStyle w:val="ONUMFS"/>
              <w:keepNext/>
              <w:keepLines/>
              <w:numPr>
                <w:ilvl w:val="0"/>
                <w:numId w:val="0"/>
              </w:numPr>
              <w:jc w:val="center"/>
              <w:rPr>
                <w:sz w:val="20"/>
                <w:szCs w:val="18"/>
                <w:lang w:val="fr-FR"/>
              </w:rPr>
            </w:pPr>
            <w:r w:rsidRPr="00F32187">
              <w:rPr>
                <w:sz w:val="20"/>
                <w:szCs w:val="18"/>
                <w:lang w:val="fr-FR"/>
              </w:rPr>
              <w:t>2</w:t>
            </w:r>
          </w:p>
        </w:tc>
        <w:tc>
          <w:tcPr>
            <w:tcW w:w="6915" w:type="dxa"/>
          </w:tcPr>
          <w:p w14:paraId="2ADA16DB" w14:textId="02A80296" w:rsidR="00E045F1" w:rsidRPr="00F32187" w:rsidRDefault="00E045F1" w:rsidP="0073566D">
            <w:pPr>
              <w:pStyle w:val="ONUMFS"/>
              <w:keepNext/>
              <w:keepLines/>
              <w:numPr>
                <w:ilvl w:val="0"/>
                <w:numId w:val="0"/>
              </w:numPr>
              <w:cnfStyle w:val="000000000000" w:firstRow="0" w:lastRow="0" w:firstColumn="0" w:lastColumn="0" w:oddVBand="0" w:evenVBand="0" w:oddHBand="0" w:evenHBand="0" w:firstRowFirstColumn="0" w:firstRowLastColumn="0" w:lastRowFirstColumn="0" w:lastRowLastColumn="0"/>
              <w:rPr>
                <w:sz w:val="20"/>
                <w:szCs w:val="18"/>
                <w:lang w:val="fr-FR"/>
              </w:rPr>
            </w:pPr>
            <w:r w:rsidRPr="00F32187">
              <w:rPr>
                <w:sz w:val="20"/>
                <w:szCs w:val="18"/>
                <w:lang w:val="fr-FR"/>
              </w:rPr>
              <w:t>Les résultats du projet sont</w:t>
            </w:r>
            <w:r w:rsidR="00444006">
              <w:rPr>
                <w:sz w:val="20"/>
                <w:szCs w:val="18"/>
                <w:lang w:val="fr-FR"/>
              </w:rPr>
              <w:noBreakHyphen/>
            </w:r>
            <w:r w:rsidRPr="00F32187">
              <w:rPr>
                <w:sz w:val="20"/>
                <w:szCs w:val="18"/>
                <w:lang w:val="fr-FR"/>
              </w:rPr>
              <w:t xml:space="preserve">ils </w:t>
            </w:r>
            <w:proofErr w:type="gramStart"/>
            <w:r w:rsidRPr="00F32187">
              <w:rPr>
                <w:sz w:val="20"/>
                <w:szCs w:val="18"/>
                <w:lang w:val="fr-FR"/>
              </w:rPr>
              <w:t>pérennes?</w:t>
            </w:r>
            <w:proofErr w:type="gramEnd"/>
          </w:p>
        </w:tc>
        <w:tc>
          <w:tcPr>
            <w:tcW w:w="1842" w:type="dxa"/>
          </w:tcPr>
          <w:p w14:paraId="0BAB8C54" w14:textId="77777777" w:rsidR="00E045F1" w:rsidRPr="00F32187" w:rsidRDefault="00E045F1" w:rsidP="0073566D">
            <w:pPr>
              <w:pStyle w:val="ONUMFS"/>
              <w:keepNext/>
              <w:keepLines/>
              <w:numPr>
                <w:ilvl w:val="0"/>
                <w:numId w:val="0"/>
              </w:numPr>
              <w:cnfStyle w:val="000000000000" w:firstRow="0" w:lastRow="0" w:firstColumn="0" w:lastColumn="0" w:oddVBand="0" w:evenVBand="0" w:oddHBand="0" w:evenHBand="0" w:firstRowFirstColumn="0" w:firstRowLastColumn="0" w:lastRowFirstColumn="0" w:lastRowLastColumn="0"/>
              <w:rPr>
                <w:sz w:val="20"/>
                <w:szCs w:val="18"/>
                <w:lang w:val="fr-FR"/>
              </w:rPr>
            </w:pPr>
            <w:r w:rsidRPr="00F32187">
              <w:rPr>
                <w:sz w:val="20"/>
                <w:szCs w:val="18"/>
                <w:lang w:val="fr-FR"/>
              </w:rPr>
              <w:t>Pérennité</w:t>
            </w:r>
          </w:p>
        </w:tc>
      </w:tr>
      <w:tr w:rsidR="00E045F1" w:rsidRPr="00F32187" w14:paraId="0A0548BD" w14:textId="77777777" w:rsidTr="0073566D">
        <w:trPr>
          <w:trHeight w:val="300"/>
        </w:trPr>
        <w:tc>
          <w:tcPr>
            <w:cnfStyle w:val="001000000000" w:firstRow="0" w:lastRow="0" w:firstColumn="1" w:lastColumn="0" w:oddVBand="0" w:evenVBand="0" w:oddHBand="0" w:evenHBand="0" w:firstRowFirstColumn="0" w:firstRowLastColumn="0" w:lastRowFirstColumn="0" w:lastRowLastColumn="0"/>
            <w:tcW w:w="593" w:type="dxa"/>
          </w:tcPr>
          <w:p w14:paraId="7A0E5E61" w14:textId="77777777" w:rsidR="00E045F1" w:rsidRPr="00F32187" w:rsidRDefault="00E045F1" w:rsidP="0073566D">
            <w:pPr>
              <w:pStyle w:val="ONUMFS"/>
              <w:keepNext/>
              <w:keepLines/>
              <w:numPr>
                <w:ilvl w:val="0"/>
                <w:numId w:val="0"/>
              </w:numPr>
              <w:jc w:val="center"/>
              <w:rPr>
                <w:sz w:val="20"/>
                <w:szCs w:val="18"/>
                <w:lang w:val="fr-FR"/>
              </w:rPr>
            </w:pPr>
            <w:r w:rsidRPr="00F32187">
              <w:rPr>
                <w:sz w:val="20"/>
                <w:szCs w:val="18"/>
                <w:lang w:val="fr-FR"/>
              </w:rPr>
              <w:t>3</w:t>
            </w:r>
          </w:p>
        </w:tc>
        <w:tc>
          <w:tcPr>
            <w:tcW w:w="6915" w:type="dxa"/>
          </w:tcPr>
          <w:p w14:paraId="1447ABEC" w14:textId="77777777" w:rsidR="00E045F1" w:rsidRPr="00F32187" w:rsidRDefault="00E045F1" w:rsidP="0073566D">
            <w:pPr>
              <w:pStyle w:val="ONUMFS"/>
              <w:keepNext/>
              <w:keepLines/>
              <w:numPr>
                <w:ilvl w:val="0"/>
                <w:numId w:val="0"/>
              </w:numPr>
              <w:cnfStyle w:val="000000000000" w:firstRow="0" w:lastRow="0" w:firstColumn="0" w:lastColumn="0" w:oddVBand="0" w:evenVBand="0" w:oddHBand="0" w:evenHBand="0" w:firstRowFirstColumn="0" w:firstRowLastColumn="0" w:lastRowFirstColumn="0" w:lastRowLastColumn="0"/>
              <w:rPr>
                <w:sz w:val="20"/>
                <w:szCs w:val="18"/>
                <w:lang w:val="fr-FR"/>
              </w:rPr>
            </w:pPr>
            <w:r w:rsidRPr="00F32187">
              <w:rPr>
                <w:sz w:val="20"/>
                <w:szCs w:val="18"/>
                <w:lang w:val="fr-FR"/>
              </w:rPr>
              <w:t xml:space="preserve">Quelles sont les incidences intentionnelles et non intentionnelles du projet dans les pays </w:t>
            </w:r>
            <w:proofErr w:type="gramStart"/>
            <w:r w:rsidRPr="00F32187">
              <w:rPr>
                <w:sz w:val="20"/>
                <w:szCs w:val="18"/>
                <w:lang w:val="fr-FR"/>
              </w:rPr>
              <w:t>bénéficiaires?</w:t>
            </w:r>
            <w:proofErr w:type="gramEnd"/>
          </w:p>
        </w:tc>
        <w:tc>
          <w:tcPr>
            <w:tcW w:w="1842" w:type="dxa"/>
          </w:tcPr>
          <w:p w14:paraId="1C9B39CE" w14:textId="77777777" w:rsidR="00E045F1" w:rsidRPr="00F32187" w:rsidRDefault="00E045F1" w:rsidP="0073566D">
            <w:pPr>
              <w:pStyle w:val="ONUMFS"/>
              <w:keepNext/>
              <w:keepLines/>
              <w:numPr>
                <w:ilvl w:val="0"/>
                <w:numId w:val="0"/>
              </w:numPr>
              <w:cnfStyle w:val="000000000000" w:firstRow="0" w:lastRow="0" w:firstColumn="0" w:lastColumn="0" w:oddVBand="0" w:evenVBand="0" w:oddHBand="0" w:evenHBand="0" w:firstRowFirstColumn="0" w:firstRowLastColumn="0" w:lastRowFirstColumn="0" w:lastRowLastColumn="0"/>
              <w:rPr>
                <w:sz w:val="20"/>
                <w:szCs w:val="18"/>
                <w:lang w:val="fr-FR"/>
              </w:rPr>
            </w:pPr>
            <w:r w:rsidRPr="00F32187">
              <w:rPr>
                <w:sz w:val="20"/>
                <w:szCs w:val="18"/>
                <w:lang w:val="fr-FR"/>
              </w:rPr>
              <w:t>Impact</w:t>
            </w:r>
          </w:p>
        </w:tc>
      </w:tr>
      <w:tr w:rsidR="00E045F1" w:rsidRPr="00F32187" w14:paraId="7E44B305" w14:textId="77777777" w:rsidTr="0073566D">
        <w:trPr>
          <w:trHeight w:val="300"/>
        </w:trPr>
        <w:tc>
          <w:tcPr>
            <w:cnfStyle w:val="001000000000" w:firstRow="0" w:lastRow="0" w:firstColumn="1" w:lastColumn="0" w:oddVBand="0" w:evenVBand="0" w:oddHBand="0" w:evenHBand="0" w:firstRowFirstColumn="0" w:firstRowLastColumn="0" w:lastRowFirstColumn="0" w:lastRowLastColumn="0"/>
            <w:tcW w:w="593" w:type="dxa"/>
          </w:tcPr>
          <w:p w14:paraId="07C43748" w14:textId="77777777" w:rsidR="00E045F1" w:rsidRPr="00F32187" w:rsidRDefault="00E045F1" w:rsidP="0073566D">
            <w:pPr>
              <w:pStyle w:val="ONUMFS"/>
              <w:keepNext/>
              <w:keepLines/>
              <w:numPr>
                <w:ilvl w:val="0"/>
                <w:numId w:val="0"/>
              </w:numPr>
              <w:jc w:val="center"/>
              <w:rPr>
                <w:sz w:val="20"/>
                <w:szCs w:val="18"/>
                <w:lang w:val="fr-FR"/>
              </w:rPr>
            </w:pPr>
            <w:r w:rsidRPr="00F32187">
              <w:rPr>
                <w:sz w:val="20"/>
                <w:szCs w:val="18"/>
                <w:lang w:val="fr-FR"/>
              </w:rPr>
              <w:t>4</w:t>
            </w:r>
          </w:p>
        </w:tc>
        <w:tc>
          <w:tcPr>
            <w:tcW w:w="6915" w:type="dxa"/>
          </w:tcPr>
          <w:p w14:paraId="0D89769D" w14:textId="071D9070" w:rsidR="00E045F1" w:rsidRPr="00F32187" w:rsidRDefault="00E045F1" w:rsidP="0073566D">
            <w:pPr>
              <w:pStyle w:val="ONUMFS"/>
              <w:keepNext/>
              <w:keepLines/>
              <w:numPr>
                <w:ilvl w:val="0"/>
                <w:numId w:val="0"/>
              </w:numPr>
              <w:cnfStyle w:val="000000000000" w:firstRow="0" w:lastRow="0" w:firstColumn="0" w:lastColumn="0" w:oddVBand="0" w:evenVBand="0" w:oddHBand="0" w:evenHBand="0" w:firstRowFirstColumn="0" w:firstRowLastColumn="0" w:lastRowFirstColumn="0" w:lastRowLastColumn="0"/>
              <w:rPr>
                <w:sz w:val="20"/>
                <w:szCs w:val="18"/>
                <w:lang w:val="fr-FR"/>
              </w:rPr>
            </w:pPr>
            <w:r w:rsidRPr="00F32187">
              <w:rPr>
                <w:sz w:val="20"/>
                <w:szCs w:val="18"/>
                <w:lang w:val="fr-FR"/>
              </w:rPr>
              <w:t xml:space="preserve">Quelles sont les incidences intentionnelles et non intentionnelles du projet au sein de </w:t>
            </w:r>
            <w:proofErr w:type="gramStart"/>
            <w:r w:rsidRPr="00F32187">
              <w:rPr>
                <w:sz w:val="20"/>
                <w:szCs w:val="18"/>
                <w:lang w:val="fr-FR"/>
              </w:rPr>
              <w:t>l</w:t>
            </w:r>
            <w:r w:rsidR="00535418" w:rsidRPr="00F32187">
              <w:rPr>
                <w:sz w:val="20"/>
                <w:szCs w:val="18"/>
                <w:lang w:val="fr-FR"/>
              </w:rPr>
              <w:t>’</w:t>
            </w:r>
            <w:r w:rsidRPr="00F32187">
              <w:rPr>
                <w:sz w:val="20"/>
                <w:szCs w:val="18"/>
                <w:lang w:val="fr-FR"/>
              </w:rPr>
              <w:t>OMPI?</w:t>
            </w:r>
            <w:proofErr w:type="gramEnd"/>
          </w:p>
        </w:tc>
        <w:tc>
          <w:tcPr>
            <w:tcW w:w="1842" w:type="dxa"/>
          </w:tcPr>
          <w:p w14:paraId="6D981403" w14:textId="77777777" w:rsidR="00E045F1" w:rsidRPr="00F32187" w:rsidRDefault="00E045F1" w:rsidP="0073566D">
            <w:pPr>
              <w:pStyle w:val="ONUMFS"/>
              <w:keepNext/>
              <w:keepLines/>
              <w:numPr>
                <w:ilvl w:val="0"/>
                <w:numId w:val="0"/>
              </w:numPr>
              <w:cnfStyle w:val="000000000000" w:firstRow="0" w:lastRow="0" w:firstColumn="0" w:lastColumn="0" w:oddVBand="0" w:evenVBand="0" w:oddHBand="0" w:evenHBand="0" w:firstRowFirstColumn="0" w:firstRowLastColumn="0" w:lastRowFirstColumn="0" w:lastRowLastColumn="0"/>
              <w:rPr>
                <w:sz w:val="20"/>
                <w:szCs w:val="18"/>
                <w:lang w:val="fr-FR"/>
              </w:rPr>
            </w:pPr>
            <w:r w:rsidRPr="00F32187">
              <w:rPr>
                <w:sz w:val="20"/>
                <w:szCs w:val="18"/>
                <w:lang w:val="fr-FR"/>
              </w:rPr>
              <w:t>Impact</w:t>
            </w:r>
          </w:p>
        </w:tc>
      </w:tr>
      <w:tr w:rsidR="00E045F1" w:rsidRPr="00F32187" w14:paraId="6E1C3630" w14:textId="77777777" w:rsidTr="0073566D">
        <w:trPr>
          <w:trHeight w:val="300"/>
        </w:trPr>
        <w:tc>
          <w:tcPr>
            <w:cnfStyle w:val="001000000000" w:firstRow="0" w:lastRow="0" w:firstColumn="1" w:lastColumn="0" w:oddVBand="0" w:evenVBand="0" w:oddHBand="0" w:evenHBand="0" w:firstRowFirstColumn="0" w:firstRowLastColumn="0" w:lastRowFirstColumn="0" w:lastRowLastColumn="0"/>
            <w:tcW w:w="593" w:type="dxa"/>
          </w:tcPr>
          <w:p w14:paraId="2C94B171" w14:textId="77777777" w:rsidR="00E045F1" w:rsidRPr="00F32187" w:rsidRDefault="00E045F1" w:rsidP="0073566D">
            <w:pPr>
              <w:pStyle w:val="ONUMFS"/>
              <w:keepNext/>
              <w:keepLines/>
              <w:numPr>
                <w:ilvl w:val="0"/>
                <w:numId w:val="0"/>
              </w:numPr>
              <w:jc w:val="center"/>
              <w:rPr>
                <w:sz w:val="20"/>
                <w:szCs w:val="18"/>
                <w:lang w:val="fr-FR"/>
              </w:rPr>
            </w:pPr>
            <w:r w:rsidRPr="00F32187">
              <w:rPr>
                <w:sz w:val="20"/>
                <w:szCs w:val="18"/>
                <w:lang w:val="fr-FR"/>
              </w:rPr>
              <w:t>5</w:t>
            </w:r>
          </w:p>
        </w:tc>
        <w:tc>
          <w:tcPr>
            <w:tcW w:w="6915" w:type="dxa"/>
          </w:tcPr>
          <w:p w14:paraId="5F6801CF" w14:textId="31213D20" w:rsidR="00E045F1" w:rsidRPr="00F32187" w:rsidRDefault="00E045F1" w:rsidP="0073566D">
            <w:pPr>
              <w:pStyle w:val="ONUMFS"/>
              <w:keepNext/>
              <w:keepLines/>
              <w:numPr>
                <w:ilvl w:val="0"/>
                <w:numId w:val="0"/>
              </w:numPr>
              <w:cnfStyle w:val="000000000000" w:firstRow="0" w:lastRow="0" w:firstColumn="0" w:lastColumn="0" w:oddVBand="0" w:evenVBand="0" w:oddHBand="0" w:evenHBand="0" w:firstRowFirstColumn="0" w:firstRowLastColumn="0" w:lastRowFirstColumn="0" w:lastRowLastColumn="0"/>
              <w:rPr>
                <w:sz w:val="20"/>
                <w:szCs w:val="18"/>
                <w:lang w:val="fr-FR"/>
              </w:rPr>
            </w:pPr>
            <w:r w:rsidRPr="00F32187">
              <w:rPr>
                <w:sz w:val="20"/>
                <w:szCs w:val="18"/>
                <w:lang w:val="fr-FR"/>
              </w:rPr>
              <w:t>Quelles conditions ont rendu possible ou entravé l</w:t>
            </w:r>
            <w:r w:rsidR="00535418" w:rsidRPr="00F32187">
              <w:rPr>
                <w:sz w:val="20"/>
                <w:szCs w:val="18"/>
                <w:lang w:val="fr-FR"/>
              </w:rPr>
              <w:t>’</w:t>
            </w:r>
            <w:r w:rsidRPr="00F32187">
              <w:rPr>
                <w:sz w:val="20"/>
                <w:szCs w:val="18"/>
                <w:lang w:val="fr-FR"/>
              </w:rPr>
              <w:t xml:space="preserve">obtention des incidences </w:t>
            </w:r>
            <w:proofErr w:type="gramStart"/>
            <w:r w:rsidRPr="00F32187">
              <w:rPr>
                <w:sz w:val="20"/>
                <w:szCs w:val="18"/>
                <w:lang w:val="fr-FR"/>
              </w:rPr>
              <w:t>visées?</w:t>
            </w:r>
            <w:proofErr w:type="gramEnd"/>
          </w:p>
        </w:tc>
        <w:tc>
          <w:tcPr>
            <w:tcW w:w="1842" w:type="dxa"/>
          </w:tcPr>
          <w:p w14:paraId="341A4029" w14:textId="77777777" w:rsidR="00E045F1" w:rsidRPr="00F32187" w:rsidRDefault="00E045F1" w:rsidP="0073566D">
            <w:pPr>
              <w:pStyle w:val="ONUMFS"/>
              <w:keepNext/>
              <w:keepLines/>
              <w:numPr>
                <w:ilvl w:val="0"/>
                <w:numId w:val="0"/>
              </w:numPr>
              <w:cnfStyle w:val="000000000000" w:firstRow="0" w:lastRow="0" w:firstColumn="0" w:lastColumn="0" w:oddVBand="0" w:evenVBand="0" w:oddHBand="0" w:evenHBand="0" w:firstRowFirstColumn="0" w:firstRowLastColumn="0" w:lastRowFirstColumn="0" w:lastRowLastColumn="0"/>
              <w:rPr>
                <w:sz w:val="20"/>
                <w:szCs w:val="18"/>
                <w:lang w:val="fr-FR"/>
              </w:rPr>
            </w:pPr>
            <w:r w:rsidRPr="00F32187">
              <w:rPr>
                <w:sz w:val="20"/>
                <w:szCs w:val="18"/>
                <w:lang w:val="fr-FR"/>
              </w:rPr>
              <w:t>Impact</w:t>
            </w:r>
          </w:p>
        </w:tc>
      </w:tr>
      <w:tr w:rsidR="00E045F1" w:rsidRPr="00F32187" w14:paraId="4481421E" w14:textId="77777777" w:rsidTr="0073566D">
        <w:trPr>
          <w:trHeight w:val="300"/>
        </w:trPr>
        <w:tc>
          <w:tcPr>
            <w:cnfStyle w:val="001000000000" w:firstRow="0" w:lastRow="0" w:firstColumn="1" w:lastColumn="0" w:oddVBand="0" w:evenVBand="0" w:oddHBand="0" w:evenHBand="0" w:firstRowFirstColumn="0" w:firstRowLastColumn="0" w:lastRowFirstColumn="0" w:lastRowLastColumn="0"/>
            <w:tcW w:w="593" w:type="dxa"/>
          </w:tcPr>
          <w:p w14:paraId="4B57D2B6" w14:textId="77777777" w:rsidR="00E045F1" w:rsidRPr="00F32187" w:rsidRDefault="00E045F1" w:rsidP="0073566D">
            <w:pPr>
              <w:pStyle w:val="ONUMFS"/>
              <w:keepNext/>
              <w:keepLines/>
              <w:numPr>
                <w:ilvl w:val="0"/>
                <w:numId w:val="0"/>
              </w:numPr>
              <w:jc w:val="center"/>
              <w:rPr>
                <w:sz w:val="20"/>
                <w:szCs w:val="18"/>
                <w:lang w:val="fr-FR"/>
              </w:rPr>
            </w:pPr>
            <w:r w:rsidRPr="00F32187">
              <w:rPr>
                <w:sz w:val="20"/>
                <w:szCs w:val="18"/>
                <w:lang w:val="fr-FR"/>
              </w:rPr>
              <w:t>6</w:t>
            </w:r>
          </w:p>
        </w:tc>
        <w:tc>
          <w:tcPr>
            <w:tcW w:w="6915" w:type="dxa"/>
          </w:tcPr>
          <w:p w14:paraId="033B72F4" w14:textId="022800C7" w:rsidR="00E045F1" w:rsidRPr="00F32187" w:rsidRDefault="00E045F1" w:rsidP="0073566D">
            <w:pPr>
              <w:pStyle w:val="ONUMFS"/>
              <w:keepNext/>
              <w:keepLines/>
              <w:numPr>
                <w:ilvl w:val="0"/>
                <w:numId w:val="0"/>
              </w:numPr>
              <w:cnfStyle w:val="000000000000" w:firstRow="0" w:lastRow="0" w:firstColumn="0" w:lastColumn="0" w:oddVBand="0" w:evenVBand="0" w:oddHBand="0" w:evenHBand="0" w:firstRowFirstColumn="0" w:firstRowLastColumn="0" w:lastRowFirstColumn="0" w:lastRowLastColumn="0"/>
              <w:rPr>
                <w:sz w:val="20"/>
                <w:szCs w:val="18"/>
                <w:lang w:val="fr-FR"/>
              </w:rPr>
            </w:pPr>
            <w:r w:rsidRPr="00F32187">
              <w:rPr>
                <w:sz w:val="20"/>
                <w:szCs w:val="18"/>
                <w:lang w:val="fr-FR"/>
              </w:rPr>
              <w:t>Quels sont les enseignements à tirer aux fins des projets futurs au sein de l</w:t>
            </w:r>
            <w:r w:rsidR="00535418" w:rsidRPr="00F32187">
              <w:rPr>
                <w:sz w:val="20"/>
                <w:szCs w:val="18"/>
                <w:lang w:val="fr-FR"/>
              </w:rPr>
              <w:t>’</w:t>
            </w:r>
            <w:r w:rsidRPr="00F32187">
              <w:rPr>
                <w:sz w:val="20"/>
                <w:szCs w:val="18"/>
                <w:lang w:val="fr-FR"/>
              </w:rPr>
              <w:t>OMPI quant à la façon de progresser sur la voie de l</w:t>
            </w:r>
            <w:r w:rsidR="00535418" w:rsidRPr="00F32187">
              <w:rPr>
                <w:sz w:val="20"/>
                <w:szCs w:val="18"/>
                <w:lang w:val="fr-FR"/>
              </w:rPr>
              <w:t>’</w:t>
            </w:r>
            <w:r w:rsidRPr="00F32187">
              <w:rPr>
                <w:sz w:val="20"/>
                <w:szCs w:val="18"/>
                <w:lang w:val="fr-FR"/>
              </w:rPr>
              <w:t xml:space="preserve">impact </w:t>
            </w:r>
            <w:proofErr w:type="gramStart"/>
            <w:r w:rsidRPr="00F32187">
              <w:rPr>
                <w:sz w:val="20"/>
                <w:szCs w:val="18"/>
                <w:lang w:val="fr-FR"/>
              </w:rPr>
              <w:t>souhaité?</w:t>
            </w:r>
            <w:proofErr w:type="gramEnd"/>
          </w:p>
        </w:tc>
        <w:tc>
          <w:tcPr>
            <w:tcW w:w="1842" w:type="dxa"/>
          </w:tcPr>
          <w:p w14:paraId="1AB59E29" w14:textId="77777777" w:rsidR="00E045F1" w:rsidRPr="00F32187" w:rsidRDefault="00E045F1" w:rsidP="0073566D">
            <w:pPr>
              <w:pStyle w:val="ONUMFS"/>
              <w:keepNext/>
              <w:keepLines/>
              <w:numPr>
                <w:ilvl w:val="0"/>
                <w:numId w:val="0"/>
              </w:numPr>
              <w:cnfStyle w:val="000000000000" w:firstRow="0" w:lastRow="0" w:firstColumn="0" w:lastColumn="0" w:oddVBand="0" w:evenVBand="0" w:oddHBand="0" w:evenHBand="0" w:firstRowFirstColumn="0" w:firstRowLastColumn="0" w:lastRowFirstColumn="0" w:lastRowLastColumn="0"/>
              <w:rPr>
                <w:sz w:val="20"/>
                <w:szCs w:val="18"/>
                <w:lang w:val="fr-FR"/>
              </w:rPr>
            </w:pPr>
            <w:r w:rsidRPr="00F32187">
              <w:rPr>
                <w:sz w:val="20"/>
                <w:szCs w:val="18"/>
                <w:lang w:val="fr-FR"/>
              </w:rPr>
              <w:t>Impact</w:t>
            </w:r>
          </w:p>
        </w:tc>
      </w:tr>
    </w:tbl>
    <w:p w14:paraId="2DD264B9" w14:textId="76D317DF" w:rsidR="00E045F1" w:rsidRPr="00F32187" w:rsidRDefault="00E045F1" w:rsidP="00E045F1">
      <w:pPr>
        <w:pStyle w:val="ONUMFS"/>
        <w:spacing w:before="220"/>
        <w:rPr>
          <w:lang w:val="fr-FR"/>
        </w:rPr>
      </w:pPr>
      <w:r w:rsidRPr="00F32187">
        <w:rPr>
          <w:lang w:val="fr-FR"/>
        </w:rPr>
        <w:t>Globalement, l</w:t>
      </w:r>
      <w:r w:rsidR="00535418" w:rsidRPr="00F32187">
        <w:rPr>
          <w:lang w:val="fr-FR"/>
        </w:rPr>
        <w:t>’</w:t>
      </w:r>
      <w:r w:rsidRPr="00F32187">
        <w:rPr>
          <w:lang w:val="fr-FR"/>
        </w:rPr>
        <w:t>évaluation s</w:t>
      </w:r>
      <w:r w:rsidR="00535418" w:rsidRPr="00F32187">
        <w:rPr>
          <w:lang w:val="fr-FR"/>
        </w:rPr>
        <w:t>’</w:t>
      </w:r>
      <w:r w:rsidRPr="00F32187">
        <w:rPr>
          <w:lang w:val="fr-FR"/>
        </w:rPr>
        <w:t>est appuyée sur la matrice figurant dans l</w:t>
      </w:r>
      <w:r w:rsidR="00535418" w:rsidRPr="00F32187">
        <w:rPr>
          <w:lang w:val="fr-FR"/>
        </w:rPr>
        <w:t>’</w:t>
      </w:r>
      <w:r w:rsidRPr="00F32187">
        <w:rPr>
          <w:lang w:val="fr-FR"/>
        </w:rPr>
        <w:t>appendice IV.  L</w:t>
      </w:r>
      <w:r w:rsidR="00535418" w:rsidRPr="00F32187">
        <w:rPr>
          <w:lang w:val="fr-FR"/>
        </w:rPr>
        <w:t>’</w:t>
      </w:r>
      <w:r w:rsidRPr="00F32187">
        <w:rPr>
          <w:lang w:val="fr-FR"/>
        </w:rPr>
        <w:t>évaluation s</w:t>
      </w:r>
      <w:r w:rsidR="00535418" w:rsidRPr="00F32187">
        <w:rPr>
          <w:lang w:val="fr-FR"/>
        </w:rPr>
        <w:t>’</w:t>
      </w:r>
      <w:r w:rsidRPr="00F32187">
        <w:rPr>
          <w:lang w:val="fr-FR"/>
        </w:rPr>
        <w:t>est fondée sur les critères de jugement, les sources d</w:t>
      </w:r>
      <w:r w:rsidR="00535418" w:rsidRPr="00F32187">
        <w:rPr>
          <w:lang w:val="fr-FR"/>
        </w:rPr>
        <w:t>’</w:t>
      </w:r>
      <w:r w:rsidRPr="00F32187">
        <w:rPr>
          <w:lang w:val="fr-FR"/>
        </w:rPr>
        <w:t>information et les techniques d</w:t>
      </w:r>
      <w:r w:rsidR="00535418" w:rsidRPr="00F32187">
        <w:rPr>
          <w:lang w:val="fr-FR"/>
        </w:rPr>
        <w:t>’</w:t>
      </w:r>
      <w:r w:rsidRPr="00F32187">
        <w:rPr>
          <w:lang w:val="fr-FR"/>
        </w:rPr>
        <w:t>analyse décrits dans cette matrice pour parvenir aux conclusions d</w:t>
      </w:r>
      <w:r w:rsidR="00535418" w:rsidRPr="00F32187">
        <w:rPr>
          <w:lang w:val="fr-FR"/>
        </w:rPr>
        <w:t>’</w:t>
      </w:r>
      <w:r w:rsidRPr="00F32187">
        <w:rPr>
          <w:lang w:val="fr-FR"/>
        </w:rPr>
        <w:t>évaluation.</w:t>
      </w:r>
    </w:p>
    <w:p w14:paraId="7B6ECF4A" w14:textId="2FDA5E67" w:rsidR="00E045F1" w:rsidRPr="00F32187" w:rsidRDefault="00E045F1" w:rsidP="00E045F1">
      <w:pPr>
        <w:pStyle w:val="ONUMFS"/>
        <w:rPr>
          <w:lang w:val="fr-FR"/>
        </w:rPr>
      </w:pPr>
      <w:r w:rsidRPr="00F32187">
        <w:rPr>
          <w:lang w:val="fr-FR"/>
        </w:rPr>
        <w:t>L</w:t>
      </w:r>
      <w:r w:rsidR="00535418" w:rsidRPr="00F32187">
        <w:rPr>
          <w:lang w:val="fr-FR"/>
        </w:rPr>
        <w:t>’</w:t>
      </w:r>
      <w:r w:rsidRPr="00F32187">
        <w:rPr>
          <w:lang w:val="fr-FR"/>
        </w:rPr>
        <w:t>évaluation a fait appel à des sources de données et à des méthodes d</w:t>
      </w:r>
      <w:r w:rsidR="00535418" w:rsidRPr="00F32187">
        <w:rPr>
          <w:lang w:val="fr-FR"/>
        </w:rPr>
        <w:t>’</w:t>
      </w:r>
      <w:r w:rsidRPr="00F32187">
        <w:rPr>
          <w:lang w:val="fr-FR"/>
        </w:rPr>
        <w:t>analyse qualitatives et quantitatives pour obtenir les réponses aux questions d</w:t>
      </w:r>
      <w:r w:rsidR="00535418" w:rsidRPr="00F32187">
        <w:rPr>
          <w:lang w:val="fr-FR"/>
        </w:rPr>
        <w:t>’</w:t>
      </w:r>
      <w:r w:rsidRPr="00F32187">
        <w:rPr>
          <w:lang w:val="fr-FR"/>
        </w:rPr>
        <w:t>évaluati</w:t>
      </w:r>
      <w:r w:rsidR="00F32187" w:rsidRPr="00F32187">
        <w:rPr>
          <w:lang w:val="fr-FR"/>
        </w:rPr>
        <w:t>on.  Le</w:t>
      </w:r>
      <w:r w:rsidRPr="00F32187">
        <w:rPr>
          <w:lang w:val="fr-FR"/>
        </w:rPr>
        <w:t>s données ont été recueillies auprès d</w:t>
      </w:r>
      <w:r w:rsidR="00535418" w:rsidRPr="00F32187">
        <w:rPr>
          <w:lang w:val="fr-FR"/>
        </w:rPr>
        <w:t>’</w:t>
      </w:r>
      <w:r w:rsidRPr="00F32187">
        <w:rPr>
          <w:lang w:val="fr-FR"/>
        </w:rPr>
        <w:t>un éventail de sources primaires et secondaires au moyen des méthodes suivantes</w:t>
      </w:r>
      <w:r w:rsidR="00535418" w:rsidRPr="00F32187">
        <w:rPr>
          <w:lang w:val="fr-FR"/>
        </w:rPr>
        <w:t> :</w:t>
      </w:r>
      <w:r w:rsidRPr="00F32187">
        <w:rPr>
          <w:lang w:val="fr-FR"/>
        </w:rPr>
        <w:t xml:space="preserve"> analyse d</w:t>
      </w:r>
      <w:r w:rsidR="00535418" w:rsidRPr="00F32187">
        <w:rPr>
          <w:lang w:val="fr-FR"/>
        </w:rPr>
        <w:t>’</w:t>
      </w:r>
      <w:r w:rsidRPr="00F32187">
        <w:rPr>
          <w:lang w:val="fr-FR"/>
        </w:rPr>
        <w:t>études de cas, analyse structurée de documents, enquête auprès des bénéficiaires, entretiens avec des informateurs clés et groupes de réflexion</w:t>
      </w:r>
      <w:r w:rsidRPr="00F32187">
        <w:rPr>
          <w:rStyle w:val="FootnoteReference"/>
          <w:lang w:val="fr-FR"/>
        </w:rPr>
        <w:footnoteReference w:id="8"/>
      </w:r>
      <w:r w:rsidRPr="00F32187">
        <w:rPr>
          <w:lang w:val="fr-FR"/>
        </w:rPr>
        <w:t>.  La méthode de collecte des données la plus appropriée a été adoptée pour les différentes entités (</w:t>
      </w:r>
      <w:r w:rsidRPr="00F32187">
        <w:rPr>
          <w:lang w:val="fr-FR"/>
        </w:rPr>
        <w:fldChar w:fldCharType="begin"/>
      </w:r>
      <w:r w:rsidRPr="00F32187">
        <w:rPr>
          <w:lang w:val="fr-FR"/>
        </w:rPr>
        <w:instrText xml:space="preserve"> REF _Ref137040491 \h  \* MERGEFORMAT </w:instrText>
      </w:r>
      <w:r w:rsidRPr="00F32187">
        <w:rPr>
          <w:lang w:val="fr-FR"/>
        </w:rPr>
      </w:r>
      <w:r w:rsidRPr="00F32187">
        <w:rPr>
          <w:lang w:val="fr-FR"/>
        </w:rPr>
        <w:fldChar w:fldCharType="separate"/>
      </w:r>
      <w:r w:rsidR="0094636A" w:rsidRPr="00F32187">
        <w:rPr>
          <w:lang w:val="fr-FR"/>
        </w:rPr>
        <w:t xml:space="preserve">Tableau </w:t>
      </w:r>
      <w:r w:rsidR="0094636A">
        <w:rPr>
          <w:noProof/>
          <w:lang w:val="fr-FR"/>
        </w:rPr>
        <w:t>3</w:t>
      </w:r>
      <w:r w:rsidRPr="00F32187">
        <w:rPr>
          <w:lang w:val="fr-FR"/>
        </w:rPr>
        <w:fldChar w:fldCharType="end"/>
      </w:r>
      <w:r w:rsidRPr="00F32187">
        <w:rPr>
          <w:lang w:val="fr-FR"/>
        </w:rPr>
        <w:t>).  Les sources qualitatives et quantitatives ont été sélectionnées minutieusement en fonction de leurs atouts et ont été utilisées pour recouper les constatations et atténuer les biais possibles.</w:t>
      </w:r>
    </w:p>
    <w:p w14:paraId="65135207" w14:textId="61CD86AF" w:rsidR="00E045F1" w:rsidRPr="00F32187" w:rsidRDefault="00E045F1" w:rsidP="00E045F1">
      <w:pPr>
        <w:pStyle w:val="Caption"/>
        <w:spacing w:after="120"/>
        <w:rPr>
          <w:lang w:val="fr-FR"/>
        </w:rPr>
      </w:pPr>
      <w:bookmarkStart w:id="28" w:name="_Ref137040491"/>
      <w:r w:rsidRPr="00F32187">
        <w:rPr>
          <w:lang w:val="fr-FR"/>
        </w:rPr>
        <w:t xml:space="preserve">Tableau </w:t>
      </w:r>
      <w:r w:rsidRPr="00F32187">
        <w:rPr>
          <w:lang w:val="fr-FR"/>
        </w:rPr>
        <w:fldChar w:fldCharType="begin"/>
      </w:r>
      <w:r w:rsidRPr="00F32187">
        <w:rPr>
          <w:lang w:val="fr-FR"/>
        </w:rPr>
        <w:instrText xml:space="preserve"> SEQ Table \* ARABIC </w:instrText>
      </w:r>
      <w:r w:rsidRPr="00F32187">
        <w:rPr>
          <w:lang w:val="fr-FR"/>
        </w:rPr>
        <w:fldChar w:fldCharType="separate"/>
      </w:r>
      <w:r w:rsidR="0094636A">
        <w:rPr>
          <w:noProof/>
          <w:lang w:val="fr-FR"/>
        </w:rPr>
        <w:t>3</w:t>
      </w:r>
      <w:r w:rsidRPr="00F32187">
        <w:rPr>
          <w:lang w:val="fr-FR"/>
        </w:rPr>
        <w:fldChar w:fldCharType="end"/>
      </w:r>
      <w:bookmarkEnd w:id="28"/>
      <w:r w:rsidR="00535418" w:rsidRPr="00F32187">
        <w:rPr>
          <w:lang w:val="fr-FR"/>
        </w:rPr>
        <w:t> :</w:t>
      </w:r>
      <w:r w:rsidRPr="00F32187">
        <w:rPr>
          <w:lang w:val="fr-FR"/>
        </w:rPr>
        <w:t xml:space="preserve"> Résumé de la collecte des données auprès des parties prenantes</w:t>
      </w:r>
    </w:p>
    <w:tbl>
      <w:tblPr>
        <w:tblStyle w:val="GridTable1Light-Accent1"/>
        <w:tblW w:w="9237" w:type="dxa"/>
        <w:tblLook w:val="04A0" w:firstRow="1" w:lastRow="0" w:firstColumn="1" w:lastColumn="0" w:noHBand="0" w:noVBand="1"/>
        <w:tblCaption w:val="Tableau 3 : Résumé de la collecte des données auprès des parties prenantes"/>
        <w:tblDescription w:val="Tableau 3 : Résumé de la collecte des données auprès des parties prenantes"/>
      </w:tblPr>
      <w:tblGrid>
        <w:gridCol w:w="4309"/>
        <w:gridCol w:w="1923"/>
        <w:gridCol w:w="1418"/>
        <w:gridCol w:w="1587"/>
      </w:tblGrid>
      <w:tr w:rsidR="00E045F1" w:rsidRPr="00F32187" w14:paraId="0C8C3ED4" w14:textId="77777777" w:rsidTr="00A26E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09" w:type="dxa"/>
            <w:vAlign w:val="center"/>
          </w:tcPr>
          <w:p w14:paraId="313EB208" w14:textId="77777777" w:rsidR="00E045F1" w:rsidRPr="00F32187" w:rsidRDefault="00E045F1" w:rsidP="0073566D">
            <w:pPr>
              <w:pStyle w:val="ONUMFS"/>
              <w:numPr>
                <w:ilvl w:val="0"/>
                <w:numId w:val="0"/>
              </w:numPr>
              <w:spacing w:before="120" w:after="120"/>
              <w:rPr>
                <w:sz w:val="20"/>
                <w:szCs w:val="18"/>
                <w:lang w:val="fr-FR"/>
              </w:rPr>
            </w:pPr>
          </w:p>
        </w:tc>
        <w:tc>
          <w:tcPr>
            <w:tcW w:w="1923" w:type="dxa"/>
          </w:tcPr>
          <w:p w14:paraId="4D40AE6E" w14:textId="719ACBBF" w:rsidR="00E045F1" w:rsidRPr="00F32187" w:rsidRDefault="00E045F1" w:rsidP="0073566D">
            <w:pPr>
              <w:pStyle w:val="ONUMFS"/>
              <w:numPr>
                <w:ilvl w:val="0"/>
                <w:numId w:val="0"/>
              </w:numPr>
              <w:spacing w:before="120" w:after="120"/>
              <w:cnfStyle w:val="100000000000" w:firstRow="1" w:lastRow="0" w:firstColumn="0" w:lastColumn="0" w:oddVBand="0" w:evenVBand="0" w:oddHBand="0" w:evenHBand="0" w:firstRowFirstColumn="0" w:firstRowLastColumn="0" w:lastRowFirstColumn="0" w:lastRowLastColumn="0"/>
              <w:rPr>
                <w:sz w:val="20"/>
                <w:szCs w:val="18"/>
                <w:lang w:val="fr-FR"/>
              </w:rPr>
            </w:pPr>
            <w:r w:rsidRPr="00F32187">
              <w:rPr>
                <w:sz w:val="20"/>
                <w:szCs w:val="18"/>
                <w:lang w:val="fr-FR"/>
              </w:rPr>
              <w:t>Entretiens avec</w:t>
            </w:r>
            <w:r w:rsidR="00A26EB3">
              <w:rPr>
                <w:sz w:val="20"/>
                <w:szCs w:val="18"/>
                <w:lang w:val="fr-FR"/>
              </w:rPr>
              <w:t> </w:t>
            </w:r>
            <w:r w:rsidRPr="00F32187">
              <w:rPr>
                <w:sz w:val="20"/>
                <w:szCs w:val="18"/>
                <w:lang w:val="fr-FR"/>
              </w:rPr>
              <w:t>des informateurs clés</w:t>
            </w:r>
          </w:p>
        </w:tc>
        <w:tc>
          <w:tcPr>
            <w:tcW w:w="1418" w:type="dxa"/>
          </w:tcPr>
          <w:p w14:paraId="45707D6A" w14:textId="77777777" w:rsidR="00E045F1" w:rsidRPr="00F32187" w:rsidRDefault="00E045F1" w:rsidP="0073566D">
            <w:pPr>
              <w:pStyle w:val="ONUMFS"/>
              <w:numPr>
                <w:ilvl w:val="0"/>
                <w:numId w:val="0"/>
              </w:numPr>
              <w:spacing w:before="120" w:after="120"/>
              <w:cnfStyle w:val="100000000000" w:firstRow="1" w:lastRow="0" w:firstColumn="0" w:lastColumn="0" w:oddVBand="0" w:evenVBand="0" w:oddHBand="0" w:evenHBand="0" w:firstRowFirstColumn="0" w:firstRowLastColumn="0" w:lastRowFirstColumn="0" w:lastRowLastColumn="0"/>
              <w:rPr>
                <w:sz w:val="20"/>
                <w:szCs w:val="18"/>
                <w:lang w:val="fr-FR"/>
              </w:rPr>
            </w:pPr>
            <w:r w:rsidRPr="00F32187">
              <w:rPr>
                <w:sz w:val="20"/>
                <w:szCs w:val="18"/>
                <w:lang w:val="fr-FR"/>
              </w:rPr>
              <w:t>Groupes de réflexion</w:t>
            </w:r>
          </w:p>
        </w:tc>
        <w:tc>
          <w:tcPr>
            <w:tcW w:w="1587" w:type="dxa"/>
          </w:tcPr>
          <w:p w14:paraId="078821FB" w14:textId="77777777" w:rsidR="00E045F1" w:rsidRPr="00F32187" w:rsidRDefault="00E045F1" w:rsidP="0073566D">
            <w:pPr>
              <w:pStyle w:val="ONUMFS"/>
              <w:numPr>
                <w:ilvl w:val="0"/>
                <w:numId w:val="0"/>
              </w:numPr>
              <w:spacing w:before="120" w:after="120"/>
              <w:cnfStyle w:val="100000000000" w:firstRow="1" w:lastRow="0" w:firstColumn="0" w:lastColumn="0" w:oddVBand="0" w:evenVBand="0" w:oddHBand="0" w:evenHBand="0" w:firstRowFirstColumn="0" w:firstRowLastColumn="0" w:lastRowFirstColumn="0" w:lastRowLastColumn="0"/>
              <w:rPr>
                <w:sz w:val="20"/>
                <w:szCs w:val="18"/>
                <w:lang w:val="fr-FR"/>
              </w:rPr>
            </w:pPr>
            <w:r w:rsidRPr="00F32187">
              <w:rPr>
                <w:sz w:val="20"/>
                <w:szCs w:val="18"/>
                <w:lang w:val="fr-FR"/>
              </w:rPr>
              <w:t>Enquête en ligne</w:t>
            </w:r>
          </w:p>
        </w:tc>
      </w:tr>
      <w:tr w:rsidR="00E045F1" w:rsidRPr="00F32187" w14:paraId="2554A0E1" w14:textId="77777777" w:rsidTr="00A26EB3">
        <w:tc>
          <w:tcPr>
            <w:cnfStyle w:val="001000000000" w:firstRow="0" w:lastRow="0" w:firstColumn="1" w:lastColumn="0" w:oddVBand="0" w:evenVBand="0" w:oddHBand="0" w:evenHBand="0" w:firstRowFirstColumn="0" w:firstRowLastColumn="0" w:lastRowFirstColumn="0" w:lastRowLastColumn="0"/>
            <w:tcW w:w="4309" w:type="dxa"/>
            <w:vAlign w:val="center"/>
          </w:tcPr>
          <w:p w14:paraId="7B52F7AB" w14:textId="404C84E3" w:rsidR="00E045F1" w:rsidRPr="00F32187" w:rsidRDefault="00E045F1" w:rsidP="0073566D">
            <w:pPr>
              <w:pStyle w:val="ONUMFS"/>
              <w:numPr>
                <w:ilvl w:val="0"/>
                <w:numId w:val="0"/>
              </w:numPr>
              <w:spacing w:before="120" w:after="120"/>
              <w:rPr>
                <w:sz w:val="20"/>
                <w:szCs w:val="18"/>
                <w:lang w:val="fr-FR"/>
              </w:rPr>
            </w:pPr>
            <w:r w:rsidRPr="00F32187">
              <w:rPr>
                <w:sz w:val="20"/>
                <w:szCs w:val="18"/>
                <w:lang w:val="fr-FR"/>
              </w:rPr>
              <w:t>Secrétariat de l</w:t>
            </w:r>
            <w:r w:rsidR="00535418" w:rsidRPr="00F32187">
              <w:rPr>
                <w:sz w:val="20"/>
                <w:szCs w:val="18"/>
                <w:lang w:val="fr-FR"/>
              </w:rPr>
              <w:t>’</w:t>
            </w:r>
            <w:r w:rsidRPr="00F32187">
              <w:rPr>
                <w:sz w:val="20"/>
                <w:szCs w:val="18"/>
                <w:lang w:val="fr-FR"/>
              </w:rPr>
              <w:t>OMPI</w:t>
            </w:r>
          </w:p>
        </w:tc>
        <w:tc>
          <w:tcPr>
            <w:tcW w:w="1923" w:type="dxa"/>
            <w:vAlign w:val="center"/>
          </w:tcPr>
          <w:p w14:paraId="38F46537" w14:textId="77777777" w:rsidR="00E045F1" w:rsidRPr="00F32187" w:rsidRDefault="00E045F1" w:rsidP="0073566D">
            <w:pPr>
              <w:pStyle w:val="ONUMFS"/>
              <w:numPr>
                <w:ilvl w:val="0"/>
                <w:numId w:val="0"/>
              </w:numPr>
              <w:spacing w:before="120" w:after="120"/>
              <w:jc w:val="center"/>
              <w:cnfStyle w:val="000000000000" w:firstRow="0" w:lastRow="0" w:firstColumn="0" w:lastColumn="0" w:oddVBand="0" w:evenVBand="0" w:oddHBand="0" w:evenHBand="0" w:firstRowFirstColumn="0" w:firstRowLastColumn="0" w:lastRowFirstColumn="0" w:lastRowLastColumn="0"/>
              <w:rPr>
                <w:sz w:val="20"/>
                <w:szCs w:val="18"/>
                <w:lang w:val="fr-FR"/>
              </w:rPr>
            </w:pPr>
            <w:r w:rsidRPr="00F32187">
              <w:rPr>
                <w:sz w:val="20"/>
                <w:szCs w:val="18"/>
                <w:lang w:val="fr-FR"/>
              </w:rPr>
              <w:t>X</w:t>
            </w:r>
          </w:p>
        </w:tc>
        <w:tc>
          <w:tcPr>
            <w:tcW w:w="1418" w:type="dxa"/>
            <w:vAlign w:val="center"/>
          </w:tcPr>
          <w:p w14:paraId="12DBBFD5" w14:textId="77777777" w:rsidR="00E045F1" w:rsidRPr="00F32187" w:rsidRDefault="00E045F1" w:rsidP="0073566D">
            <w:pPr>
              <w:pStyle w:val="ONUMFS"/>
              <w:numPr>
                <w:ilvl w:val="0"/>
                <w:numId w:val="0"/>
              </w:numPr>
              <w:spacing w:before="120" w:after="120"/>
              <w:jc w:val="center"/>
              <w:cnfStyle w:val="000000000000" w:firstRow="0" w:lastRow="0" w:firstColumn="0" w:lastColumn="0" w:oddVBand="0" w:evenVBand="0" w:oddHBand="0" w:evenHBand="0" w:firstRowFirstColumn="0" w:firstRowLastColumn="0" w:lastRowFirstColumn="0" w:lastRowLastColumn="0"/>
              <w:rPr>
                <w:sz w:val="20"/>
                <w:szCs w:val="18"/>
                <w:lang w:val="fr-FR"/>
              </w:rPr>
            </w:pPr>
          </w:p>
        </w:tc>
        <w:tc>
          <w:tcPr>
            <w:tcW w:w="1587" w:type="dxa"/>
            <w:vAlign w:val="center"/>
          </w:tcPr>
          <w:p w14:paraId="135B017C" w14:textId="77777777" w:rsidR="00E045F1" w:rsidRPr="00F32187" w:rsidRDefault="00E045F1" w:rsidP="0073566D">
            <w:pPr>
              <w:pStyle w:val="ONUMFS"/>
              <w:numPr>
                <w:ilvl w:val="0"/>
                <w:numId w:val="0"/>
              </w:numPr>
              <w:spacing w:before="120" w:after="120"/>
              <w:jc w:val="center"/>
              <w:cnfStyle w:val="000000000000" w:firstRow="0" w:lastRow="0" w:firstColumn="0" w:lastColumn="0" w:oddVBand="0" w:evenVBand="0" w:oddHBand="0" w:evenHBand="0" w:firstRowFirstColumn="0" w:firstRowLastColumn="0" w:lastRowFirstColumn="0" w:lastRowLastColumn="0"/>
              <w:rPr>
                <w:sz w:val="20"/>
                <w:szCs w:val="18"/>
                <w:lang w:val="fr-FR"/>
              </w:rPr>
            </w:pPr>
            <w:r w:rsidRPr="00F32187">
              <w:rPr>
                <w:sz w:val="20"/>
                <w:szCs w:val="18"/>
                <w:lang w:val="fr-FR"/>
              </w:rPr>
              <w:t>X</w:t>
            </w:r>
          </w:p>
        </w:tc>
      </w:tr>
      <w:tr w:rsidR="00E045F1" w:rsidRPr="00F32187" w14:paraId="149765DD" w14:textId="77777777" w:rsidTr="00A26EB3">
        <w:tc>
          <w:tcPr>
            <w:cnfStyle w:val="001000000000" w:firstRow="0" w:lastRow="0" w:firstColumn="1" w:lastColumn="0" w:oddVBand="0" w:evenVBand="0" w:oddHBand="0" w:evenHBand="0" w:firstRowFirstColumn="0" w:firstRowLastColumn="0" w:lastRowFirstColumn="0" w:lastRowLastColumn="0"/>
            <w:tcW w:w="4309" w:type="dxa"/>
            <w:vAlign w:val="center"/>
          </w:tcPr>
          <w:p w14:paraId="3AAC9F5F" w14:textId="77777777" w:rsidR="00E045F1" w:rsidRPr="00F32187" w:rsidRDefault="00E045F1" w:rsidP="0073566D">
            <w:pPr>
              <w:pStyle w:val="ONUMFS"/>
              <w:numPr>
                <w:ilvl w:val="0"/>
                <w:numId w:val="0"/>
              </w:numPr>
              <w:spacing w:before="120" w:after="120"/>
              <w:rPr>
                <w:sz w:val="20"/>
                <w:szCs w:val="18"/>
                <w:lang w:val="fr-FR"/>
              </w:rPr>
            </w:pPr>
            <w:r w:rsidRPr="00F32187">
              <w:rPr>
                <w:sz w:val="20"/>
                <w:szCs w:val="18"/>
                <w:lang w:val="fr-FR"/>
              </w:rPr>
              <w:t>Offices nationaux de propriété intellectuelle, experts nationaux et internationaux et autres parties prenantes</w:t>
            </w:r>
          </w:p>
        </w:tc>
        <w:tc>
          <w:tcPr>
            <w:tcW w:w="1923" w:type="dxa"/>
            <w:vAlign w:val="center"/>
          </w:tcPr>
          <w:p w14:paraId="0B6ACBDE" w14:textId="77777777" w:rsidR="00E045F1" w:rsidRPr="00F32187" w:rsidRDefault="00E045F1" w:rsidP="0073566D">
            <w:pPr>
              <w:pStyle w:val="ONUMFS"/>
              <w:numPr>
                <w:ilvl w:val="0"/>
                <w:numId w:val="0"/>
              </w:numPr>
              <w:spacing w:before="120" w:after="120"/>
              <w:jc w:val="center"/>
              <w:cnfStyle w:val="000000000000" w:firstRow="0" w:lastRow="0" w:firstColumn="0" w:lastColumn="0" w:oddVBand="0" w:evenVBand="0" w:oddHBand="0" w:evenHBand="0" w:firstRowFirstColumn="0" w:firstRowLastColumn="0" w:lastRowFirstColumn="0" w:lastRowLastColumn="0"/>
              <w:rPr>
                <w:sz w:val="20"/>
                <w:szCs w:val="18"/>
                <w:lang w:val="fr-FR"/>
              </w:rPr>
            </w:pPr>
          </w:p>
        </w:tc>
        <w:tc>
          <w:tcPr>
            <w:tcW w:w="1418" w:type="dxa"/>
            <w:vAlign w:val="center"/>
          </w:tcPr>
          <w:p w14:paraId="1B1BBAA6" w14:textId="77777777" w:rsidR="00E045F1" w:rsidRPr="00F32187" w:rsidRDefault="00E045F1" w:rsidP="0073566D">
            <w:pPr>
              <w:pStyle w:val="ONUMFS"/>
              <w:numPr>
                <w:ilvl w:val="0"/>
                <w:numId w:val="0"/>
              </w:numPr>
              <w:spacing w:before="120" w:after="120"/>
              <w:jc w:val="center"/>
              <w:cnfStyle w:val="000000000000" w:firstRow="0" w:lastRow="0" w:firstColumn="0" w:lastColumn="0" w:oddVBand="0" w:evenVBand="0" w:oddHBand="0" w:evenHBand="0" w:firstRowFirstColumn="0" w:firstRowLastColumn="0" w:lastRowFirstColumn="0" w:lastRowLastColumn="0"/>
              <w:rPr>
                <w:sz w:val="20"/>
                <w:szCs w:val="18"/>
                <w:lang w:val="fr-FR"/>
              </w:rPr>
            </w:pPr>
            <w:r w:rsidRPr="00F32187">
              <w:rPr>
                <w:sz w:val="20"/>
                <w:szCs w:val="18"/>
                <w:lang w:val="fr-FR"/>
              </w:rPr>
              <w:t>X</w:t>
            </w:r>
          </w:p>
        </w:tc>
        <w:tc>
          <w:tcPr>
            <w:tcW w:w="1587" w:type="dxa"/>
            <w:vAlign w:val="center"/>
          </w:tcPr>
          <w:p w14:paraId="11D43239" w14:textId="77777777" w:rsidR="00E045F1" w:rsidRPr="00F32187" w:rsidRDefault="00E045F1" w:rsidP="0073566D">
            <w:pPr>
              <w:pStyle w:val="ONUMFS"/>
              <w:numPr>
                <w:ilvl w:val="0"/>
                <w:numId w:val="0"/>
              </w:numPr>
              <w:spacing w:before="120" w:after="120"/>
              <w:jc w:val="center"/>
              <w:cnfStyle w:val="000000000000" w:firstRow="0" w:lastRow="0" w:firstColumn="0" w:lastColumn="0" w:oddVBand="0" w:evenVBand="0" w:oddHBand="0" w:evenHBand="0" w:firstRowFirstColumn="0" w:firstRowLastColumn="0" w:lastRowFirstColumn="0" w:lastRowLastColumn="0"/>
              <w:rPr>
                <w:sz w:val="20"/>
                <w:szCs w:val="18"/>
                <w:lang w:val="fr-FR"/>
              </w:rPr>
            </w:pPr>
            <w:r w:rsidRPr="00F32187">
              <w:rPr>
                <w:sz w:val="20"/>
                <w:szCs w:val="18"/>
                <w:lang w:val="fr-FR"/>
              </w:rPr>
              <w:t>X</w:t>
            </w:r>
          </w:p>
        </w:tc>
      </w:tr>
    </w:tbl>
    <w:p w14:paraId="0F2B88C2" w14:textId="40DCABA9" w:rsidR="00E045F1" w:rsidRPr="00F32187" w:rsidRDefault="00E045F1" w:rsidP="00E045F1">
      <w:pPr>
        <w:pStyle w:val="ONUMFS"/>
        <w:spacing w:before="220"/>
        <w:rPr>
          <w:lang w:val="fr-FR"/>
        </w:rPr>
      </w:pPr>
      <w:r w:rsidRPr="00F32187">
        <w:rPr>
          <w:lang w:val="fr-FR"/>
        </w:rPr>
        <w:t>Deux études de cas ont apporté un degré supplémentaire de profondeur illustrative et explicative (</w:t>
      </w:r>
      <w:r w:rsidRPr="00F32187">
        <w:rPr>
          <w:i/>
          <w:iCs/>
          <w:lang w:val="fr-FR"/>
        </w:rPr>
        <w:t>comment</w:t>
      </w:r>
      <w:r w:rsidRPr="00F32187">
        <w:rPr>
          <w:lang w:val="fr-FR"/>
        </w:rPr>
        <w:t xml:space="preserve">, </w:t>
      </w:r>
      <w:r w:rsidRPr="00F32187">
        <w:rPr>
          <w:i/>
          <w:iCs/>
          <w:lang w:val="fr-FR"/>
        </w:rPr>
        <w:t>pourquoi</w:t>
      </w:r>
      <w:r w:rsidRPr="00F32187">
        <w:rPr>
          <w:lang w:val="fr-FR"/>
        </w:rPr>
        <w:t xml:space="preserve"> et </w:t>
      </w:r>
      <w:r w:rsidRPr="00F32187">
        <w:rPr>
          <w:i/>
          <w:iCs/>
          <w:lang w:val="fr-FR"/>
        </w:rPr>
        <w:t>pour qui</w:t>
      </w:r>
      <w:r w:rsidRPr="00F32187">
        <w:rPr>
          <w:lang w:val="fr-FR"/>
        </w:rPr>
        <w:t>) afin de mieux éclairer les conclusions d</w:t>
      </w:r>
      <w:r w:rsidR="00535418" w:rsidRPr="00F32187">
        <w:rPr>
          <w:lang w:val="fr-FR"/>
        </w:rPr>
        <w:t>’</w:t>
      </w:r>
      <w:r w:rsidRPr="00F32187">
        <w:rPr>
          <w:lang w:val="fr-FR"/>
        </w:rPr>
        <w:t>évaluati</w:t>
      </w:r>
      <w:r w:rsidR="00F32187" w:rsidRPr="00F32187">
        <w:rPr>
          <w:lang w:val="fr-FR"/>
        </w:rPr>
        <w:t>on.  Le</w:t>
      </w:r>
      <w:r w:rsidRPr="00F32187">
        <w:rPr>
          <w:lang w:val="fr-FR"/>
        </w:rPr>
        <w:t>s études de cas ont été élaborées au moyen de la méthode d</w:t>
      </w:r>
      <w:r w:rsidR="00535418" w:rsidRPr="00F32187">
        <w:rPr>
          <w:lang w:val="fr-FR"/>
        </w:rPr>
        <w:t>’</w:t>
      </w:r>
      <w:r w:rsidRPr="00F32187">
        <w:rPr>
          <w:lang w:val="fr-FR"/>
        </w:rPr>
        <w:t>évaluation de la trajectoire des résultats (“</w:t>
      </w:r>
      <w:proofErr w:type="spellStart"/>
      <w:r w:rsidRPr="00F32187">
        <w:rPr>
          <w:lang w:val="fr-FR"/>
        </w:rPr>
        <w:t>outcome</w:t>
      </w:r>
      <w:proofErr w:type="spellEnd"/>
      <w:r w:rsidRPr="00F32187">
        <w:rPr>
          <w:lang w:val="fr-FR"/>
        </w:rPr>
        <w:t xml:space="preserve"> </w:t>
      </w:r>
      <w:proofErr w:type="spellStart"/>
      <w:r w:rsidRPr="00F32187">
        <w:rPr>
          <w:lang w:val="fr-FR"/>
        </w:rPr>
        <w:t>trajectory</w:t>
      </w:r>
      <w:proofErr w:type="spellEnd"/>
      <w:r w:rsidRPr="00F32187">
        <w:rPr>
          <w:lang w:val="fr-FR"/>
        </w:rPr>
        <w:t xml:space="preserve"> </w:t>
      </w:r>
      <w:proofErr w:type="spellStart"/>
      <w:r w:rsidRPr="00F32187">
        <w:rPr>
          <w:lang w:val="fr-FR"/>
        </w:rPr>
        <w:t>evaluation</w:t>
      </w:r>
      <w:proofErr w:type="spellEnd"/>
      <w:r w:rsidRPr="00F32187">
        <w:rPr>
          <w:lang w:val="fr-FR"/>
        </w:rPr>
        <w:t xml:space="preserve">” ou “OTE”, voir </w:t>
      </w:r>
      <w:proofErr w:type="spellStart"/>
      <w:r w:rsidRPr="00F32187">
        <w:rPr>
          <w:lang w:val="fr-FR"/>
        </w:rPr>
        <w:t>Douthwaite</w:t>
      </w:r>
      <w:proofErr w:type="spellEnd"/>
      <w:r w:rsidRPr="00F32187">
        <w:rPr>
          <w:lang w:val="fr-FR"/>
        </w:rPr>
        <w:t xml:space="preserve"> et al., 2023).  Cette approche consiste à sélectionner une incidence significative du projet puis à procéder à une analyse rétrospective afin de décrire l</w:t>
      </w:r>
      <w:r w:rsidR="00535418" w:rsidRPr="00F32187">
        <w:rPr>
          <w:lang w:val="fr-FR"/>
        </w:rPr>
        <w:t>’</w:t>
      </w:r>
      <w:r w:rsidRPr="00F32187">
        <w:rPr>
          <w:lang w:val="fr-FR"/>
        </w:rPr>
        <w:t>ensemble structuré d</w:t>
      </w:r>
      <w:r w:rsidR="00535418" w:rsidRPr="00F32187">
        <w:rPr>
          <w:lang w:val="fr-FR"/>
        </w:rPr>
        <w:t>’</w:t>
      </w:r>
      <w:r w:rsidRPr="00F32187">
        <w:rPr>
          <w:lang w:val="fr-FR"/>
        </w:rPr>
        <w:t>interactions entre acteurs, connaissances, technologie et institutions qui a donné lieu à l</w:t>
      </w:r>
      <w:r w:rsidR="00535418" w:rsidRPr="00F32187">
        <w:rPr>
          <w:lang w:val="fr-FR"/>
        </w:rPr>
        <w:t>’</w:t>
      </w:r>
      <w:r w:rsidRPr="00F32187">
        <w:rPr>
          <w:lang w:val="fr-FR"/>
        </w:rPr>
        <w:t>impact et la contribution du projet à l</w:t>
      </w:r>
      <w:r w:rsidR="00535418" w:rsidRPr="00F32187">
        <w:rPr>
          <w:lang w:val="fr-FR"/>
        </w:rPr>
        <w:t>’</w:t>
      </w:r>
      <w:r w:rsidRPr="00F32187">
        <w:rPr>
          <w:lang w:val="fr-FR"/>
        </w:rPr>
        <w:t>impa</w:t>
      </w:r>
      <w:r w:rsidR="00F32187" w:rsidRPr="00F32187">
        <w:rPr>
          <w:lang w:val="fr-FR"/>
        </w:rPr>
        <w:t>ct.  L’a</w:t>
      </w:r>
      <w:r w:rsidRPr="00F32187">
        <w:rPr>
          <w:lang w:val="fr-FR"/>
        </w:rPr>
        <w:t>pproche OTE emprunte des éléments des méthodes d</w:t>
      </w:r>
      <w:r w:rsidR="00535418" w:rsidRPr="00F32187">
        <w:rPr>
          <w:lang w:val="fr-FR"/>
        </w:rPr>
        <w:t>’</w:t>
      </w:r>
      <w:r w:rsidRPr="00F32187">
        <w:rPr>
          <w:lang w:val="fr-FR"/>
        </w:rPr>
        <w:t>analyse des contributions (</w:t>
      </w:r>
      <w:proofErr w:type="spellStart"/>
      <w:r w:rsidRPr="00F32187">
        <w:rPr>
          <w:lang w:val="fr-FR"/>
        </w:rPr>
        <w:t>Mayne</w:t>
      </w:r>
      <w:proofErr w:type="spellEnd"/>
      <w:r w:rsidRPr="00F32187">
        <w:rPr>
          <w:lang w:val="fr-FR"/>
        </w:rPr>
        <w:t>, 2012), de récolte d</w:t>
      </w:r>
      <w:r w:rsidR="00535418" w:rsidRPr="00F32187">
        <w:rPr>
          <w:lang w:val="fr-FR"/>
        </w:rPr>
        <w:t>’</w:t>
      </w:r>
      <w:r w:rsidRPr="00F32187">
        <w:rPr>
          <w:lang w:val="fr-FR"/>
        </w:rPr>
        <w:t>incidences (“</w:t>
      </w:r>
      <w:proofErr w:type="spellStart"/>
      <w:r w:rsidRPr="00F32187">
        <w:rPr>
          <w:lang w:val="fr-FR"/>
        </w:rPr>
        <w:t>outcome</w:t>
      </w:r>
      <w:proofErr w:type="spellEnd"/>
      <w:r w:rsidRPr="00F32187">
        <w:rPr>
          <w:lang w:val="fr-FR"/>
        </w:rPr>
        <w:t xml:space="preserve"> </w:t>
      </w:r>
      <w:proofErr w:type="spellStart"/>
      <w:r w:rsidRPr="00F32187">
        <w:rPr>
          <w:lang w:val="fr-FR"/>
        </w:rPr>
        <w:t>harvesting</w:t>
      </w:r>
      <w:proofErr w:type="spellEnd"/>
      <w:r w:rsidRPr="00F32187">
        <w:rPr>
          <w:lang w:val="fr-FR"/>
        </w:rPr>
        <w:t xml:space="preserve">”) et de traçage de processus </w:t>
      </w:r>
      <w:r w:rsidRPr="00F32187">
        <w:rPr>
          <w:lang w:val="fr-FR"/>
        </w:rPr>
        <w:lastRenderedPageBreak/>
        <w:t>(“process tracing”).  La principale hypothèse sur laquelle repose l</w:t>
      </w:r>
      <w:r w:rsidR="00535418" w:rsidRPr="00F32187">
        <w:rPr>
          <w:lang w:val="fr-FR"/>
        </w:rPr>
        <w:t>’</w:t>
      </w:r>
      <w:r w:rsidRPr="00F32187">
        <w:rPr>
          <w:lang w:val="fr-FR"/>
        </w:rPr>
        <w:t>approche OTE est que l</w:t>
      </w:r>
      <w:r w:rsidR="00535418" w:rsidRPr="00F32187">
        <w:rPr>
          <w:lang w:val="fr-FR"/>
        </w:rPr>
        <w:t>’</w:t>
      </w:r>
      <w:r w:rsidRPr="00F32187">
        <w:rPr>
          <w:lang w:val="fr-FR"/>
        </w:rPr>
        <w:t>objet de l</w:t>
      </w:r>
      <w:r w:rsidR="00535418" w:rsidRPr="00F32187">
        <w:rPr>
          <w:lang w:val="fr-FR"/>
        </w:rPr>
        <w:t>’</w:t>
      </w:r>
      <w:r w:rsidRPr="00F32187">
        <w:rPr>
          <w:lang w:val="fr-FR"/>
        </w:rPr>
        <w:t>évaluation a contribué à des changements significatifs liés aux politiqu</w:t>
      </w:r>
      <w:r w:rsidR="00F32187" w:rsidRPr="00F32187">
        <w:rPr>
          <w:lang w:val="fr-FR"/>
        </w:rPr>
        <w:t>es.  Ce</w:t>
      </w:r>
      <w:r w:rsidRPr="00F32187">
        <w:rPr>
          <w:lang w:val="fr-FR"/>
        </w:rPr>
        <w:t>tte approche est particulièrement indiquée pour analyser l</w:t>
      </w:r>
      <w:r w:rsidR="00535418" w:rsidRPr="00F32187">
        <w:rPr>
          <w:lang w:val="fr-FR"/>
        </w:rPr>
        <w:t>’</w:t>
      </w:r>
      <w:r w:rsidRPr="00F32187">
        <w:rPr>
          <w:lang w:val="fr-FR"/>
        </w:rPr>
        <w:t>incidence de la recherche sur les projets de développement présentant une longue chaîne de causalité (Child et al., 2021), ce qui est pertinent pour l</w:t>
      </w:r>
      <w:r w:rsidR="00535418" w:rsidRPr="00F32187">
        <w:rPr>
          <w:lang w:val="fr-FR"/>
        </w:rPr>
        <w:t>’</w:t>
      </w:r>
      <w:r w:rsidRPr="00F32187">
        <w:rPr>
          <w:lang w:val="fr-FR"/>
        </w:rPr>
        <w:t>objet d</w:t>
      </w:r>
      <w:r w:rsidR="00535418" w:rsidRPr="00F32187">
        <w:rPr>
          <w:lang w:val="fr-FR"/>
        </w:rPr>
        <w:t>’</w:t>
      </w:r>
      <w:r w:rsidRPr="00F32187">
        <w:rPr>
          <w:lang w:val="fr-FR"/>
        </w:rPr>
        <w:t>évaluation en question.</w:t>
      </w:r>
    </w:p>
    <w:p w14:paraId="142A3A2B" w14:textId="1CE89AFE" w:rsidR="00E045F1" w:rsidRPr="00F32187" w:rsidRDefault="00E045F1" w:rsidP="00E045F1">
      <w:pPr>
        <w:pStyle w:val="ONUMFS"/>
        <w:rPr>
          <w:lang w:val="fr-FR"/>
        </w:rPr>
      </w:pPr>
      <w:r w:rsidRPr="00F32187">
        <w:rPr>
          <w:lang w:val="fr-FR"/>
        </w:rPr>
        <w:t>En consultation avec le responsable de l</w:t>
      </w:r>
      <w:r w:rsidR="00535418" w:rsidRPr="00F32187">
        <w:rPr>
          <w:lang w:val="fr-FR"/>
        </w:rPr>
        <w:t>’</w:t>
      </w:r>
      <w:r w:rsidRPr="00F32187">
        <w:rPr>
          <w:lang w:val="fr-FR"/>
        </w:rPr>
        <w:t>évaluation et conformément aux critères de sélection exposés dans le mandat de l</w:t>
      </w:r>
      <w:r w:rsidR="00535418" w:rsidRPr="00F32187">
        <w:rPr>
          <w:lang w:val="fr-FR"/>
        </w:rPr>
        <w:t>’</w:t>
      </w:r>
      <w:r w:rsidRPr="00F32187">
        <w:rPr>
          <w:lang w:val="fr-FR"/>
        </w:rPr>
        <w:t>évaluation, les études de cas ont été délibérément choisies pour être représentatives des incidences positives des deux</w:t>
      </w:r>
      <w:r w:rsidR="00B37BEF" w:rsidRPr="00F32187">
        <w:rPr>
          <w:lang w:val="fr-FR"/>
        </w:rPr>
        <w:t> </w:t>
      </w:r>
      <w:r w:rsidRPr="00F32187">
        <w:rPr>
          <w:lang w:val="fr-FR"/>
        </w:rPr>
        <w:t>phases de mise en œuvre du projet (Brésil et Indonésie).</w:t>
      </w:r>
    </w:p>
    <w:p w14:paraId="3306463C" w14:textId="65A5EF9B" w:rsidR="00E045F1" w:rsidRPr="00F32187" w:rsidRDefault="00E045F1" w:rsidP="00E045F1">
      <w:pPr>
        <w:pStyle w:val="ONUMFS"/>
        <w:rPr>
          <w:lang w:val="fr-FR"/>
        </w:rPr>
      </w:pPr>
      <w:r w:rsidRPr="00F32187">
        <w:rPr>
          <w:lang w:val="fr-FR"/>
        </w:rPr>
        <w:t>Aux fins de cette évaluation, l</w:t>
      </w:r>
      <w:r w:rsidR="00535418" w:rsidRPr="00F32187">
        <w:rPr>
          <w:lang w:val="fr-FR"/>
        </w:rPr>
        <w:t>’</w:t>
      </w:r>
      <w:r w:rsidRPr="00F32187">
        <w:rPr>
          <w:lang w:val="fr-FR"/>
        </w:rPr>
        <w:t>accent a été mis sur les incidences liées aux politiques, et notamment les suivantes (</w:t>
      </w:r>
      <w:proofErr w:type="spellStart"/>
      <w:r w:rsidRPr="00F32187">
        <w:rPr>
          <w:lang w:val="fr-FR"/>
        </w:rPr>
        <w:t>Renkow</w:t>
      </w:r>
      <w:proofErr w:type="spellEnd"/>
      <w:r w:rsidRPr="00F32187">
        <w:rPr>
          <w:lang w:val="fr-FR"/>
        </w:rPr>
        <w:t>, 2018)</w:t>
      </w:r>
      <w:r w:rsidR="00535418" w:rsidRPr="00F32187">
        <w:rPr>
          <w:lang w:val="fr-FR"/>
        </w:rPr>
        <w:t> :</w:t>
      </w:r>
    </w:p>
    <w:p w14:paraId="12C131A2" w14:textId="77777777" w:rsidR="00E045F1" w:rsidRPr="00F32187" w:rsidRDefault="00E045F1" w:rsidP="00A26EB3">
      <w:pPr>
        <w:pStyle w:val="ONUMFS"/>
        <w:numPr>
          <w:ilvl w:val="0"/>
          <w:numId w:val="22"/>
        </w:numPr>
        <w:spacing w:after="0"/>
        <w:ind w:left="1134" w:hanging="567"/>
        <w:rPr>
          <w:lang w:val="fr-FR"/>
        </w:rPr>
      </w:pPr>
      <w:proofErr w:type="gramStart"/>
      <w:r w:rsidRPr="00F32187">
        <w:rPr>
          <w:lang w:val="fr-FR"/>
        </w:rPr>
        <w:t>changements</w:t>
      </w:r>
      <w:proofErr w:type="gramEnd"/>
      <w:r w:rsidRPr="00F32187">
        <w:rPr>
          <w:lang w:val="fr-FR"/>
        </w:rPr>
        <w:t xml:space="preserve"> dans les lois et réglementations régissant les incitations économiques;</w:t>
      </w:r>
    </w:p>
    <w:p w14:paraId="1899D26B" w14:textId="763FF330" w:rsidR="00E045F1" w:rsidRPr="00F32187" w:rsidRDefault="00E045F1" w:rsidP="00A26EB3">
      <w:pPr>
        <w:pStyle w:val="ONUMFS"/>
        <w:numPr>
          <w:ilvl w:val="0"/>
          <w:numId w:val="22"/>
        </w:numPr>
        <w:spacing w:after="0"/>
        <w:ind w:left="1134" w:hanging="567"/>
        <w:rPr>
          <w:lang w:val="fr-FR"/>
        </w:rPr>
      </w:pPr>
      <w:proofErr w:type="gramStart"/>
      <w:r w:rsidRPr="00F32187">
        <w:rPr>
          <w:lang w:val="fr-FR"/>
        </w:rPr>
        <w:t>création</w:t>
      </w:r>
      <w:proofErr w:type="gramEnd"/>
      <w:r w:rsidRPr="00F32187">
        <w:rPr>
          <w:lang w:val="fr-FR"/>
        </w:rPr>
        <w:t xml:space="preserve"> et renforcement d</w:t>
      </w:r>
      <w:r w:rsidR="00535418" w:rsidRPr="00F32187">
        <w:rPr>
          <w:lang w:val="fr-FR"/>
        </w:rPr>
        <w:t>’</w:t>
      </w:r>
      <w:r w:rsidRPr="00F32187">
        <w:rPr>
          <w:lang w:val="fr-FR"/>
        </w:rPr>
        <w:t>institutions;</w:t>
      </w:r>
    </w:p>
    <w:p w14:paraId="602A200C" w14:textId="48788A20" w:rsidR="00E045F1" w:rsidRPr="00F32187" w:rsidRDefault="00E045F1" w:rsidP="00A26EB3">
      <w:pPr>
        <w:pStyle w:val="ONUMFS"/>
        <w:numPr>
          <w:ilvl w:val="0"/>
          <w:numId w:val="22"/>
        </w:numPr>
        <w:spacing w:after="0"/>
        <w:ind w:left="1134" w:hanging="567"/>
        <w:rPr>
          <w:lang w:val="fr-FR"/>
        </w:rPr>
      </w:pPr>
      <w:proofErr w:type="gramStart"/>
      <w:r w:rsidRPr="00F32187">
        <w:rPr>
          <w:lang w:val="fr-FR"/>
        </w:rPr>
        <w:t>changements</w:t>
      </w:r>
      <w:proofErr w:type="gramEnd"/>
      <w:r w:rsidRPr="00F32187">
        <w:rPr>
          <w:lang w:val="fr-FR"/>
        </w:rPr>
        <w:t xml:space="preserve"> dans les priorités d</w:t>
      </w:r>
      <w:r w:rsidR="00535418" w:rsidRPr="00F32187">
        <w:rPr>
          <w:lang w:val="fr-FR"/>
        </w:rPr>
        <w:t>’</w:t>
      </w:r>
      <w:r w:rsidRPr="00F32187">
        <w:rPr>
          <w:lang w:val="fr-FR"/>
        </w:rPr>
        <w:t>investissement et les allocations budgétaires des secteurs public et privé;</w:t>
      </w:r>
    </w:p>
    <w:p w14:paraId="4B1C49A5" w14:textId="77777777" w:rsidR="00E045F1" w:rsidRPr="00F32187" w:rsidRDefault="00E045F1" w:rsidP="00A26EB3">
      <w:pPr>
        <w:pStyle w:val="ONUMFS"/>
        <w:numPr>
          <w:ilvl w:val="0"/>
          <w:numId w:val="21"/>
        </w:numPr>
        <w:spacing w:after="0"/>
        <w:ind w:left="1134" w:hanging="567"/>
        <w:rPr>
          <w:lang w:val="fr-FR"/>
        </w:rPr>
      </w:pPr>
      <w:proofErr w:type="gramStart"/>
      <w:r w:rsidRPr="00F32187">
        <w:rPr>
          <w:lang w:val="fr-FR"/>
        </w:rPr>
        <w:t>innovations</w:t>
      </w:r>
      <w:proofErr w:type="gramEnd"/>
      <w:r w:rsidRPr="00F32187">
        <w:rPr>
          <w:lang w:val="fr-FR"/>
        </w:rPr>
        <w:t xml:space="preserve"> dans le fonctionnement et la gestion des organismes et des programmes des secteurs public et privé;</w:t>
      </w:r>
    </w:p>
    <w:p w14:paraId="17421E41" w14:textId="6B100071" w:rsidR="00E045F1" w:rsidRPr="00F32187" w:rsidRDefault="00E045F1" w:rsidP="00A26EB3">
      <w:pPr>
        <w:pStyle w:val="ONUMFS"/>
        <w:numPr>
          <w:ilvl w:val="0"/>
          <w:numId w:val="21"/>
        </w:numPr>
        <w:ind w:left="1134" w:hanging="567"/>
        <w:rPr>
          <w:lang w:val="fr-FR"/>
        </w:rPr>
      </w:pPr>
      <w:proofErr w:type="gramStart"/>
      <w:r w:rsidRPr="00F32187">
        <w:rPr>
          <w:lang w:val="fr-FR"/>
        </w:rPr>
        <w:t>traités</w:t>
      </w:r>
      <w:proofErr w:type="gramEnd"/>
      <w:r w:rsidRPr="00F32187">
        <w:rPr>
          <w:lang w:val="fr-FR"/>
        </w:rPr>
        <w:t>, déclarations ou accords internationaux entre parties conclus lors d</w:t>
      </w:r>
      <w:r w:rsidR="00535418" w:rsidRPr="00F32187">
        <w:rPr>
          <w:lang w:val="fr-FR"/>
        </w:rPr>
        <w:t>’</w:t>
      </w:r>
      <w:r w:rsidRPr="00F32187">
        <w:rPr>
          <w:lang w:val="fr-FR"/>
        </w:rPr>
        <w:t>importantes conférences politiques.</w:t>
      </w:r>
    </w:p>
    <w:p w14:paraId="5E8F58E3" w14:textId="49214BDA" w:rsidR="00E045F1" w:rsidRPr="00F32187" w:rsidRDefault="00E045F1" w:rsidP="00E045F1">
      <w:pPr>
        <w:pStyle w:val="ONUMFS"/>
        <w:spacing w:after="0"/>
        <w:rPr>
          <w:lang w:val="fr-FR"/>
        </w:rPr>
      </w:pPr>
      <w:r w:rsidRPr="00F32187">
        <w:rPr>
          <w:lang w:val="fr-FR"/>
        </w:rPr>
        <w:t>Les études de cas sont principalement axées sur les incidences liées aux politiques, car ce sont généralement les premières à se produire et elles ont le potentiel d</w:t>
      </w:r>
      <w:r w:rsidR="00535418" w:rsidRPr="00F32187">
        <w:rPr>
          <w:lang w:val="fr-FR"/>
        </w:rPr>
        <w:t>’</w:t>
      </w:r>
      <w:r w:rsidRPr="00F32187">
        <w:rPr>
          <w:lang w:val="fr-FR"/>
        </w:rPr>
        <w:t>engendrer des avantages significatifs à grande échelle, même si elles requièrent souvent un long enchaînement de causali</w:t>
      </w:r>
      <w:r w:rsidR="00F32187" w:rsidRPr="00F32187">
        <w:rPr>
          <w:lang w:val="fr-FR"/>
        </w:rPr>
        <w:t>té.  Pa</w:t>
      </w:r>
      <w:r w:rsidRPr="00F32187">
        <w:rPr>
          <w:lang w:val="fr-FR"/>
        </w:rPr>
        <w:t>r ailleurs, compte tenu de ses objectifs et de sa stratégie de mise en œuvre, il s</w:t>
      </w:r>
      <w:r w:rsidR="00535418" w:rsidRPr="00F32187">
        <w:rPr>
          <w:lang w:val="fr-FR"/>
        </w:rPr>
        <w:t>’</w:t>
      </w:r>
      <w:r w:rsidRPr="00F32187">
        <w:rPr>
          <w:lang w:val="fr-FR"/>
        </w:rPr>
        <w:t>agit d</w:t>
      </w:r>
      <w:r w:rsidR="00535418" w:rsidRPr="00F32187">
        <w:rPr>
          <w:lang w:val="fr-FR"/>
        </w:rPr>
        <w:t>’</w:t>
      </w:r>
      <w:r w:rsidRPr="00F32187">
        <w:rPr>
          <w:lang w:val="fr-FR"/>
        </w:rPr>
        <w:t>incidences très probables dans le cadre de ce projet.</w:t>
      </w:r>
    </w:p>
    <w:p w14:paraId="3C51DBED" w14:textId="6426CC15" w:rsidR="00E045F1" w:rsidRPr="00F32187" w:rsidRDefault="00A26EB3" w:rsidP="00521E1F">
      <w:pPr>
        <w:pStyle w:val="Heading2"/>
        <w:ind w:left="1134" w:hanging="567"/>
      </w:pPr>
      <w:bookmarkStart w:id="29" w:name="_Toc140224973"/>
      <w:bookmarkStart w:id="30" w:name="_Toc145933440"/>
      <w:bookmarkStart w:id="31" w:name="_Toc146025100"/>
      <w:r>
        <w:t>O</w:t>
      </w:r>
      <w:r w:rsidRPr="00F32187">
        <w:t>bjectif principal de la méthodologie</w:t>
      </w:r>
      <w:bookmarkEnd w:id="29"/>
      <w:bookmarkEnd w:id="30"/>
      <w:bookmarkEnd w:id="31"/>
    </w:p>
    <w:p w14:paraId="2B6ED64F" w14:textId="5AB961F2" w:rsidR="00E045F1" w:rsidRPr="00F32187" w:rsidRDefault="00E045F1" w:rsidP="00E045F1">
      <w:pPr>
        <w:pStyle w:val="ONUMFS"/>
        <w:rPr>
          <w:lang w:val="fr-FR"/>
        </w:rPr>
      </w:pPr>
      <w:r w:rsidRPr="00F32187">
        <w:rPr>
          <w:lang w:val="fr-FR"/>
        </w:rPr>
        <w:t>L</w:t>
      </w:r>
      <w:r w:rsidR="00535418" w:rsidRPr="00F32187">
        <w:rPr>
          <w:lang w:val="fr-FR"/>
        </w:rPr>
        <w:t>’</w:t>
      </w:r>
      <w:r w:rsidRPr="00F32187">
        <w:rPr>
          <w:lang w:val="fr-FR"/>
        </w:rPr>
        <w:t>évaluation d</w:t>
      </w:r>
      <w:r w:rsidR="00535418" w:rsidRPr="00F32187">
        <w:rPr>
          <w:lang w:val="fr-FR"/>
        </w:rPr>
        <w:t>’</w:t>
      </w:r>
      <w:r w:rsidRPr="00F32187">
        <w:rPr>
          <w:lang w:val="fr-FR"/>
        </w:rPr>
        <w:t>impact s</w:t>
      </w:r>
      <w:r w:rsidR="00535418" w:rsidRPr="00F32187">
        <w:rPr>
          <w:lang w:val="fr-FR"/>
        </w:rPr>
        <w:t>’</w:t>
      </w:r>
      <w:r w:rsidRPr="00F32187">
        <w:rPr>
          <w:lang w:val="fr-FR"/>
        </w:rPr>
        <w:t xml:space="preserve">appuie sur les évaluations existantes réalisées </w:t>
      </w:r>
      <w:r w:rsidR="00535418" w:rsidRPr="00F32187">
        <w:rPr>
          <w:lang w:val="fr-FR"/>
        </w:rPr>
        <w:t>en 2014</w:t>
      </w:r>
      <w:r w:rsidRPr="00F32187">
        <w:rPr>
          <w:lang w:val="fr-FR"/>
        </w:rPr>
        <w:t xml:space="preserve"> et 2018 et les complè</w:t>
      </w:r>
      <w:r w:rsidR="00F32187" w:rsidRPr="00F32187">
        <w:rPr>
          <w:lang w:val="fr-FR"/>
        </w:rPr>
        <w:t>te.  Il</w:t>
      </w:r>
      <w:r w:rsidRPr="00F32187">
        <w:rPr>
          <w:lang w:val="fr-FR"/>
        </w:rPr>
        <w:t xml:space="preserve"> convient ici de mentionner le constat suivant de l</w:t>
      </w:r>
      <w:r w:rsidR="00535418" w:rsidRPr="00F32187">
        <w:rPr>
          <w:lang w:val="fr-FR"/>
        </w:rPr>
        <w:t>’</w:t>
      </w:r>
      <w:r w:rsidRPr="00F32187">
        <w:rPr>
          <w:lang w:val="fr-FR"/>
        </w:rPr>
        <w:t>évaluation de la phase II (CDIP/22/9)</w:t>
      </w:r>
      <w:r w:rsidR="00535418" w:rsidRPr="00F32187">
        <w:rPr>
          <w:lang w:val="fr-FR"/>
        </w:rPr>
        <w:t> :</w:t>
      </w:r>
    </w:p>
    <w:p w14:paraId="56206BEA" w14:textId="228EC855" w:rsidR="00E045F1" w:rsidRPr="00F32187" w:rsidRDefault="00E045F1" w:rsidP="00E045F1">
      <w:pPr>
        <w:pStyle w:val="ONUMFS"/>
        <w:numPr>
          <w:ilvl w:val="0"/>
          <w:numId w:val="0"/>
        </w:numPr>
        <w:ind w:left="567" w:right="850"/>
        <w:rPr>
          <w:i/>
          <w:iCs/>
          <w:lang w:val="fr-FR"/>
        </w:rPr>
      </w:pPr>
      <w:r w:rsidRPr="00F32187">
        <w:rPr>
          <w:i/>
          <w:iCs/>
          <w:lang w:val="fr-FR"/>
        </w:rPr>
        <w:t>Il est encore trop tôt pour évaluer l</w:t>
      </w:r>
      <w:r w:rsidR="00535418" w:rsidRPr="00F32187">
        <w:rPr>
          <w:i/>
          <w:iCs/>
          <w:lang w:val="fr-FR"/>
        </w:rPr>
        <w:t>’</w:t>
      </w:r>
      <w:r w:rsidRPr="00F32187">
        <w:rPr>
          <w:i/>
          <w:iCs/>
          <w:lang w:val="fr-FR"/>
        </w:rPr>
        <w:t>impact des études menées au cours de la phase II du projet, mais tout porte à croire que ces études permettent de beaucoup mieux cerner le rôle de la propriété intellectuelle et que le travail novateur réalisé pour “nettoyer” les données existantes et créer de nouveaux ensembles de données qui relient les statistiques classiques de propriété intellectuelle aux informations économiques générales constitue un grand pas en avant.</w:t>
      </w:r>
    </w:p>
    <w:p w14:paraId="790DA516" w14:textId="628173A1" w:rsidR="00E045F1" w:rsidRPr="00F32187" w:rsidRDefault="00E045F1" w:rsidP="00E045F1">
      <w:pPr>
        <w:pStyle w:val="ONUMFS"/>
        <w:rPr>
          <w:lang w:val="fr-FR"/>
        </w:rPr>
      </w:pPr>
      <w:r w:rsidRPr="00F32187">
        <w:rPr>
          <w:lang w:val="fr-FR"/>
        </w:rPr>
        <w:t>L</w:t>
      </w:r>
      <w:r w:rsidR="00535418" w:rsidRPr="00F32187">
        <w:rPr>
          <w:lang w:val="fr-FR"/>
        </w:rPr>
        <w:t>’</w:t>
      </w:r>
      <w:r w:rsidRPr="00F32187">
        <w:rPr>
          <w:lang w:val="fr-FR"/>
        </w:rPr>
        <w:t>évaluation visait à aller au</w:t>
      </w:r>
      <w:r w:rsidR="00444006">
        <w:rPr>
          <w:lang w:val="fr-FR"/>
        </w:rPr>
        <w:noBreakHyphen/>
      </w:r>
      <w:r w:rsidRPr="00F32187">
        <w:rPr>
          <w:lang w:val="fr-FR"/>
        </w:rPr>
        <w:t>delà de l</w:t>
      </w:r>
      <w:r w:rsidR="00535418" w:rsidRPr="00F32187">
        <w:rPr>
          <w:lang w:val="fr-FR"/>
        </w:rPr>
        <w:t>’</w:t>
      </w:r>
      <w:r w:rsidRPr="00F32187">
        <w:rPr>
          <w:lang w:val="fr-FR"/>
        </w:rPr>
        <w:t>efficacité de mise en œuvre et à examiner les incidences à long terme dans différents contextes nationaux (</w:t>
      </w:r>
      <w:r w:rsidRPr="00F32187">
        <w:rPr>
          <w:lang w:val="fr-FR"/>
        </w:rPr>
        <w:fldChar w:fldCharType="begin"/>
      </w:r>
      <w:r w:rsidRPr="00F32187">
        <w:rPr>
          <w:lang w:val="fr-FR"/>
        </w:rPr>
        <w:instrText xml:space="preserve"> REF _Ref138068837 \h </w:instrText>
      </w:r>
      <w:r w:rsidRPr="00F32187">
        <w:rPr>
          <w:lang w:val="fr-FR"/>
        </w:rPr>
      </w:r>
      <w:r w:rsidRPr="00F32187">
        <w:rPr>
          <w:lang w:val="fr-FR"/>
        </w:rPr>
        <w:fldChar w:fldCharType="separate"/>
      </w:r>
      <w:r w:rsidR="0094636A" w:rsidRPr="00F32187">
        <w:rPr>
          <w:lang w:val="fr-FR"/>
        </w:rPr>
        <w:t xml:space="preserve">Encadré </w:t>
      </w:r>
      <w:r w:rsidR="0094636A">
        <w:rPr>
          <w:noProof/>
          <w:lang w:val="fr-FR"/>
        </w:rPr>
        <w:t>3</w:t>
      </w:r>
      <w:r w:rsidRPr="00F32187">
        <w:rPr>
          <w:lang w:val="fr-FR"/>
        </w:rPr>
        <w:fldChar w:fldCharType="end"/>
      </w:r>
      <w:r w:rsidRPr="00F32187">
        <w:rPr>
          <w:lang w:val="fr-FR"/>
        </w:rPr>
        <w:t>).</w:t>
      </w:r>
    </w:p>
    <w:p w14:paraId="7B7A3D32" w14:textId="73351D29" w:rsidR="00E045F1" w:rsidRPr="00F32187" w:rsidRDefault="00E045F1" w:rsidP="00A26EB3">
      <w:pPr>
        <w:pStyle w:val="Caption"/>
        <w:keepNext/>
        <w:spacing w:after="120"/>
        <w:rPr>
          <w:lang w:val="fr-FR"/>
        </w:rPr>
      </w:pPr>
      <w:bookmarkStart w:id="32" w:name="_Ref138068837"/>
      <w:r w:rsidRPr="00F32187">
        <w:rPr>
          <w:lang w:val="fr-FR"/>
        </w:rPr>
        <w:lastRenderedPageBreak/>
        <w:t xml:space="preserve">Encadré </w:t>
      </w:r>
      <w:r w:rsidRPr="00F32187">
        <w:rPr>
          <w:lang w:val="fr-FR"/>
        </w:rPr>
        <w:fldChar w:fldCharType="begin"/>
      </w:r>
      <w:r w:rsidRPr="00F32187">
        <w:rPr>
          <w:lang w:val="fr-FR"/>
        </w:rPr>
        <w:instrText xml:space="preserve"> SEQ Text_Box \* ARABIC </w:instrText>
      </w:r>
      <w:r w:rsidRPr="00F32187">
        <w:rPr>
          <w:lang w:val="fr-FR"/>
        </w:rPr>
        <w:fldChar w:fldCharType="separate"/>
      </w:r>
      <w:r w:rsidR="0094636A">
        <w:rPr>
          <w:noProof/>
          <w:lang w:val="fr-FR"/>
        </w:rPr>
        <w:t>3</w:t>
      </w:r>
      <w:r w:rsidRPr="00F32187">
        <w:rPr>
          <w:lang w:val="fr-FR"/>
        </w:rPr>
        <w:fldChar w:fldCharType="end"/>
      </w:r>
      <w:bookmarkEnd w:id="32"/>
      <w:r w:rsidR="00535418" w:rsidRPr="00F32187">
        <w:rPr>
          <w:lang w:val="fr-FR"/>
        </w:rPr>
        <w:t> :</w:t>
      </w:r>
      <w:r w:rsidRPr="00F32187">
        <w:rPr>
          <w:lang w:val="fr-FR"/>
        </w:rPr>
        <w:t xml:space="preserve"> Explication de la terminologie</w:t>
      </w:r>
    </w:p>
    <w:tbl>
      <w:tblPr>
        <w:tblStyle w:val="TableGrid"/>
        <w:tblW w:w="0" w:type="auto"/>
        <w:tblLook w:val="04A0" w:firstRow="1" w:lastRow="0" w:firstColumn="1" w:lastColumn="0" w:noHBand="0" w:noVBand="1"/>
        <w:tblCaption w:val="Encadré 3 : Explication de la terminologie"/>
        <w:tblDescription w:val="IConformément au mandat de l’évaluation, celle ci adopte les définitions suivantes des incidences :&#10;Incidences secondaires : aspirations de haut niveau des responsables de la mise en œuvre du projet et des parties prenantes (l’“étoile polaire” du projet).&#10;Incidences primaires : le plafond de responsabilité du projet tient compte du fait que les activités et les résultats escomptés sont axés sur la recherche.  Les incidences primaires sont celles auxquelles le projet peut plausiblement contribuer mais ne peut pas générer directement à lui seul.&#10;"/>
      </w:tblPr>
      <w:tblGrid>
        <w:gridCol w:w="9345"/>
      </w:tblGrid>
      <w:tr w:rsidR="00E045F1" w:rsidRPr="00F32187" w14:paraId="7A23EA82" w14:textId="77777777" w:rsidTr="0073566D">
        <w:trPr>
          <w:tblHeader/>
        </w:trPr>
        <w:tc>
          <w:tcPr>
            <w:tcW w:w="9345" w:type="dxa"/>
            <w:shd w:val="clear" w:color="auto" w:fill="DAEEF3" w:themeFill="accent5" w:themeFillTint="33"/>
          </w:tcPr>
          <w:p w14:paraId="1B8AA186" w14:textId="33EB8B44" w:rsidR="00E045F1" w:rsidRPr="00F32187" w:rsidRDefault="00E045F1" w:rsidP="0073566D">
            <w:pPr>
              <w:pStyle w:val="ONUMFS"/>
              <w:numPr>
                <w:ilvl w:val="0"/>
                <w:numId w:val="0"/>
              </w:numPr>
              <w:rPr>
                <w:lang w:val="fr-FR"/>
              </w:rPr>
            </w:pPr>
            <w:r w:rsidRPr="00F32187">
              <w:rPr>
                <w:lang w:val="fr-FR"/>
              </w:rPr>
              <w:t>Conformément au mandat de l</w:t>
            </w:r>
            <w:r w:rsidR="00535418" w:rsidRPr="00F32187">
              <w:rPr>
                <w:lang w:val="fr-FR"/>
              </w:rPr>
              <w:t>’</w:t>
            </w:r>
            <w:r w:rsidRPr="00F32187">
              <w:rPr>
                <w:lang w:val="fr-FR"/>
              </w:rPr>
              <w:t>évaluation, celle</w:t>
            </w:r>
            <w:r w:rsidR="00444006">
              <w:rPr>
                <w:lang w:val="fr-FR"/>
              </w:rPr>
              <w:noBreakHyphen/>
            </w:r>
            <w:r w:rsidRPr="00F32187">
              <w:rPr>
                <w:lang w:val="fr-FR"/>
              </w:rPr>
              <w:t>ci adopte les définitions suivantes des incidences</w:t>
            </w:r>
            <w:r w:rsidR="00535418" w:rsidRPr="00F32187">
              <w:rPr>
                <w:lang w:val="fr-FR"/>
              </w:rPr>
              <w:t> :</w:t>
            </w:r>
          </w:p>
          <w:p w14:paraId="30635CFC" w14:textId="3210A5C2" w:rsidR="00E045F1" w:rsidRPr="00F32187" w:rsidRDefault="00E045F1" w:rsidP="0073566D">
            <w:pPr>
              <w:pStyle w:val="ONUMFS"/>
              <w:numPr>
                <w:ilvl w:val="0"/>
                <w:numId w:val="0"/>
              </w:numPr>
              <w:rPr>
                <w:lang w:val="fr-FR"/>
              </w:rPr>
            </w:pPr>
            <w:r w:rsidRPr="00F32187">
              <w:rPr>
                <w:b/>
                <w:bCs/>
                <w:i/>
                <w:iCs/>
                <w:lang w:val="fr-FR"/>
              </w:rPr>
              <w:t>Incidences secondaires</w:t>
            </w:r>
            <w:r w:rsidR="00535418" w:rsidRPr="00F32187">
              <w:rPr>
                <w:lang w:val="fr-FR"/>
              </w:rPr>
              <w:t> :</w:t>
            </w:r>
            <w:r w:rsidRPr="00F32187">
              <w:rPr>
                <w:lang w:val="fr-FR"/>
              </w:rPr>
              <w:t xml:space="preserve"> aspirations de haut niveau des responsables de la mise en œuvre du projet et des parties prenantes (l</w:t>
            </w:r>
            <w:r w:rsidR="00535418" w:rsidRPr="00F32187">
              <w:rPr>
                <w:lang w:val="fr-FR"/>
              </w:rPr>
              <w:t>’</w:t>
            </w:r>
            <w:r w:rsidRPr="00F32187">
              <w:rPr>
                <w:lang w:val="fr-FR"/>
              </w:rPr>
              <w:t>“étoile polaire” du projet).</w:t>
            </w:r>
          </w:p>
          <w:p w14:paraId="6EF2F813" w14:textId="652BC35F" w:rsidR="00E045F1" w:rsidRPr="00F32187" w:rsidRDefault="00E045F1" w:rsidP="0073566D">
            <w:pPr>
              <w:pStyle w:val="ONUMFS"/>
              <w:numPr>
                <w:ilvl w:val="0"/>
                <w:numId w:val="0"/>
              </w:numPr>
              <w:rPr>
                <w:lang w:val="fr-FR"/>
              </w:rPr>
            </w:pPr>
            <w:r w:rsidRPr="00F32187">
              <w:rPr>
                <w:b/>
                <w:bCs/>
                <w:i/>
                <w:iCs/>
                <w:lang w:val="fr-FR"/>
              </w:rPr>
              <w:t>Incidences primaires</w:t>
            </w:r>
            <w:r w:rsidR="00535418" w:rsidRPr="00F32187">
              <w:rPr>
                <w:lang w:val="fr-FR"/>
              </w:rPr>
              <w:t> :</w:t>
            </w:r>
            <w:r w:rsidRPr="00F32187">
              <w:rPr>
                <w:lang w:val="fr-FR"/>
              </w:rPr>
              <w:t xml:space="preserve"> le plafond de responsabilité du projet tient compte du fait que les activités et les résultats escomptés sont axés sur la recherc</w:t>
            </w:r>
            <w:r w:rsidR="00F32187" w:rsidRPr="00F32187">
              <w:rPr>
                <w:lang w:val="fr-FR"/>
              </w:rPr>
              <w:t>he.  Le</w:t>
            </w:r>
            <w:r w:rsidRPr="00F32187">
              <w:rPr>
                <w:lang w:val="fr-FR"/>
              </w:rPr>
              <w:t>s incidences primaires sont celles auxquelles le projet peut plausiblement contribuer mais ne peut pas générer directement à lui seul.</w:t>
            </w:r>
          </w:p>
        </w:tc>
      </w:tr>
    </w:tbl>
    <w:p w14:paraId="4EE875EF" w14:textId="33DC2E19" w:rsidR="00E045F1" w:rsidRPr="00F32187" w:rsidRDefault="00E045F1" w:rsidP="00E045F1">
      <w:pPr>
        <w:pStyle w:val="ONUMFS"/>
        <w:spacing w:before="220"/>
        <w:rPr>
          <w:lang w:val="fr-FR"/>
        </w:rPr>
      </w:pPr>
      <w:r w:rsidRPr="00F32187">
        <w:rPr>
          <w:lang w:val="fr-FR"/>
        </w:rPr>
        <w:t>L</w:t>
      </w:r>
      <w:r w:rsidR="00535418" w:rsidRPr="00F32187">
        <w:rPr>
          <w:lang w:val="fr-FR"/>
        </w:rPr>
        <w:t>’</w:t>
      </w:r>
      <w:r w:rsidRPr="00F32187">
        <w:rPr>
          <w:lang w:val="fr-FR"/>
        </w:rPr>
        <w:t>évaluation répond à trois</w:t>
      </w:r>
      <w:r w:rsidR="00B37BEF" w:rsidRPr="00F32187">
        <w:rPr>
          <w:lang w:val="fr-FR"/>
        </w:rPr>
        <w:t> </w:t>
      </w:r>
      <w:r w:rsidRPr="00F32187">
        <w:rPr>
          <w:lang w:val="fr-FR"/>
        </w:rPr>
        <w:t>objectifs spécifiques</w:t>
      </w:r>
      <w:r w:rsidR="00535418" w:rsidRPr="00F32187">
        <w:rPr>
          <w:lang w:val="fr-FR"/>
        </w:rPr>
        <w:t> :</w:t>
      </w:r>
    </w:p>
    <w:p w14:paraId="470143A4" w14:textId="20E14D46" w:rsidR="00E045F1" w:rsidRPr="00F32187" w:rsidRDefault="00E045F1" w:rsidP="00E045F1">
      <w:pPr>
        <w:pStyle w:val="ONUMFS"/>
        <w:numPr>
          <w:ilvl w:val="0"/>
          <w:numId w:val="10"/>
        </w:numPr>
        <w:spacing w:after="0"/>
        <w:rPr>
          <w:lang w:val="fr-FR"/>
        </w:rPr>
      </w:pPr>
      <w:proofErr w:type="gramStart"/>
      <w:r w:rsidRPr="00F32187">
        <w:rPr>
          <w:lang w:val="fr-FR"/>
        </w:rPr>
        <w:t>fournir</w:t>
      </w:r>
      <w:proofErr w:type="gramEnd"/>
      <w:r w:rsidRPr="00F32187">
        <w:rPr>
          <w:lang w:val="fr-FR"/>
        </w:rPr>
        <w:t xml:space="preserve"> des preuves d</w:t>
      </w:r>
      <w:r w:rsidR="00535418" w:rsidRPr="00F32187">
        <w:rPr>
          <w:lang w:val="fr-FR"/>
        </w:rPr>
        <w:t>’</w:t>
      </w:r>
      <w:r w:rsidRPr="00F32187">
        <w:rPr>
          <w:lang w:val="fr-FR"/>
        </w:rPr>
        <w:t>impact au cours des deux</w:t>
      </w:r>
      <w:r w:rsidR="00B37BEF" w:rsidRPr="00F32187">
        <w:rPr>
          <w:lang w:val="fr-FR"/>
        </w:rPr>
        <w:t> </w:t>
      </w:r>
      <w:r w:rsidRPr="00F32187">
        <w:rPr>
          <w:lang w:val="fr-FR"/>
        </w:rPr>
        <w:t>phases de mise en œuvre du projet;</w:t>
      </w:r>
    </w:p>
    <w:p w14:paraId="168CC10C" w14:textId="7DF855B8" w:rsidR="00E045F1" w:rsidRPr="00F32187" w:rsidRDefault="00E045F1" w:rsidP="00E045F1">
      <w:pPr>
        <w:pStyle w:val="ONUMFS"/>
        <w:numPr>
          <w:ilvl w:val="0"/>
          <w:numId w:val="10"/>
        </w:numPr>
        <w:spacing w:after="0"/>
        <w:rPr>
          <w:lang w:val="fr-FR"/>
        </w:rPr>
      </w:pPr>
      <w:proofErr w:type="gramStart"/>
      <w:r w:rsidRPr="00F32187">
        <w:rPr>
          <w:lang w:val="fr-FR"/>
        </w:rPr>
        <w:t>fournir</w:t>
      </w:r>
      <w:proofErr w:type="gramEnd"/>
      <w:r w:rsidRPr="00F32187">
        <w:rPr>
          <w:lang w:val="fr-FR"/>
        </w:rPr>
        <w:t xml:space="preserve"> des données d</w:t>
      </w:r>
      <w:r w:rsidR="00535418" w:rsidRPr="00F32187">
        <w:rPr>
          <w:lang w:val="fr-FR"/>
        </w:rPr>
        <w:t>’</w:t>
      </w:r>
      <w:r w:rsidRPr="00F32187">
        <w:rPr>
          <w:lang w:val="fr-FR"/>
        </w:rPr>
        <w:t>évaluation et des apprentissages généralisés destinés à éclairer les projets en cours et futurs aux objectifs de haut niveau similaires, au sein et en dehors de l</w:t>
      </w:r>
      <w:r w:rsidR="00535418" w:rsidRPr="00F32187">
        <w:rPr>
          <w:lang w:val="fr-FR"/>
        </w:rPr>
        <w:t>’</w:t>
      </w:r>
      <w:r w:rsidRPr="00F32187">
        <w:rPr>
          <w:lang w:val="fr-FR"/>
        </w:rPr>
        <w:t>OMPI;</w:t>
      </w:r>
    </w:p>
    <w:p w14:paraId="30D6B45D" w14:textId="7E5E483F" w:rsidR="00E045F1" w:rsidRPr="00F32187" w:rsidRDefault="00E045F1" w:rsidP="00E045F1">
      <w:pPr>
        <w:pStyle w:val="ONUMFS"/>
        <w:numPr>
          <w:ilvl w:val="0"/>
          <w:numId w:val="10"/>
        </w:numPr>
        <w:spacing w:after="0"/>
        <w:rPr>
          <w:lang w:val="fr-FR"/>
        </w:rPr>
      </w:pPr>
      <w:proofErr w:type="gramStart"/>
      <w:r w:rsidRPr="00F32187">
        <w:rPr>
          <w:lang w:val="fr-FR"/>
        </w:rPr>
        <w:t>justifier</w:t>
      </w:r>
      <w:proofErr w:type="gramEnd"/>
      <w:r w:rsidRPr="00F32187">
        <w:rPr>
          <w:lang w:val="fr-FR"/>
        </w:rPr>
        <w:t xml:space="preserve"> le projet auprès des États </w:t>
      </w:r>
      <w:r w:rsidR="00B37BEF" w:rsidRPr="00F32187">
        <w:rPr>
          <w:lang w:val="fr-FR"/>
        </w:rPr>
        <w:t>membres</w:t>
      </w:r>
      <w:r w:rsidRPr="00F32187">
        <w:rPr>
          <w:lang w:val="fr-FR"/>
        </w:rPr>
        <w:t xml:space="preserve"> siégeant</w:t>
      </w:r>
      <w:r w:rsidR="00535418" w:rsidRPr="00F32187">
        <w:rPr>
          <w:lang w:val="fr-FR"/>
        </w:rPr>
        <w:t xml:space="preserve"> au CDI</w:t>
      </w:r>
      <w:r w:rsidRPr="00F32187">
        <w:rPr>
          <w:lang w:val="fr-FR"/>
        </w:rPr>
        <w:t>P concernant son impact à long terme.</w:t>
      </w:r>
    </w:p>
    <w:p w14:paraId="37D226CE" w14:textId="0EABFB27" w:rsidR="00E045F1" w:rsidRPr="00F32187" w:rsidRDefault="00A26EB3" w:rsidP="00A26EB3">
      <w:pPr>
        <w:pStyle w:val="Heading1"/>
        <w:numPr>
          <w:ilvl w:val="0"/>
          <w:numId w:val="7"/>
        </w:numPr>
      </w:pPr>
      <w:bookmarkStart w:id="33" w:name="_Toc140224974"/>
      <w:bookmarkStart w:id="34" w:name="_Toc145933441"/>
      <w:bookmarkStart w:id="35" w:name="_Toc146025101"/>
      <w:r>
        <w:t>P</w:t>
      </w:r>
      <w:r w:rsidRPr="00F32187">
        <w:t>rincipales limites de l’évaluation</w:t>
      </w:r>
      <w:bookmarkEnd w:id="33"/>
      <w:bookmarkEnd w:id="34"/>
      <w:bookmarkEnd w:id="35"/>
    </w:p>
    <w:p w14:paraId="14279092" w14:textId="30464592" w:rsidR="00E045F1" w:rsidRPr="00F32187" w:rsidRDefault="00E045F1" w:rsidP="00E045F1">
      <w:pPr>
        <w:pStyle w:val="ONUMFS"/>
        <w:rPr>
          <w:lang w:val="fr-FR"/>
        </w:rPr>
      </w:pPr>
      <w:r w:rsidRPr="00F32187">
        <w:rPr>
          <w:lang w:val="fr-FR"/>
        </w:rPr>
        <w:t>L</w:t>
      </w:r>
      <w:r w:rsidR="00535418" w:rsidRPr="00F32187">
        <w:rPr>
          <w:lang w:val="fr-FR"/>
        </w:rPr>
        <w:t>’</w:t>
      </w:r>
      <w:r w:rsidRPr="00F32187">
        <w:rPr>
          <w:lang w:val="fr-FR"/>
        </w:rPr>
        <w:t>évaluation a été réalisée environ cinq</w:t>
      </w:r>
      <w:r w:rsidR="00B37BEF" w:rsidRPr="00F32187">
        <w:rPr>
          <w:lang w:val="fr-FR"/>
        </w:rPr>
        <w:t> </w:t>
      </w:r>
      <w:r w:rsidRPr="00F32187">
        <w:rPr>
          <w:lang w:val="fr-FR"/>
        </w:rPr>
        <w:t>ans après la fin de la phase II du projet (et huit</w:t>
      </w:r>
      <w:r w:rsidR="00B37BEF" w:rsidRPr="00F32187">
        <w:rPr>
          <w:lang w:val="fr-FR"/>
        </w:rPr>
        <w:t> </w:t>
      </w:r>
      <w:r w:rsidRPr="00F32187">
        <w:rPr>
          <w:lang w:val="fr-FR"/>
        </w:rPr>
        <w:t>ans après la fin de la phase I).  Le contexte de mise en œuvre du projet était complexe (</w:t>
      </w:r>
      <w:r w:rsidRPr="00F32187">
        <w:rPr>
          <w:lang w:val="fr-FR"/>
        </w:rPr>
        <w:fldChar w:fldCharType="begin"/>
      </w:r>
      <w:r w:rsidRPr="00F32187">
        <w:rPr>
          <w:lang w:val="fr-FR"/>
        </w:rPr>
        <w:instrText xml:space="preserve"> REF _Ref139965333 \h </w:instrText>
      </w:r>
      <w:r w:rsidRPr="00F32187">
        <w:rPr>
          <w:lang w:val="fr-FR"/>
        </w:rPr>
      </w:r>
      <w:r w:rsidRPr="00F32187">
        <w:rPr>
          <w:lang w:val="fr-FR"/>
        </w:rPr>
        <w:fldChar w:fldCharType="separate"/>
      </w:r>
      <w:r w:rsidR="0094636A" w:rsidRPr="00F32187">
        <w:rPr>
          <w:lang w:val="fr-FR"/>
        </w:rPr>
        <w:t xml:space="preserve">Encadré </w:t>
      </w:r>
      <w:r w:rsidR="0094636A">
        <w:rPr>
          <w:noProof/>
          <w:lang w:val="fr-FR"/>
        </w:rPr>
        <w:t>4</w:t>
      </w:r>
      <w:r w:rsidRPr="00F32187">
        <w:rPr>
          <w:lang w:val="fr-FR"/>
        </w:rPr>
        <w:fldChar w:fldCharType="end"/>
      </w:r>
      <w:r w:rsidRPr="00F32187">
        <w:rPr>
          <w:lang w:val="fr-FR"/>
        </w:rPr>
        <w:t>), et la collecte des données était limitée en raison de contraintes temporelles et budgétair</w:t>
      </w:r>
      <w:r w:rsidR="00F32187" w:rsidRPr="00F32187">
        <w:rPr>
          <w:lang w:val="fr-FR"/>
        </w:rPr>
        <w:t>es.  La</w:t>
      </w:r>
      <w:r w:rsidRPr="00F32187">
        <w:rPr>
          <w:lang w:val="fr-FR"/>
        </w:rPr>
        <w:t xml:space="preserve"> conjugaison de ces facteurs engendre des difficultés pour l</w:t>
      </w:r>
      <w:r w:rsidR="00535418" w:rsidRPr="00F32187">
        <w:rPr>
          <w:lang w:val="fr-FR"/>
        </w:rPr>
        <w:t>’</w:t>
      </w:r>
      <w:r w:rsidRPr="00F32187">
        <w:rPr>
          <w:lang w:val="fr-FR"/>
        </w:rPr>
        <w:t>évaluation</w:t>
      </w:r>
      <w:r w:rsidR="00535418" w:rsidRPr="00F32187">
        <w:rPr>
          <w:lang w:val="fr-FR"/>
        </w:rPr>
        <w:t> :</w:t>
      </w:r>
    </w:p>
    <w:p w14:paraId="4CE1DB73" w14:textId="7B8D02FC" w:rsidR="00E045F1" w:rsidRPr="00F32187" w:rsidRDefault="00E045F1" w:rsidP="00A26EB3">
      <w:pPr>
        <w:pStyle w:val="ONUMFS"/>
        <w:numPr>
          <w:ilvl w:val="0"/>
          <w:numId w:val="11"/>
        </w:numPr>
        <w:ind w:left="1134" w:hanging="567"/>
        <w:rPr>
          <w:lang w:val="fr-FR"/>
        </w:rPr>
      </w:pPr>
      <w:r w:rsidRPr="00F32187">
        <w:rPr>
          <w:lang w:val="fr-FR"/>
        </w:rPr>
        <w:t>La rotation du personnel, les départs à la retraite, et la réticence du personnel qui n</w:t>
      </w:r>
      <w:r w:rsidR="00535418" w:rsidRPr="00F32187">
        <w:rPr>
          <w:lang w:val="fr-FR"/>
        </w:rPr>
        <w:t>’</w:t>
      </w:r>
      <w:r w:rsidRPr="00F32187">
        <w:rPr>
          <w:lang w:val="fr-FR"/>
        </w:rPr>
        <w:t>est plus affecté au projet à répondre aux questions d</w:t>
      </w:r>
      <w:r w:rsidR="00535418" w:rsidRPr="00F32187">
        <w:rPr>
          <w:lang w:val="fr-FR"/>
        </w:rPr>
        <w:t>’</w:t>
      </w:r>
      <w:r w:rsidRPr="00F32187">
        <w:rPr>
          <w:lang w:val="fr-FR"/>
        </w:rPr>
        <w:t>évaluation ont limité le nombre potentiel de parties prenantes aux personnes disponibles et disposées à participer à un entretien.</w:t>
      </w:r>
    </w:p>
    <w:p w14:paraId="0FAC9D47" w14:textId="3B047CC2" w:rsidR="00E045F1" w:rsidRPr="00F32187" w:rsidRDefault="00E045F1" w:rsidP="00A26EB3">
      <w:pPr>
        <w:pStyle w:val="ONUMFS"/>
        <w:numPr>
          <w:ilvl w:val="0"/>
          <w:numId w:val="11"/>
        </w:numPr>
        <w:ind w:left="1134" w:hanging="567"/>
        <w:rPr>
          <w:lang w:val="fr-FR"/>
        </w:rPr>
      </w:pPr>
      <w:r w:rsidRPr="00F32187">
        <w:rPr>
          <w:lang w:val="fr-FR"/>
        </w:rPr>
        <w:t>En raison de contraintes temporelles et budgétaires, l</w:t>
      </w:r>
      <w:r w:rsidR="00535418" w:rsidRPr="00F32187">
        <w:rPr>
          <w:lang w:val="fr-FR"/>
        </w:rPr>
        <w:t>’</w:t>
      </w:r>
      <w:r w:rsidRPr="00F32187">
        <w:rPr>
          <w:lang w:val="fr-FR"/>
        </w:rPr>
        <w:t>évaluation s</w:t>
      </w:r>
      <w:r w:rsidR="00535418" w:rsidRPr="00F32187">
        <w:rPr>
          <w:lang w:val="fr-FR"/>
        </w:rPr>
        <w:t>’</w:t>
      </w:r>
      <w:r w:rsidRPr="00F32187">
        <w:rPr>
          <w:lang w:val="fr-FR"/>
        </w:rPr>
        <w:t>est limitée à deux</w:t>
      </w:r>
      <w:r w:rsidR="00B37BEF" w:rsidRPr="00F32187">
        <w:rPr>
          <w:lang w:val="fr-FR"/>
        </w:rPr>
        <w:t> </w:t>
      </w:r>
      <w:r w:rsidRPr="00F32187">
        <w:rPr>
          <w:lang w:val="fr-FR"/>
        </w:rPr>
        <w:t>études de c</w:t>
      </w:r>
      <w:r w:rsidR="00F32187" w:rsidRPr="00F32187">
        <w:rPr>
          <w:lang w:val="fr-FR"/>
        </w:rPr>
        <w:t>as.  Au</w:t>
      </w:r>
      <w:r w:rsidRPr="00F32187">
        <w:rPr>
          <w:lang w:val="fr-FR"/>
        </w:rPr>
        <w:t xml:space="preserve"> moment de choisir celles</w:t>
      </w:r>
      <w:r w:rsidR="00444006">
        <w:rPr>
          <w:lang w:val="fr-FR"/>
        </w:rPr>
        <w:noBreakHyphen/>
      </w:r>
      <w:r w:rsidRPr="00F32187">
        <w:rPr>
          <w:lang w:val="fr-FR"/>
        </w:rPr>
        <w:t>ci, la préférence a été accordée à celles qui étaient le plus susceptibles de refléter des changements positi</w:t>
      </w:r>
      <w:r w:rsidR="00F32187" w:rsidRPr="00F32187">
        <w:rPr>
          <w:lang w:val="fr-FR"/>
        </w:rPr>
        <w:t>fs.  Il</w:t>
      </w:r>
      <w:r w:rsidRPr="00F32187">
        <w:rPr>
          <w:lang w:val="fr-FR"/>
        </w:rPr>
        <w:t xml:space="preserve"> est donc possible que les études de cas ne soient pas représentatives des pays bénéficiaires de manière générale.</w:t>
      </w:r>
    </w:p>
    <w:p w14:paraId="6C1A5FBE" w14:textId="72694D21" w:rsidR="00E045F1" w:rsidRPr="00F32187" w:rsidRDefault="00E045F1" w:rsidP="00A26EB3">
      <w:pPr>
        <w:pStyle w:val="ONUMFS"/>
        <w:numPr>
          <w:ilvl w:val="0"/>
          <w:numId w:val="11"/>
        </w:numPr>
        <w:ind w:left="1134" w:hanging="567"/>
        <w:rPr>
          <w:lang w:val="fr-FR"/>
        </w:rPr>
      </w:pPr>
      <w:r w:rsidRPr="00F32187">
        <w:rPr>
          <w:lang w:val="fr-FR"/>
        </w:rPr>
        <w:t>Aucune visite de terrain n</w:t>
      </w:r>
      <w:r w:rsidR="00535418" w:rsidRPr="00F32187">
        <w:rPr>
          <w:lang w:val="fr-FR"/>
        </w:rPr>
        <w:t>’</w:t>
      </w:r>
      <w:r w:rsidRPr="00F32187">
        <w:rPr>
          <w:lang w:val="fr-FR"/>
        </w:rPr>
        <w:t>a été effectu</w:t>
      </w:r>
      <w:r w:rsidR="00F32187" w:rsidRPr="00F32187">
        <w:rPr>
          <w:lang w:val="fr-FR"/>
        </w:rPr>
        <w:t>ée.  La</w:t>
      </w:r>
      <w:r w:rsidRPr="00F32187">
        <w:rPr>
          <w:lang w:val="fr-FR"/>
        </w:rPr>
        <w:t xml:space="preserve"> collecte des données s</w:t>
      </w:r>
      <w:r w:rsidR="00535418" w:rsidRPr="00F32187">
        <w:rPr>
          <w:lang w:val="fr-FR"/>
        </w:rPr>
        <w:t>’</w:t>
      </w:r>
      <w:r w:rsidRPr="00F32187">
        <w:rPr>
          <w:lang w:val="fr-FR"/>
        </w:rPr>
        <w:t>est limitée aux parties prenantes connues, sans inclure un éventail plus large de parties prenantes susceptibles d</w:t>
      </w:r>
      <w:r w:rsidR="00535418" w:rsidRPr="00F32187">
        <w:rPr>
          <w:lang w:val="fr-FR"/>
        </w:rPr>
        <w:t>’</w:t>
      </w:r>
      <w:r w:rsidRPr="00F32187">
        <w:rPr>
          <w:lang w:val="fr-FR"/>
        </w:rPr>
        <w:t>avoir recensé des incidences ou de les avoir expliquées de manière plus détaillée.</w:t>
      </w:r>
    </w:p>
    <w:p w14:paraId="4AD7E9A5" w14:textId="610874A2" w:rsidR="00E045F1" w:rsidRPr="00F32187" w:rsidRDefault="00E045F1" w:rsidP="00A26EB3">
      <w:pPr>
        <w:pStyle w:val="ONUMFS"/>
        <w:numPr>
          <w:ilvl w:val="0"/>
          <w:numId w:val="11"/>
        </w:numPr>
        <w:spacing w:after="0"/>
        <w:ind w:left="1134" w:hanging="567"/>
        <w:rPr>
          <w:lang w:val="fr-FR"/>
        </w:rPr>
      </w:pPr>
      <w:r w:rsidRPr="00F32187">
        <w:rPr>
          <w:lang w:val="fr-FR"/>
        </w:rPr>
        <w:t>Une enquête en ligne a été envoyée aux parties prenantes en trois</w:t>
      </w:r>
      <w:r w:rsidR="00B37BEF" w:rsidRPr="00F32187">
        <w:rPr>
          <w:lang w:val="fr-FR"/>
        </w:rPr>
        <w:t> </w:t>
      </w:r>
      <w:r w:rsidRPr="00F32187">
        <w:rPr>
          <w:lang w:val="fr-FR"/>
        </w:rPr>
        <w:t>langues (français, anglais et espagn</w:t>
      </w:r>
      <w:r w:rsidR="00F32187" w:rsidRPr="00F32187">
        <w:rPr>
          <w:lang w:val="fr-FR"/>
        </w:rPr>
        <w:t>ol).  De</w:t>
      </w:r>
      <w:r w:rsidRPr="00F32187">
        <w:rPr>
          <w:lang w:val="fr-FR"/>
        </w:rPr>
        <w:t>ux</w:t>
      </w:r>
      <w:r w:rsidR="00B37BEF" w:rsidRPr="00F32187">
        <w:rPr>
          <w:lang w:val="fr-FR"/>
        </w:rPr>
        <w:t> </w:t>
      </w:r>
      <w:r w:rsidRPr="00F32187">
        <w:rPr>
          <w:lang w:val="fr-FR"/>
        </w:rPr>
        <w:t>rappels leur ont été adressés les invitant à répondre au questionnaire dans un intervalle de deux</w:t>
      </w:r>
      <w:r w:rsidR="00B37BEF" w:rsidRPr="00F32187">
        <w:rPr>
          <w:lang w:val="fr-FR"/>
        </w:rPr>
        <w:t> </w:t>
      </w:r>
      <w:r w:rsidRPr="00F32187">
        <w:rPr>
          <w:lang w:val="fr-FR"/>
        </w:rPr>
        <w:t>semaines (du 21 juin au 7 juill</w:t>
      </w:r>
      <w:r w:rsidR="00F32187" w:rsidRPr="00F32187">
        <w:rPr>
          <w:lang w:val="fr-FR"/>
        </w:rPr>
        <w:t>et).  Au</w:t>
      </w:r>
      <w:r w:rsidRPr="00F32187">
        <w:rPr>
          <w:lang w:val="fr-FR"/>
        </w:rPr>
        <w:t xml:space="preserve"> total, 23 parties prenantes ont participé à l</w:t>
      </w:r>
      <w:r w:rsidR="00535418" w:rsidRPr="00F32187">
        <w:rPr>
          <w:lang w:val="fr-FR"/>
        </w:rPr>
        <w:t>’</w:t>
      </w:r>
      <w:r w:rsidRPr="00F32187">
        <w:rPr>
          <w:lang w:val="fr-FR"/>
        </w:rPr>
        <w:t>enquête, comme on peut le voir à l</w:t>
      </w:r>
      <w:r w:rsidR="00535418" w:rsidRPr="00F32187">
        <w:rPr>
          <w:lang w:val="fr-FR"/>
        </w:rPr>
        <w:t>’</w:t>
      </w:r>
      <w:r w:rsidRPr="00F32187">
        <w:rPr>
          <w:lang w:val="fr-FR"/>
        </w:rPr>
        <w:t>appendice V.</w:t>
      </w:r>
    </w:p>
    <w:p w14:paraId="582B2EE4" w14:textId="4475A5E3" w:rsidR="00E045F1" w:rsidRPr="00F32187" w:rsidRDefault="00A26EB3" w:rsidP="00A26EB3">
      <w:pPr>
        <w:pStyle w:val="Heading1"/>
        <w:numPr>
          <w:ilvl w:val="0"/>
          <w:numId w:val="7"/>
        </w:numPr>
      </w:pPr>
      <w:bookmarkStart w:id="36" w:name="_Toc140224975"/>
      <w:bookmarkStart w:id="37" w:name="_Toc145933442"/>
      <w:bookmarkStart w:id="38" w:name="_Toc146025102"/>
      <w:r>
        <w:lastRenderedPageBreak/>
        <w:t>C</w:t>
      </w:r>
      <w:r w:rsidRPr="00F32187">
        <w:t>onclusions et évaluation</w:t>
      </w:r>
      <w:bookmarkEnd w:id="36"/>
      <w:bookmarkEnd w:id="37"/>
      <w:bookmarkEnd w:id="38"/>
    </w:p>
    <w:p w14:paraId="0BB2B367" w14:textId="6D6059DE" w:rsidR="00E045F1" w:rsidRPr="00F32187" w:rsidRDefault="00E045F1" w:rsidP="00A26EB3">
      <w:pPr>
        <w:pStyle w:val="ONUMFS"/>
        <w:keepNext/>
        <w:spacing w:after="0"/>
        <w:rPr>
          <w:lang w:val="fr-FR"/>
        </w:rPr>
      </w:pPr>
      <w:r w:rsidRPr="00F32187">
        <w:rPr>
          <w:lang w:val="fr-FR"/>
        </w:rPr>
        <w:t>Les conclusions de l</w:t>
      </w:r>
      <w:r w:rsidR="00535418" w:rsidRPr="00F32187">
        <w:rPr>
          <w:lang w:val="fr-FR"/>
        </w:rPr>
        <w:t>’</w:t>
      </w:r>
      <w:r w:rsidRPr="00F32187">
        <w:rPr>
          <w:lang w:val="fr-FR"/>
        </w:rPr>
        <w:t>évaluation sont présentées ci</w:t>
      </w:r>
      <w:r w:rsidR="00444006">
        <w:rPr>
          <w:lang w:val="fr-FR"/>
        </w:rPr>
        <w:noBreakHyphen/>
      </w:r>
      <w:r w:rsidRPr="00F32187">
        <w:rPr>
          <w:lang w:val="fr-FR"/>
        </w:rPr>
        <w:t>après suivant les six</w:t>
      </w:r>
      <w:r w:rsidR="00B37BEF" w:rsidRPr="00F32187">
        <w:rPr>
          <w:lang w:val="fr-FR"/>
        </w:rPr>
        <w:t> </w:t>
      </w:r>
      <w:r w:rsidRPr="00F32187">
        <w:rPr>
          <w:lang w:val="fr-FR"/>
        </w:rPr>
        <w:t>questions d</w:t>
      </w:r>
      <w:r w:rsidR="00535418" w:rsidRPr="00F32187">
        <w:rPr>
          <w:lang w:val="fr-FR"/>
        </w:rPr>
        <w:t>’</w:t>
      </w:r>
      <w:r w:rsidRPr="00F32187">
        <w:rPr>
          <w:lang w:val="fr-FR"/>
        </w:rPr>
        <w:t xml:space="preserve">évaluation figurant dans le </w:t>
      </w:r>
      <w:r w:rsidRPr="00F32187">
        <w:rPr>
          <w:lang w:val="fr-FR"/>
        </w:rPr>
        <w:fldChar w:fldCharType="begin"/>
      </w:r>
      <w:r w:rsidRPr="00F32187">
        <w:rPr>
          <w:lang w:val="fr-FR"/>
        </w:rPr>
        <w:instrText xml:space="preserve"> REF _Ref137113259 \h  \* MERGEFORMAT </w:instrText>
      </w:r>
      <w:r w:rsidRPr="00F32187">
        <w:rPr>
          <w:lang w:val="fr-FR"/>
        </w:rPr>
      </w:r>
      <w:r w:rsidRPr="00F32187">
        <w:rPr>
          <w:lang w:val="fr-FR"/>
        </w:rPr>
        <w:fldChar w:fldCharType="separate"/>
      </w:r>
      <w:r w:rsidR="0094636A" w:rsidRPr="0094636A">
        <w:rPr>
          <w:lang w:val="fr-FR"/>
        </w:rPr>
        <w:t>Tableau</w:t>
      </w:r>
      <w:r w:rsidR="0094636A" w:rsidRPr="00F32187">
        <w:rPr>
          <w:b/>
          <w:bCs/>
          <w:sz w:val="18"/>
          <w:szCs w:val="18"/>
          <w:lang w:val="fr-FR"/>
        </w:rPr>
        <w:t xml:space="preserve"> </w:t>
      </w:r>
      <w:r w:rsidR="0094636A">
        <w:rPr>
          <w:b/>
          <w:bCs/>
          <w:noProof/>
          <w:sz w:val="18"/>
          <w:szCs w:val="18"/>
          <w:lang w:val="fr-FR"/>
        </w:rPr>
        <w:t>2</w:t>
      </w:r>
      <w:r w:rsidRPr="00F32187">
        <w:rPr>
          <w:lang w:val="fr-FR"/>
        </w:rPr>
        <w:fldChar w:fldCharType="end"/>
      </w:r>
      <w:r w:rsidRPr="00F32187">
        <w:rPr>
          <w:lang w:val="fr-FR"/>
        </w:rPr>
        <w:t>.</w:t>
      </w:r>
    </w:p>
    <w:p w14:paraId="61993056" w14:textId="0D1E73D2" w:rsidR="00E045F1" w:rsidRPr="00F32187" w:rsidRDefault="00E045F1" w:rsidP="00A26EB3">
      <w:pPr>
        <w:pStyle w:val="Heading2"/>
        <w:ind w:left="1134" w:hanging="567"/>
      </w:pPr>
      <w:bookmarkStart w:id="39" w:name="_Toc140224976"/>
      <w:bookmarkStart w:id="40" w:name="_Toc145933443"/>
      <w:bookmarkStart w:id="41" w:name="_Toc146025103"/>
      <w:r w:rsidRPr="00F32187">
        <w:t>L</w:t>
      </w:r>
      <w:r w:rsidR="00535418" w:rsidRPr="00F32187">
        <w:t>’</w:t>
      </w:r>
      <w:r w:rsidRPr="00F32187">
        <w:t>approche et les résultats escomptés du projet sont</w:t>
      </w:r>
      <w:r w:rsidR="00444006">
        <w:noBreakHyphen/>
      </w:r>
      <w:r w:rsidRPr="00F32187">
        <w:t xml:space="preserve">ils toujours </w:t>
      </w:r>
      <w:proofErr w:type="gramStart"/>
      <w:r w:rsidRPr="00F32187">
        <w:t>pertinents?</w:t>
      </w:r>
      <w:bookmarkEnd w:id="39"/>
      <w:bookmarkEnd w:id="40"/>
      <w:bookmarkEnd w:id="41"/>
      <w:proofErr w:type="gramEnd"/>
    </w:p>
    <w:p w14:paraId="4CE03CBE" w14:textId="79AA404A" w:rsidR="00E045F1" w:rsidRPr="00F32187" w:rsidRDefault="00E045F1" w:rsidP="00E045F1">
      <w:pPr>
        <w:pStyle w:val="ONUMFS"/>
        <w:rPr>
          <w:lang w:val="fr-FR"/>
        </w:rPr>
      </w:pPr>
      <w:r w:rsidRPr="00F32187">
        <w:rPr>
          <w:lang w:val="fr-FR"/>
        </w:rPr>
        <w:t>Le projet visait à appuyer le développement et la modernisation des offices de propriété intellectuelle des pays bénéficiaires conformément à leurs priorités et stratégies national</w:t>
      </w:r>
      <w:r w:rsidR="00F32187" w:rsidRPr="00F32187">
        <w:rPr>
          <w:lang w:val="fr-FR"/>
        </w:rPr>
        <w:t>es.  Il</w:t>
      </w:r>
      <w:r w:rsidRPr="00F32187">
        <w:rPr>
          <w:lang w:val="fr-FR"/>
        </w:rPr>
        <w:t xml:space="preserve"> ressort des rapports d</w:t>
      </w:r>
      <w:r w:rsidR="00535418" w:rsidRPr="00F32187">
        <w:rPr>
          <w:lang w:val="fr-FR"/>
        </w:rPr>
        <w:t>’</w:t>
      </w:r>
      <w:r w:rsidRPr="00F32187">
        <w:rPr>
          <w:lang w:val="fr-FR"/>
        </w:rPr>
        <w:t>évaluation précédents que les offices de propriété intellectuelle des pays bénéficiaires ont hautement apprécié le projet, qu</w:t>
      </w:r>
      <w:r w:rsidR="00535418" w:rsidRPr="00F32187">
        <w:rPr>
          <w:lang w:val="fr-FR"/>
        </w:rPr>
        <w:t>’</w:t>
      </w:r>
      <w:r w:rsidRPr="00F32187">
        <w:rPr>
          <w:lang w:val="fr-FR"/>
        </w:rPr>
        <w:t xml:space="preserve">ils se sont </w:t>
      </w:r>
      <w:proofErr w:type="gramStart"/>
      <w:r w:rsidRPr="00F32187">
        <w:rPr>
          <w:lang w:val="fr-FR"/>
        </w:rPr>
        <w:t>approprié</w:t>
      </w:r>
      <w:proofErr w:type="gramEnd"/>
      <w:r w:rsidRPr="00F32187">
        <w:rPr>
          <w:lang w:val="fr-FR"/>
        </w:rPr>
        <w:t xml:space="preserve"> et auquel ils ont participé activement tout au long du processus de mise en œuv</w:t>
      </w:r>
      <w:r w:rsidR="00F32187" w:rsidRPr="00F32187">
        <w:rPr>
          <w:lang w:val="fr-FR"/>
        </w:rPr>
        <w:t>re.  Ce</w:t>
      </w:r>
      <w:r w:rsidRPr="00F32187">
        <w:rPr>
          <w:lang w:val="fr-FR"/>
        </w:rPr>
        <w:t>la donne à penser que le projet répondait adéquatement aux besoins et aux objectifs des pays bénéficiaires et était en phase avec leurs politiques et plans en matière de propriété intellectuel</w:t>
      </w:r>
      <w:r w:rsidR="00F32187" w:rsidRPr="00F32187">
        <w:rPr>
          <w:lang w:val="fr-FR"/>
        </w:rPr>
        <w:t>le.  Le</w:t>
      </w:r>
      <w:r w:rsidRPr="00F32187">
        <w:rPr>
          <w:lang w:val="fr-FR"/>
        </w:rPr>
        <w:t>s répondants à l</w:t>
      </w:r>
      <w:r w:rsidR="00535418" w:rsidRPr="00F32187">
        <w:rPr>
          <w:lang w:val="fr-FR"/>
        </w:rPr>
        <w:t>’</w:t>
      </w:r>
      <w:r w:rsidRPr="00F32187">
        <w:rPr>
          <w:lang w:val="fr-FR"/>
        </w:rPr>
        <w:t>enquête et les informateurs clés ont confirmé sans ambiguïté que le projet demeurait pertinent et important (</w:t>
      </w:r>
      <w:r w:rsidRPr="00F32187">
        <w:rPr>
          <w:lang w:val="fr-FR"/>
        </w:rPr>
        <w:fldChar w:fldCharType="begin"/>
      </w:r>
      <w:r w:rsidRPr="00F32187">
        <w:rPr>
          <w:lang w:val="fr-FR"/>
        </w:rPr>
        <w:instrText xml:space="preserve"> REF _Ref138842898 \h </w:instrText>
      </w:r>
      <w:r w:rsidRPr="00F32187">
        <w:rPr>
          <w:lang w:val="fr-FR"/>
        </w:rPr>
      </w:r>
      <w:r w:rsidRPr="00F32187">
        <w:rPr>
          <w:lang w:val="fr-FR"/>
        </w:rPr>
        <w:fldChar w:fldCharType="separate"/>
      </w:r>
      <w:r w:rsidR="0094636A" w:rsidRPr="00F32187">
        <w:rPr>
          <w:lang w:val="fr-FR"/>
        </w:rPr>
        <w:t xml:space="preserve">Figure </w:t>
      </w:r>
      <w:r w:rsidR="0094636A">
        <w:rPr>
          <w:noProof/>
          <w:lang w:val="fr-FR"/>
        </w:rPr>
        <w:t>1</w:t>
      </w:r>
      <w:r w:rsidRPr="00F32187">
        <w:rPr>
          <w:lang w:val="fr-FR"/>
        </w:rPr>
        <w:fldChar w:fldCharType="end"/>
      </w:r>
      <w:r w:rsidRPr="00F32187">
        <w:rPr>
          <w:lang w:val="fr-FR"/>
        </w:rPr>
        <w:t>).  Plus précisément, les parties prenantes estimaient que le projet avait renforcé leur organisation (figure 2).  Elles ont notamment signalé une plus grande réactivité envers elles, de meilleures capacités de recherche, des objectifs davantage axés sur le développement et une priorité accrue accordée aux questions de propriété intellectuelle au sein de leur organisation</w:t>
      </w:r>
      <w:r w:rsidRPr="00F32187">
        <w:rPr>
          <w:rStyle w:val="FootnoteReference"/>
          <w:lang w:val="fr-FR"/>
        </w:rPr>
        <w:footnoteReference w:id="9"/>
      </w:r>
      <w:r w:rsidRPr="00F32187">
        <w:rPr>
          <w:lang w:val="fr-FR"/>
        </w:rPr>
        <w:t>.  S</w:t>
      </w:r>
      <w:r w:rsidR="00535418" w:rsidRPr="00F32187">
        <w:rPr>
          <w:lang w:val="fr-FR"/>
        </w:rPr>
        <w:t>’</w:t>
      </w:r>
      <w:r w:rsidRPr="00F32187">
        <w:rPr>
          <w:lang w:val="fr-FR"/>
        </w:rPr>
        <w:t>il s</w:t>
      </w:r>
      <w:r w:rsidR="00535418" w:rsidRPr="00F32187">
        <w:rPr>
          <w:lang w:val="fr-FR"/>
        </w:rPr>
        <w:t>’</w:t>
      </w:r>
      <w:r w:rsidRPr="00F32187">
        <w:rPr>
          <w:lang w:val="fr-FR"/>
        </w:rPr>
        <w:t>agit là de résultats positifs, il convient néanmoins de souligner que les informateurs clés ont également signalé la nécessité de poursuivre les travaux de recherche et de renforcer les capacités concernant les manières dont la propriété intellectuelle peut favoriser le développement socioéconomique par des politiques fondées sur des bases factuelles, d</w:t>
      </w:r>
      <w:r w:rsidR="00535418" w:rsidRPr="00F32187">
        <w:rPr>
          <w:lang w:val="fr-FR"/>
        </w:rPr>
        <w:t>’</w:t>
      </w:r>
      <w:r w:rsidRPr="00F32187">
        <w:rPr>
          <w:lang w:val="fr-FR"/>
        </w:rPr>
        <w:t>améliorer les données statistiques et de renouveler et renforcer les capacités en matière de ressources humaines.</w:t>
      </w:r>
    </w:p>
    <w:p w14:paraId="4647E683" w14:textId="79BB7D32" w:rsidR="00E045F1" w:rsidRPr="00F32187" w:rsidRDefault="00E045F1" w:rsidP="00E045F1">
      <w:pPr>
        <w:pStyle w:val="Caption"/>
        <w:keepNext/>
        <w:keepLines/>
        <w:spacing w:after="120"/>
        <w:jc w:val="center"/>
        <w:rPr>
          <w:lang w:val="fr-FR"/>
        </w:rPr>
      </w:pPr>
      <w:bookmarkStart w:id="42" w:name="_Ref138842898"/>
      <w:r w:rsidRPr="00F32187">
        <w:rPr>
          <w:lang w:val="fr-FR"/>
        </w:rPr>
        <w:t xml:space="preserve">Figure </w:t>
      </w:r>
      <w:r w:rsidRPr="00F32187">
        <w:rPr>
          <w:lang w:val="fr-FR"/>
        </w:rPr>
        <w:fldChar w:fldCharType="begin"/>
      </w:r>
      <w:r w:rsidRPr="00F32187">
        <w:rPr>
          <w:lang w:val="fr-FR"/>
        </w:rPr>
        <w:instrText xml:space="preserve"> SEQ Figure \* ARABIC </w:instrText>
      </w:r>
      <w:r w:rsidRPr="00F32187">
        <w:rPr>
          <w:lang w:val="fr-FR"/>
        </w:rPr>
        <w:fldChar w:fldCharType="separate"/>
      </w:r>
      <w:r w:rsidR="0094636A">
        <w:rPr>
          <w:noProof/>
          <w:lang w:val="fr-FR"/>
        </w:rPr>
        <w:t>1</w:t>
      </w:r>
      <w:r w:rsidRPr="00F32187">
        <w:rPr>
          <w:lang w:val="fr-FR"/>
        </w:rPr>
        <w:fldChar w:fldCharType="end"/>
      </w:r>
      <w:bookmarkEnd w:id="42"/>
      <w:r w:rsidR="00535418" w:rsidRPr="00F32187">
        <w:rPr>
          <w:lang w:val="fr-FR"/>
        </w:rPr>
        <w:t> :</w:t>
      </w:r>
      <w:r w:rsidRPr="00F32187">
        <w:rPr>
          <w:lang w:val="fr-FR"/>
        </w:rPr>
        <w:t xml:space="preserve"> La majorité des participants estiment que les objectifs du projet sont alignés sur ceux des organisations bénéficiaires</w:t>
      </w:r>
    </w:p>
    <w:p w14:paraId="4F62FF63" w14:textId="7C22FE87" w:rsidR="00E045F1" w:rsidRPr="00F32187" w:rsidRDefault="002D7E82" w:rsidP="00E045F1">
      <w:pPr>
        <w:jc w:val="center"/>
        <w:rPr>
          <w:lang w:val="fr-FR"/>
        </w:rPr>
      </w:pPr>
      <w:r w:rsidRPr="002D7E82">
        <w:rPr>
          <w:noProof/>
        </w:rPr>
        <w:drawing>
          <wp:inline distT="0" distB="0" distL="0" distR="0" wp14:anchorId="7E842921" wp14:editId="4A6C106F">
            <wp:extent cx="4452620" cy="2751455"/>
            <wp:effectExtent l="0" t="0" r="5080" b="0"/>
            <wp:docPr id="12" name="Picture 12" descr="Figure 1 : La majorité des participants estiment que les objectifs du projet sont alignés sur ceux des organisations bénéficia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igure 1 : La majorité des participants estiment que les objectifs du projet sont alignés sur ceux des organisations bénéficiair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52620" cy="2751455"/>
                    </a:xfrm>
                    <a:prstGeom prst="rect">
                      <a:avLst/>
                    </a:prstGeom>
                    <a:noFill/>
                    <a:ln>
                      <a:noFill/>
                    </a:ln>
                  </pic:spPr>
                </pic:pic>
              </a:graphicData>
            </a:graphic>
          </wp:inline>
        </w:drawing>
      </w:r>
    </w:p>
    <w:p w14:paraId="3EC3BCE4" w14:textId="7CE900F5" w:rsidR="00E045F1" w:rsidRDefault="00E045F1" w:rsidP="004263EB">
      <w:pPr>
        <w:pStyle w:val="ONUMFS"/>
        <w:keepNext/>
        <w:numPr>
          <w:ilvl w:val="0"/>
          <w:numId w:val="0"/>
        </w:numPr>
        <w:spacing w:before="220" w:after="120"/>
        <w:jc w:val="center"/>
        <w:rPr>
          <w:b/>
          <w:bCs/>
          <w:sz w:val="18"/>
          <w:szCs w:val="18"/>
          <w:lang w:val="fr-FR"/>
        </w:rPr>
      </w:pPr>
      <w:bookmarkStart w:id="43" w:name="_Ref138843542"/>
      <w:r w:rsidRPr="00F32187">
        <w:rPr>
          <w:b/>
          <w:bCs/>
          <w:sz w:val="18"/>
          <w:szCs w:val="18"/>
          <w:lang w:val="fr-FR"/>
        </w:rPr>
        <w:lastRenderedPageBreak/>
        <w:t xml:space="preserve">Figure </w:t>
      </w:r>
      <w:r w:rsidRPr="00F32187">
        <w:rPr>
          <w:b/>
          <w:bCs/>
          <w:sz w:val="18"/>
          <w:szCs w:val="18"/>
          <w:lang w:val="fr-FR"/>
        </w:rPr>
        <w:fldChar w:fldCharType="begin"/>
      </w:r>
      <w:r w:rsidRPr="00F32187">
        <w:rPr>
          <w:b/>
          <w:bCs/>
          <w:sz w:val="18"/>
          <w:szCs w:val="18"/>
          <w:lang w:val="fr-FR"/>
        </w:rPr>
        <w:instrText xml:space="preserve"> SEQ Figure \* ARABIC </w:instrText>
      </w:r>
      <w:r w:rsidRPr="00F32187">
        <w:rPr>
          <w:b/>
          <w:bCs/>
          <w:sz w:val="18"/>
          <w:szCs w:val="18"/>
          <w:lang w:val="fr-FR"/>
        </w:rPr>
        <w:fldChar w:fldCharType="separate"/>
      </w:r>
      <w:r w:rsidR="0094636A">
        <w:rPr>
          <w:b/>
          <w:bCs/>
          <w:noProof/>
          <w:sz w:val="18"/>
          <w:szCs w:val="18"/>
          <w:lang w:val="fr-FR"/>
        </w:rPr>
        <w:t>2</w:t>
      </w:r>
      <w:r w:rsidRPr="00F32187">
        <w:rPr>
          <w:b/>
          <w:bCs/>
          <w:sz w:val="18"/>
          <w:szCs w:val="18"/>
          <w:lang w:val="fr-FR"/>
        </w:rPr>
        <w:fldChar w:fldCharType="end"/>
      </w:r>
      <w:bookmarkEnd w:id="43"/>
      <w:r w:rsidR="00535418" w:rsidRPr="00F32187">
        <w:rPr>
          <w:b/>
          <w:bCs/>
          <w:sz w:val="18"/>
          <w:szCs w:val="18"/>
          <w:lang w:val="fr-FR"/>
        </w:rPr>
        <w:t> :</w:t>
      </w:r>
      <w:r w:rsidRPr="00F32187">
        <w:rPr>
          <w:b/>
          <w:bCs/>
          <w:sz w:val="18"/>
          <w:szCs w:val="18"/>
          <w:lang w:val="fr-FR"/>
        </w:rPr>
        <w:t xml:space="preserve"> La majorité des participants estiment que le projet a renforcé les capacités de leur organisation</w:t>
      </w:r>
    </w:p>
    <w:p w14:paraId="0A9C0B7B" w14:textId="0D0D1187" w:rsidR="002D7E82" w:rsidRPr="00F32187" w:rsidRDefault="002D7E82" w:rsidP="00E045F1">
      <w:pPr>
        <w:pStyle w:val="ONUMFS"/>
        <w:numPr>
          <w:ilvl w:val="0"/>
          <w:numId w:val="0"/>
        </w:numPr>
        <w:spacing w:before="220" w:after="120"/>
        <w:jc w:val="center"/>
        <w:rPr>
          <w:szCs w:val="18"/>
          <w:lang w:val="fr-FR"/>
        </w:rPr>
      </w:pPr>
      <w:r w:rsidRPr="002D7E82">
        <w:rPr>
          <w:noProof/>
        </w:rPr>
        <w:drawing>
          <wp:inline distT="0" distB="0" distL="0" distR="0" wp14:anchorId="70A65B56" wp14:editId="214EAAEC">
            <wp:extent cx="4452620" cy="2751455"/>
            <wp:effectExtent l="0" t="0" r="5080" b="0"/>
            <wp:docPr id="13" name="Picture 13" descr="Figure 2 : La majorité des participants estiment que le projet a renforcé les capacités de leur orga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igure 2 : La majorité des participants estiment que le projet a renforcé les capacités de leur organisat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52620" cy="2751455"/>
                    </a:xfrm>
                    <a:prstGeom prst="rect">
                      <a:avLst/>
                    </a:prstGeom>
                    <a:noFill/>
                    <a:ln>
                      <a:noFill/>
                    </a:ln>
                  </pic:spPr>
                </pic:pic>
              </a:graphicData>
            </a:graphic>
          </wp:inline>
        </w:drawing>
      </w:r>
    </w:p>
    <w:p w14:paraId="05898810" w14:textId="45B52319" w:rsidR="00E045F1" w:rsidRPr="00F32187" w:rsidRDefault="00E045F1" w:rsidP="00E045F1">
      <w:pPr>
        <w:pStyle w:val="ONUMFS"/>
        <w:spacing w:before="220"/>
        <w:rPr>
          <w:lang w:val="fr-FR"/>
        </w:rPr>
      </w:pPr>
      <w:r w:rsidRPr="00F32187">
        <w:rPr>
          <w:lang w:val="fr-FR"/>
        </w:rPr>
        <w:t>Le projet a aidé les États membres à fournir des données exactes et disponibles en temps opportun sur leurs activités liées à la propriété intellectuelle, ce qui est indispensable pour que le Secrétariat de l</w:t>
      </w:r>
      <w:r w:rsidR="00535418" w:rsidRPr="00F32187">
        <w:rPr>
          <w:lang w:val="fr-FR"/>
        </w:rPr>
        <w:t>’</w:t>
      </w:r>
      <w:r w:rsidRPr="00F32187">
        <w:rPr>
          <w:lang w:val="fr-FR"/>
        </w:rPr>
        <w:t>OMPI puisse générer des statistiques fiables et complètes, notamment les indicateurs mondiaux relatifs à la propriété intellectuel</w:t>
      </w:r>
      <w:r w:rsidR="00F32187" w:rsidRPr="00F32187">
        <w:rPr>
          <w:lang w:val="fr-FR"/>
        </w:rPr>
        <w:t>le.  Le</w:t>
      </w:r>
      <w:r w:rsidRPr="00F32187">
        <w:rPr>
          <w:lang w:val="fr-FR"/>
        </w:rPr>
        <w:t xml:space="preserve"> projet était donc en phase avec l</w:t>
      </w:r>
      <w:r w:rsidR="00535418" w:rsidRPr="00F32187">
        <w:rPr>
          <w:lang w:val="fr-FR"/>
        </w:rPr>
        <w:t>’</w:t>
      </w:r>
      <w:r w:rsidRPr="00F32187">
        <w:rPr>
          <w:lang w:val="fr-FR"/>
        </w:rPr>
        <w:t>objectif du Secrétariat de fournir des données de qualité à l</w:t>
      </w:r>
      <w:r w:rsidR="00535418" w:rsidRPr="00F32187">
        <w:rPr>
          <w:lang w:val="fr-FR"/>
        </w:rPr>
        <w:t>’</w:t>
      </w:r>
      <w:r w:rsidRPr="00F32187">
        <w:rPr>
          <w:lang w:val="fr-FR"/>
        </w:rPr>
        <w:t>appui de l</w:t>
      </w:r>
      <w:r w:rsidR="00535418" w:rsidRPr="00F32187">
        <w:rPr>
          <w:lang w:val="fr-FR"/>
        </w:rPr>
        <w:t>’</w:t>
      </w:r>
      <w:r w:rsidRPr="00F32187">
        <w:rPr>
          <w:lang w:val="fr-FR"/>
        </w:rPr>
        <w:t>élaboration des politiques et de la sensibilisation du publ</w:t>
      </w:r>
      <w:r w:rsidR="00F32187" w:rsidRPr="00F32187">
        <w:rPr>
          <w:lang w:val="fr-FR"/>
        </w:rPr>
        <w:t>ic.  Ét</w:t>
      </w:r>
      <w:r w:rsidRPr="00F32187">
        <w:rPr>
          <w:lang w:val="fr-FR"/>
        </w:rPr>
        <w:t>ant donné que les indicateurs mondiaux relatifs à la propriété intellectuelle demeurent un outil essentiel aux fins de l</w:t>
      </w:r>
      <w:r w:rsidR="00535418" w:rsidRPr="00F32187">
        <w:rPr>
          <w:lang w:val="fr-FR"/>
        </w:rPr>
        <w:t>’</w:t>
      </w:r>
      <w:r w:rsidRPr="00F32187">
        <w:rPr>
          <w:lang w:val="fr-FR"/>
        </w:rPr>
        <w:t>élaboration des politiques, on peut à juste titre affirmer que le projet contribue aux incidences qui découlent de ces indicateurs</w:t>
      </w:r>
      <w:r w:rsidRPr="00F32187">
        <w:rPr>
          <w:rStyle w:val="FootnoteReference"/>
          <w:lang w:val="fr-FR"/>
        </w:rPr>
        <w:footnoteReference w:id="10"/>
      </w:r>
      <w:r w:rsidRPr="00F32187">
        <w:rPr>
          <w:lang w:val="fr-FR"/>
        </w:rPr>
        <w:t>.</w:t>
      </w:r>
    </w:p>
    <w:p w14:paraId="08357275" w14:textId="77777777" w:rsidR="00E045F1" w:rsidRPr="00F32187" w:rsidRDefault="00E045F1" w:rsidP="00E045F1">
      <w:pPr>
        <w:pStyle w:val="Subtitle"/>
        <w:rPr>
          <w:rStyle w:val="Strong"/>
          <w:rFonts w:ascii="Arial" w:hAnsi="Arial" w:cs="Arial"/>
          <w:color w:val="auto"/>
          <w:u w:val="single"/>
          <w:lang w:val="fr-FR"/>
        </w:rPr>
      </w:pPr>
      <w:r w:rsidRPr="00F32187">
        <w:rPr>
          <w:rStyle w:val="Strong"/>
          <w:rFonts w:ascii="Arial" w:hAnsi="Arial" w:cs="Arial"/>
          <w:color w:val="auto"/>
          <w:u w:val="single"/>
          <w:lang w:val="fr-FR"/>
        </w:rPr>
        <w:t>Niveau individuel</w:t>
      </w:r>
    </w:p>
    <w:p w14:paraId="05749F2A" w14:textId="52E1EC9A" w:rsidR="00E045F1" w:rsidRPr="00F32187" w:rsidRDefault="00E045F1" w:rsidP="00E045F1">
      <w:pPr>
        <w:pStyle w:val="ONUMFS"/>
        <w:rPr>
          <w:lang w:val="fr-FR"/>
        </w:rPr>
      </w:pPr>
      <w:r w:rsidRPr="00F32187">
        <w:rPr>
          <w:lang w:val="fr-FR"/>
        </w:rPr>
        <w:t>L</w:t>
      </w:r>
      <w:r w:rsidR="00535418" w:rsidRPr="00F32187">
        <w:rPr>
          <w:lang w:val="fr-FR"/>
        </w:rPr>
        <w:t>’</w:t>
      </w:r>
      <w:r w:rsidRPr="00F32187">
        <w:rPr>
          <w:lang w:val="fr-FR"/>
        </w:rPr>
        <w:t>immense majorité des répondants à l</w:t>
      </w:r>
      <w:r w:rsidR="00535418" w:rsidRPr="00F32187">
        <w:rPr>
          <w:lang w:val="fr-FR"/>
        </w:rPr>
        <w:t>’</w:t>
      </w:r>
      <w:r w:rsidRPr="00F32187">
        <w:rPr>
          <w:lang w:val="fr-FR"/>
        </w:rPr>
        <w:t>enquête ont indiqué que le projet les avait aidés à développer leurs capacités (92</w:t>
      </w:r>
      <w:r w:rsidR="00B37BEF" w:rsidRPr="00F32187">
        <w:rPr>
          <w:lang w:val="fr-FR"/>
        </w:rPr>
        <w:t>%</w:t>
      </w:r>
      <w:r w:rsidRPr="00F32187">
        <w:rPr>
          <w:lang w:val="fr-FR"/>
        </w:rPr>
        <w:t xml:space="preserve"> d</w:t>
      </w:r>
      <w:r w:rsidR="00535418" w:rsidRPr="00F32187">
        <w:rPr>
          <w:lang w:val="fr-FR"/>
        </w:rPr>
        <w:t>’</w:t>
      </w:r>
      <w:r w:rsidRPr="00F32187">
        <w:rPr>
          <w:lang w:val="fr-FR"/>
        </w:rPr>
        <w:t>entre eux considéraient utiles les activités de développement des capacités), ce dont ils ont continué de profiter à mesure que leur carrière progressait (</w:t>
      </w:r>
      <w:r w:rsidRPr="00F32187">
        <w:rPr>
          <w:lang w:val="fr-FR"/>
        </w:rPr>
        <w:fldChar w:fldCharType="begin"/>
      </w:r>
      <w:r w:rsidRPr="00F32187">
        <w:rPr>
          <w:lang w:val="fr-FR"/>
        </w:rPr>
        <w:instrText xml:space="preserve"> REF _Ref139279552 \h </w:instrText>
      </w:r>
      <w:r w:rsidRPr="00F32187">
        <w:rPr>
          <w:lang w:val="fr-FR"/>
        </w:rPr>
      </w:r>
      <w:r w:rsidRPr="00F32187">
        <w:rPr>
          <w:lang w:val="fr-FR"/>
        </w:rPr>
        <w:fldChar w:fldCharType="separate"/>
      </w:r>
      <w:r w:rsidR="0094636A" w:rsidRPr="00F32187">
        <w:rPr>
          <w:lang w:val="fr-FR"/>
        </w:rPr>
        <w:t xml:space="preserve">Figure </w:t>
      </w:r>
      <w:r w:rsidR="0094636A">
        <w:rPr>
          <w:noProof/>
          <w:lang w:val="fr-FR"/>
        </w:rPr>
        <w:t>3</w:t>
      </w:r>
      <w:r w:rsidRPr="00F32187">
        <w:rPr>
          <w:lang w:val="fr-FR"/>
        </w:rPr>
        <w:fldChar w:fldCharType="end"/>
      </w:r>
      <w:r w:rsidRPr="00F32187">
        <w:rPr>
          <w:lang w:val="fr-FR"/>
        </w:rPr>
        <w:t>).  Si l</w:t>
      </w:r>
      <w:r w:rsidR="00535418" w:rsidRPr="00F32187">
        <w:rPr>
          <w:lang w:val="fr-FR"/>
        </w:rPr>
        <w:t>’</w:t>
      </w:r>
      <w:r w:rsidRPr="00F32187">
        <w:rPr>
          <w:lang w:val="fr-FR"/>
        </w:rPr>
        <w:t>on compare ce constat avec les informations fournies par les informateurs clés, il convient de signaler que plusieurs d</w:t>
      </w:r>
      <w:r w:rsidR="00535418" w:rsidRPr="00F32187">
        <w:rPr>
          <w:lang w:val="fr-FR"/>
        </w:rPr>
        <w:t>’</w:t>
      </w:r>
      <w:r w:rsidRPr="00F32187">
        <w:rPr>
          <w:lang w:val="fr-FR"/>
        </w:rPr>
        <w:t>entre eux ont indiqué que le projet avait servi de tremplin pour leur carrière de recherche dans le domaine de la propriété intellectuelle, qui n</w:t>
      </w:r>
      <w:r w:rsidR="00535418" w:rsidRPr="00F32187">
        <w:rPr>
          <w:lang w:val="fr-FR"/>
        </w:rPr>
        <w:t>’</w:t>
      </w:r>
      <w:r w:rsidRPr="00F32187">
        <w:rPr>
          <w:lang w:val="fr-FR"/>
        </w:rPr>
        <w:t>aurait peut</w:t>
      </w:r>
      <w:r w:rsidR="00444006">
        <w:rPr>
          <w:lang w:val="fr-FR"/>
        </w:rPr>
        <w:noBreakHyphen/>
      </w:r>
      <w:r w:rsidRPr="00F32187">
        <w:rPr>
          <w:lang w:val="fr-FR"/>
        </w:rPr>
        <w:t>être pas vu le jour sans le projet, compte tenu de la faible visibilité de la propriété intellectuelle dans leur pays auparava</w:t>
      </w:r>
      <w:r w:rsidR="00F32187" w:rsidRPr="00F32187">
        <w:rPr>
          <w:lang w:val="fr-FR"/>
        </w:rPr>
        <w:t>nt.  Da</w:t>
      </w:r>
      <w:r w:rsidRPr="00F32187">
        <w:rPr>
          <w:lang w:val="fr-FR"/>
        </w:rPr>
        <w:t>ns la mesure où les activités de renforcement des capacités ont été maintenues et élargies dans le temps, on peut affirmer que le projet a eu un impact en contribuant à l</w:t>
      </w:r>
      <w:r w:rsidR="00535418" w:rsidRPr="00F32187">
        <w:rPr>
          <w:lang w:val="fr-FR"/>
        </w:rPr>
        <w:t>’</w:t>
      </w:r>
      <w:r w:rsidRPr="00F32187">
        <w:rPr>
          <w:lang w:val="fr-FR"/>
        </w:rPr>
        <w:t>ensemble de compétences et de connaissances nécessaires pour mener des recherches de qualité dans le domaine de la propriété intellectuelle.</w:t>
      </w:r>
    </w:p>
    <w:p w14:paraId="660ACB9F" w14:textId="3C92406C" w:rsidR="00E045F1" w:rsidRPr="00F32187" w:rsidRDefault="00E045F1" w:rsidP="00E045F1">
      <w:pPr>
        <w:pStyle w:val="Caption"/>
        <w:keepNext/>
        <w:keepLines/>
        <w:spacing w:after="120"/>
        <w:jc w:val="center"/>
        <w:rPr>
          <w:lang w:val="fr-FR"/>
        </w:rPr>
      </w:pPr>
      <w:bookmarkStart w:id="44" w:name="_Ref139279552"/>
      <w:r w:rsidRPr="00F32187">
        <w:rPr>
          <w:lang w:val="fr-FR"/>
        </w:rPr>
        <w:lastRenderedPageBreak/>
        <w:t xml:space="preserve">Figure </w:t>
      </w:r>
      <w:r w:rsidRPr="00F32187">
        <w:rPr>
          <w:lang w:val="fr-FR"/>
        </w:rPr>
        <w:fldChar w:fldCharType="begin"/>
      </w:r>
      <w:r w:rsidRPr="00F32187">
        <w:rPr>
          <w:lang w:val="fr-FR"/>
        </w:rPr>
        <w:instrText xml:space="preserve"> SEQ Figure \* ARABIC </w:instrText>
      </w:r>
      <w:r w:rsidRPr="00F32187">
        <w:rPr>
          <w:lang w:val="fr-FR"/>
        </w:rPr>
        <w:fldChar w:fldCharType="separate"/>
      </w:r>
      <w:r w:rsidR="0094636A">
        <w:rPr>
          <w:noProof/>
          <w:lang w:val="fr-FR"/>
        </w:rPr>
        <w:t>3</w:t>
      </w:r>
      <w:r w:rsidRPr="00F32187">
        <w:rPr>
          <w:lang w:val="fr-FR"/>
        </w:rPr>
        <w:fldChar w:fldCharType="end"/>
      </w:r>
      <w:bookmarkEnd w:id="44"/>
      <w:r w:rsidR="00535418" w:rsidRPr="00F32187">
        <w:rPr>
          <w:lang w:val="fr-FR"/>
        </w:rPr>
        <w:t> :</w:t>
      </w:r>
      <w:r w:rsidRPr="00F32187">
        <w:rPr>
          <w:lang w:val="fr-FR"/>
        </w:rPr>
        <w:t xml:space="preserve"> La plupart des participants ont apprécié les activités de développement des capacités</w:t>
      </w:r>
    </w:p>
    <w:p w14:paraId="473289E6" w14:textId="32635541" w:rsidR="00E045F1" w:rsidRPr="00F32187" w:rsidRDefault="002D7E82" w:rsidP="00E045F1">
      <w:pPr>
        <w:jc w:val="center"/>
        <w:rPr>
          <w:lang w:val="fr-FR"/>
        </w:rPr>
      </w:pPr>
      <w:r w:rsidRPr="002D7E82">
        <w:rPr>
          <w:noProof/>
        </w:rPr>
        <w:drawing>
          <wp:inline distT="0" distB="0" distL="0" distR="0" wp14:anchorId="4A00C35D" wp14:editId="784A5072">
            <wp:extent cx="4452620" cy="2751455"/>
            <wp:effectExtent l="0" t="0" r="5080" b="0"/>
            <wp:docPr id="14" name="Picture 14" descr="Figure 3 : La plupart des participants ont apprécié les activités de développement des capacit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igure 3 : La plupart des participants ont apprécié les activités de développement des capacité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52620" cy="2751455"/>
                    </a:xfrm>
                    <a:prstGeom prst="rect">
                      <a:avLst/>
                    </a:prstGeom>
                    <a:noFill/>
                    <a:ln>
                      <a:noFill/>
                    </a:ln>
                  </pic:spPr>
                </pic:pic>
              </a:graphicData>
            </a:graphic>
          </wp:inline>
        </w:drawing>
      </w:r>
    </w:p>
    <w:p w14:paraId="78E10F0C" w14:textId="77777777" w:rsidR="00E045F1" w:rsidRPr="00F32187" w:rsidRDefault="00E045F1" w:rsidP="00E045F1">
      <w:pPr>
        <w:pStyle w:val="Subtitle"/>
        <w:spacing w:before="220" w:after="220"/>
        <w:rPr>
          <w:rStyle w:val="Strong"/>
          <w:rFonts w:ascii="Arial" w:hAnsi="Arial" w:cs="Arial"/>
          <w:color w:val="auto"/>
          <w:u w:val="single"/>
          <w:lang w:val="fr-FR"/>
        </w:rPr>
      </w:pPr>
      <w:r w:rsidRPr="00F32187">
        <w:rPr>
          <w:rStyle w:val="Strong"/>
          <w:rFonts w:ascii="Arial" w:hAnsi="Arial" w:cs="Arial"/>
          <w:color w:val="auto"/>
          <w:u w:val="single"/>
          <w:lang w:val="fr-FR"/>
        </w:rPr>
        <w:t>Niveau institutionnel</w:t>
      </w:r>
    </w:p>
    <w:p w14:paraId="6D0B3F09" w14:textId="42D15D8A" w:rsidR="00E045F1" w:rsidRPr="00F32187" w:rsidRDefault="00E045F1" w:rsidP="00E045F1">
      <w:pPr>
        <w:pStyle w:val="ONUMFS"/>
        <w:rPr>
          <w:lang w:val="fr-FR"/>
        </w:rPr>
      </w:pPr>
      <w:r w:rsidRPr="00F32187">
        <w:rPr>
          <w:lang w:val="fr-FR"/>
        </w:rPr>
        <w:t>Comme on peut le voir dans la figure 4, les activités du projet ont eu une incidence positive sur les organisations des répondants à l</w:t>
      </w:r>
      <w:r w:rsidR="00535418" w:rsidRPr="00F32187">
        <w:rPr>
          <w:lang w:val="fr-FR"/>
        </w:rPr>
        <w:t>’</w:t>
      </w:r>
      <w:r w:rsidRPr="00F32187">
        <w:rPr>
          <w:lang w:val="fr-FR"/>
        </w:rPr>
        <w:t>enquête et des informateurs cl</w:t>
      </w:r>
      <w:r w:rsidR="00F32187" w:rsidRPr="00F32187">
        <w:rPr>
          <w:lang w:val="fr-FR"/>
        </w:rPr>
        <w:t>és.  La</w:t>
      </w:r>
      <w:r w:rsidRPr="00F32187">
        <w:rPr>
          <w:lang w:val="fr-FR"/>
        </w:rPr>
        <w:t xml:space="preserve"> majorité des parties prenantes ont indiqué que le projet les avait aidées à prendre davantage conscience de la propriété intellectuelle et à améliorer leur efficacité et leur réactivi</w:t>
      </w:r>
      <w:r w:rsidR="00F32187" w:rsidRPr="00F32187">
        <w:rPr>
          <w:lang w:val="fr-FR"/>
        </w:rPr>
        <w:t>té.  Le</w:t>
      </w:r>
      <w:r w:rsidRPr="00F32187">
        <w:rPr>
          <w:lang w:val="fr-FR"/>
        </w:rPr>
        <w:t>s informateurs clés ont par ailleurs mentionné que le projet avait réussi à contribuer à sensibiliser les décideurs aux manières d</w:t>
      </w:r>
      <w:r w:rsidR="00535418" w:rsidRPr="00F32187">
        <w:rPr>
          <w:lang w:val="fr-FR"/>
        </w:rPr>
        <w:t>’</w:t>
      </w:r>
      <w:r w:rsidRPr="00F32187">
        <w:rPr>
          <w:lang w:val="fr-FR"/>
        </w:rPr>
        <w:t>utiliser les données économiques aux fins de l</w:t>
      </w:r>
      <w:r w:rsidR="00535418" w:rsidRPr="00F32187">
        <w:rPr>
          <w:lang w:val="fr-FR"/>
        </w:rPr>
        <w:t>’</w:t>
      </w:r>
      <w:r w:rsidRPr="00F32187">
        <w:rPr>
          <w:lang w:val="fr-FR"/>
        </w:rPr>
        <w:t>élaboration des politiqu</w:t>
      </w:r>
      <w:r w:rsidR="00F32187" w:rsidRPr="00F32187">
        <w:rPr>
          <w:lang w:val="fr-FR"/>
        </w:rPr>
        <w:t>es.  Le</w:t>
      </w:r>
      <w:r w:rsidRPr="00F32187">
        <w:rPr>
          <w:lang w:val="fr-FR"/>
        </w:rPr>
        <w:t>s participants au projet qui ont trouvé ces activités peu ou pas du tout utiles pour leur organisation relevaient de grandes universités où la publication de travaux de recherche est une activité courante sans incidence escomptée sur l</w:t>
      </w:r>
      <w:r w:rsidR="00535418" w:rsidRPr="00F32187">
        <w:rPr>
          <w:lang w:val="fr-FR"/>
        </w:rPr>
        <w:t>’</w:t>
      </w:r>
      <w:r w:rsidRPr="00F32187">
        <w:rPr>
          <w:lang w:val="fr-FR"/>
        </w:rPr>
        <w:t>université.</w:t>
      </w:r>
    </w:p>
    <w:p w14:paraId="637E29E3" w14:textId="3BF5DA2B" w:rsidR="00E045F1" w:rsidRPr="00F32187" w:rsidRDefault="00E045F1" w:rsidP="00E045F1">
      <w:pPr>
        <w:pStyle w:val="Caption"/>
        <w:spacing w:after="120"/>
        <w:jc w:val="center"/>
        <w:rPr>
          <w:lang w:val="fr-FR"/>
        </w:rPr>
      </w:pPr>
      <w:bookmarkStart w:id="45" w:name="_Ref139280216"/>
      <w:r w:rsidRPr="00F32187">
        <w:rPr>
          <w:lang w:val="fr-FR"/>
        </w:rPr>
        <w:t xml:space="preserve">Figure </w:t>
      </w:r>
      <w:r w:rsidRPr="00F32187">
        <w:rPr>
          <w:lang w:val="fr-FR"/>
        </w:rPr>
        <w:fldChar w:fldCharType="begin"/>
      </w:r>
      <w:r w:rsidRPr="00F32187">
        <w:rPr>
          <w:lang w:val="fr-FR"/>
        </w:rPr>
        <w:instrText xml:space="preserve"> SEQ Figure \* ARABIC </w:instrText>
      </w:r>
      <w:r w:rsidRPr="00F32187">
        <w:rPr>
          <w:lang w:val="fr-FR"/>
        </w:rPr>
        <w:fldChar w:fldCharType="separate"/>
      </w:r>
      <w:r w:rsidR="0094636A">
        <w:rPr>
          <w:noProof/>
          <w:lang w:val="fr-FR"/>
        </w:rPr>
        <w:t>4</w:t>
      </w:r>
      <w:r w:rsidRPr="00F32187">
        <w:rPr>
          <w:lang w:val="fr-FR"/>
        </w:rPr>
        <w:fldChar w:fldCharType="end"/>
      </w:r>
      <w:bookmarkEnd w:id="45"/>
      <w:r w:rsidR="00535418" w:rsidRPr="00F32187">
        <w:rPr>
          <w:lang w:val="fr-FR"/>
        </w:rPr>
        <w:t> :</w:t>
      </w:r>
      <w:r w:rsidRPr="00F32187">
        <w:rPr>
          <w:lang w:val="fr-FR"/>
        </w:rPr>
        <w:t xml:space="preserve"> Les résultats des travaux de recherche ont été utiles pour la plupart des organisations</w:t>
      </w:r>
    </w:p>
    <w:p w14:paraId="7A19DFC6" w14:textId="212FAC36" w:rsidR="00E045F1" w:rsidRPr="00F32187" w:rsidRDefault="002D7E82" w:rsidP="00E045F1">
      <w:pPr>
        <w:jc w:val="center"/>
        <w:rPr>
          <w:lang w:val="fr-FR"/>
        </w:rPr>
      </w:pPr>
      <w:r w:rsidRPr="002D7E82">
        <w:rPr>
          <w:noProof/>
        </w:rPr>
        <w:drawing>
          <wp:inline distT="0" distB="0" distL="0" distR="0" wp14:anchorId="61C94EC2" wp14:editId="485FC764">
            <wp:extent cx="4452620" cy="2751455"/>
            <wp:effectExtent l="0" t="0" r="5080" b="0"/>
            <wp:docPr id="15" name="Picture 15" descr="Figure 4 : Les résultats des travaux de recherche ont été utiles pour la plupart des organis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igure 4 : Les résultats des travaux de recherche ont été utiles pour la plupart des organisation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52620" cy="2751455"/>
                    </a:xfrm>
                    <a:prstGeom prst="rect">
                      <a:avLst/>
                    </a:prstGeom>
                    <a:noFill/>
                    <a:ln>
                      <a:noFill/>
                    </a:ln>
                  </pic:spPr>
                </pic:pic>
              </a:graphicData>
            </a:graphic>
          </wp:inline>
        </w:drawing>
      </w:r>
    </w:p>
    <w:p w14:paraId="4DAAA7DD" w14:textId="447DCC10" w:rsidR="00E045F1" w:rsidRPr="00F32187" w:rsidRDefault="00E045F1" w:rsidP="00E045F1">
      <w:pPr>
        <w:pStyle w:val="ONUMFS"/>
        <w:spacing w:before="220" w:after="0"/>
        <w:rPr>
          <w:lang w:val="fr-FR"/>
        </w:rPr>
      </w:pPr>
      <w:r w:rsidRPr="00F32187">
        <w:rPr>
          <w:lang w:val="fr-FR"/>
        </w:rPr>
        <w:t>Une des difficultés auxquelles le projet s</w:t>
      </w:r>
      <w:r w:rsidR="00535418" w:rsidRPr="00F32187">
        <w:rPr>
          <w:lang w:val="fr-FR"/>
        </w:rPr>
        <w:t>’</w:t>
      </w:r>
      <w:r w:rsidRPr="00F32187">
        <w:rPr>
          <w:lang w:val="fr-FR"/>
        </w:rPr>
        <w:t xml:space="preserve">est heurté est la dépendance </w:t>
      </w:r>
      <w:r w:rsidR="00535418" w:rsidRPr="00F32187">
        <w:rPr>
          <w:lang w:val="fr-FR"/>
        </w:rPr>
        <w:t>à l’égard</w:t>
      </w:r>
      <w:r w:rsidRPr="00F32187">
        <w:rPr>
          <w:lang w:val="fr-FR"/>
        </w:rPr>
        <w:t xml:space="preserve"> de consultants externes en matière de recherche et d</w:t>
      </w:r>
      <w:r w:rsidR="00535418" w:rsidRPr="00F32187">
        <w:rPr>
          <w:lang w:val="fr-FR"/>
        </w:rPr>
        <w:t>’</w:t>
      </w:r>
      <w:r w:rsidRPr="00F32187">
        <w:rPr>
          <w:lang w:val="fr-FR"/>
        </w:rPr>
        <w:t>analy</w:t>
      </w:r>
      <w:r w:rsidR="00F32187" w:rsidRPr="00F32187">
        <w:rPr>
          <w:lang w:val="fr-FR"/>
        </w:rPr>
        <w:t>se.  Un</w:t>
      </w:r>
      <w:r w:rsidRPr="00F32187">
        <w:rPr>
          <w:lang w:val="fr-FR"/>
        </w:rPr>
        <w:t xml:space="preserve"> informateur clé a expliqué que son office a besoin du soutien de tierces parties pour pouvoir produire ce genre de travail, car il ne dispose pas vraiment des capacités nécessair</w:t>
      </w:r>
      <w:r w:rsidR="00F32187" w:rsidRPr="00F32187">
        <w:rPr>
          <w:lang w:val="fr-FR"/>
        </w:rPr>
        <w:t>es.  Ce</w:t>
      </w:r>
      <w:r w:rsidRPr="00F32187">
        <w:rPr>
          <w:lang w:val="fr-FR"/>
        </w:rPr>
        <w:t xml:space="preserve">tte approche peut avoir bénéficié aux </w:t>
      </w:r>
      <w:r w:rsidRPr="00F32187">
        <w:rPr>
          <w:lang w:val="fr-FR"/>
        </w:rPr>
        <w:lastRenderedPageBreak/>
        <w:t>résultats de recherche des organisations bénéficiaires à court terme, toutefois elle a également limité l</w:t>
      </w:r>
      <w:r w:rsidR="00535418" w:rsidRPr="00F32187">
        <w:rPr>
          <w:lang w:val="fr-FR"/>
        </w:rPr>
        <w:t>’</w:t>
      </w:r>
      <w:r w:rsidRPr="00F32187">
        <w:rPr>
          <w:lang w:val="fr-FR"/>
        </w:rPr>
        <w:t>incidence à long terme des activités de développement des capacités étant donné que les consultants sont généralement très mobiles et emportent avec eux les connaissances institutionnelles précieuses acquises durant la mise en œuvre du projet lorsqu</w:t>
      </w:r>
      <w:r w:rsidR="00535418" w:rsidRPr="00F32187">
        <w:rPr>
          <w:lang w:val="fr-FR"/>
        </w:rPr>
        <w:t>’</w:t>
      </w:r>
      <w:r w:rsidRPr="00F32187">
        <w:rPr>
          <w:lang w:val="fr-FR"/>
        </w:rPr>
        <w:t>ils quittent l</w:t>
      </w:r>
      <w:r w:rsidR="00535418" w:rsidRPr="00F32187">
        <w:rPr>
          <w:lang w:val="fr-FR"/>
        </w:rPr>
        <w:t>’</w:t>
      </w:r>
      <w:r w:rsidRPr="00F32187">
        <w:rPr>
          <w:lang w:val="fr-FR"/>
        </w:rPr>
        <w:t>organisation (cela ne vaut pas pour les missions de conseil à long terme).</w:t>
      </w:r>
    </w:p>
    <w:p w14:paraId="26F6A9B8" w14:textId="77777777" w:rsidR="00E045F1" w:rsidRPr="00F32187" w:rsidRDefault="00E045F1" w:rsidP="00A26EB3">
      <w:pPr>
        <w:pStyle w:val="Heading2"/>
        <w:ind w:left="1134" w:hanging="567"/>
      </w:pPr>
      <w:bookmarkStart w:id="46" w:name="_Toc140224977"/>
      <w:bookmarkStart w:id="47" w:name="_Toc145933444"/>
      <w:bookmarkStart w:id="48" w:name="_Toc146025104"/>
      <w:r w:rsidRPr="00F32187">
        <w:t xml:space="preserve">Quelles sont les incidences intentionnelles et non intentionnelles du projet dans les pays </w:t>
      </w:r>
      <w:bookmarkEnd w:id="46"/>
      <w:proofErr w:type="gramStart"/>
      <w:r w:rsidRPr="00F32187">
        <w:t>bénéficiaires?</w:t>
      </w:r>
      <w:bookmarkEnd w:id="47"/>
      <w:bookmarkEnd w:id="48"/>
      <w:proofErr w:type="gramEnd"/>
    </w:p>
    <w:p w14:paraId="5FD9C8EA" w14:textId="19A9E60F" w:rsidR="00E045F1" w:rsidRPr="00F32187" w:rsidRDefault="00E045F1" w:rsidP="00E045F1">
      <w:pPr>
        <w:pStyle w:val="ONUMFS"/>
        <w:rPr>
          <w:lang w:val="fr-FR"/>
        </w:rPr>
      </w:pPr>
      <w:r w:rsidRPr="00F32187">
        <w:rPr>
          <w:lang w:val="fr-FR"/>
        </w:rPr>
        <w:t>Au niveau des pays, le projet a contribué à un certain nombre d</w:t>
      </w:r>
      <w:r w:rsidR="00535418" w:rsidRPr="00F32187">
        <w:rPr>
          <w:lang w:val="fr-FR"/>
        </w:rPr>
        <w:t>’</w:t>
      </w:r>
      <w:r w:rsidRPr="00F32187">
        <w:rPr>
          <w:lang w:val="fr-FR"/>
        </w:rPr>
        <w:t>incidenc</w:t>
      </w:r>
      <w:r w:rsidR="00F32187" w:rsidRPr="00F32187">
        <w:rPr>
          <w:lang w:val="fr-FR"/>
        </w:rPr>
        <w:t>es.  Ce</w:t>
      </w:r>
      <w:r w:rsidRPr="00F32187">
        <w:rPr>
          <w:lang w:val="fr-FR"/>
        </w:rPr>
        <w:t>pendant, dans la plupart des cas, le degré de contribution ne peut être évalué de manière précise, en raison des limites de l</w:t>
      </w:r>
      <w:r w:rsidR="00535418" w:rsidRPr="00F32187">
        <w:rPr>
          <w:lang w:val="fr-FR"/>
        </w:rPr>
        <w:t>’</w:t>
      </w:r>
      <w:r w:rsidRPr="00F32187">
        <w:rPr>
          <w:lang w:val="fr-FR"/>
        </w:rPr>
        <w:t>évaluation.</w:t>
      </w:r>
    </w:p>
    <w:p w14:paraId="40FDA761" w14:textId="7366D622" w:rsidR="00E045F1" w:rsidRPr="00F32187" w:rsidRDefault="00E045F1" w:rsidP="00E045F1">
      <w:pPr>
        <w:pStyle w:val="ONUMFS"/>
        <w:rPr>
          <w:lang w:val="fr-FR"/>
        </w:rPr>
      </w:pPr>
      <w:r w:rsidRPr="00F32187">
        <w:rPr>
          <w:lang w:val="fr-FR"/>
        </w:rPr>
        <w:t>Un résultat courant des recherches en matière de propriété intellectuelle, d</w:t>
      </w:r>
      <w:r w:rsidR="00535418" w:rsidRPr="00F32187">
        <w:rPr>
          <w:lang w:val="fr-FR"/>
        </w:rPr>
        <w:t>’</w:t>
      </w:r>
      <w:r w:rsidRPr="00F32187">
        <w:rPr>
          <w:lang w:val="fr-FR"/>
        </w:rPr>
        <w:t>après les répondants à l</w:t>
      </w:r>
      <w:r w:rsidR="00535418" w:rsidRPr="00F32187">
        <w:rPr>
          <w:lang w:val="fr-FR"/>
        </w:rPr>
        <w:t>’</w:t>
      </w:r>
      <w:r w:rsidRPr="00F32187">
        <w:rPr>
          <w:lang w:val="fr-FR"/>
        </w:rPr>
        <w:t>enquête et les informateurs clés, est une incidence conceptuelle sur les connaissances, la compréhension et l</w:t>
      </w:r>
      <w:r w:rsidR="00535418" w:rsidRPr="00F32187">
        <w:rPr>
          <w:lang w:val="fr-FR"/>
        </w:rPr>
        <w:t>’</w:t>
      </w:r>
      <w:r w:rsidRPr="00F32187">
        <w:rPr>
          <w:lang w:val="fr-FR"/>
        </w:rPr>
        <w:t>attitude des chercheurs et des parties prenantes en ce qui concerne les avantages économiques de l</w:t>
      </w:r>
      <w:r w:rsidR="00535418" w:rsidRPr="00F32187">
        <w:rPr>
          <w:lang w:val="fr-FR"/>
        </w:rPr>
        <w:t>’</w:t>
      </w:r>
      <w:r w:rsidRPr="00F32187">
        <w:rPr>
          <w:lang w:val="fr-FR"/>
        </w:rPr>
        <w:t>innovati</w:t>
      </w:r>
      <w:r w:rsidR="00F32187" w:rsidRPr="00F32187">
        <w:rPr>
          <w:lang w:val="fr-FR"/>
        </w:rPr>
        <w:t>on.  Ce</w:t>
      </w:r>
      <w:r w:rsidRPr="00F32187">
        <w:rPr>
          <w:lang w:val="fr-FR"/>
        </w:rPr>
        <w:t>tte incidence reflète la croissance des recherches pluridisciplinaires en matière de propriété intellectuelle qui requièrent des collaborations à grande échelle entre différents cadres, méthodes et perspectives de recherche, ainsi qu</w:t>
      </w:r>
      <w:r w:rsidR="00535418" w:rsidRPr="00F32187">
        <w:rPr>
          <w:lang w:val="fr-FR"/>
        </w:rPr>
        <w:t>’</w:t>
      </w:r>
      <w:r w:rsidRPr="00F32187">
        <w:rPr>
          <w:lang w:val="fr-FR"/>
        </w:rPr>
        <w:t>entre différents individus, institutions et sources de financeme</w:t>
      </w:r>
      <w:r w:rsidR="00F32187" w:rsidRPr="00F32187">
        <w:rPr>
          <w:lang w:val="fr-FR"/>
        </w:rPr>
        <w:t>nt.  Si</w:t>
      </w:r>
      <w:r w:rsidRPr="00F32187">
        <w:rPr>
          <w:lang w:val="fr-FR"/>
        </w:rPr>
        <w:t xml:space="preserve"> le projet ne peut revendiquer une contribution directe à cet impact, il ressort néanmoins clairement des témoignages des parties prenantes qu</w:t>
      </w:r>
      <w:r w:rsidR="00535418" w:rsidRPr="00F32187">
        <w:rPr>
          <w:lang w:val="fr-FR"/>
        </w:rPr>
        <w:t>’</w:t>
      </w:r>
      <w:r w:rsidRPr="00F32187">
        <w:rPr>
          <w:lang w:val="fr-FR"/>
        </w:rPr>
        <w:t>il a grandement contribué à ce changement.</w:t>
      </w:r>
    </w:p>
    <w:p w14:paraId="5E0AFD11" w14:textId="4BB42D45" w:rsidR="00E045F1" w:rsidRPr="00F32187" w:rsidRDefault="00E045F1" w:rsidP="00E045F1">
      <w:pPr>
        <w:pStyle w:val="ONUMFS"/>
        <w:rPr>
          <w:lang w:val="fr-FR"/>
        </w:rPr>
      </w:pPr>
      <w:r w:rsidRPr="00F32187">
        <w:rPr>
          <w:lang w:val="fr-FR"/>
        </w:rPr>
        <w:t>Un nombre important de répondants à l</w:t>
      </w:r>
      <w:r w:rsidR="00535418" w:rsidRPr="00F32187">
        <w:rPr>
          <w:lang w:val="fr-FR"/>
        </w:rPr>
        <w:t>’</w:t>
      </w:r>
      <w:r w:rsidRPr="00F32187">
        <w:rPr>
          <w:lang w:val="fr-FR"/>
        </w:rPr>
        <w:t>enquête (45</w:t>
      </w:r>
      <w:r w:rsidR="00B37BEF" w:rsidRPr="00F32187">
        <w:rPr>
          <w:lang w:val="fr-FR"/>
        </w:rPr>
        <w:t>%)</w:t>
      </w:r>
      <w:r w:rsidRPr="00F32187">
        <w:rPr>
          <w:lang w:val="fr-FR"/>
        </w:rPr>
        <w:t xml:space="preserve"> ont indiqué que le projet a eu une incidence sur les priorités d</w:t>
      </w:r>
      <w:r w:rsidR="00535418" w:rsidRPr="00F32187">
        <w:rPr>
          <w:lang w:val="fr-FR"/>
        </w:rPr>
        <w:t>’</w:t>
      </w:r>
      <w:r w:rsidRPr="00F32187">
        <w:rPr>
          <w:lang w:val="fr-FR"/>
        </w:rPr>
        <w:t>investissement des secteurs public et privé (</w:t>
      </w:r>
      <w:r w:rsidRPr="00F32187">
        <w:rPr>
          <w:lang w:val="fr-FR"/>
        </w:rPr>
        <w:fldChar w:fldCharType="begin"/>
      </w:r>
      <w:r w:rsidRPr="00F32187">
        <w:rPr>
          <w:lang w:val="fr-FR"/>
        </w:rPr>
        <w:instrText xml:space="preserve"> REF _Ref139883412 \h  \* MERGEFORMAT </w:instrText>
      </w:r>
      <w:r w:rsidRPr="00F32187">
        <w:rPr>
          <w:lang w:val="fr-FR"/>
        </w:rPr>
      </w:r>
      <w:r w:rsidRPr="00F32187">
        <w:rPr>
          <w:lang w:val="fr-FR"/>
        </w:rPr>
        <w:fldChar w:fldCharType="separate"/>
      </w:r>
      <w:r w:rsidR="0094636A" w:rsidRPr="00F32187">
        <w:rPr>
          <w:lang w:val="fr-FR"/>
        </w:rPr>
        <w:t xml:space="preserve">Figure </w:t>
      </w:r>
      <w:r w:rsidR="0094636A">
        <w:rPr>
          <w:noProof/>
          <w:lang w:val="fr-FR"/>
        </w:rPr>
        <w:t>5</w:t>
      </w:r>
      <w:r w:rsidRPr="00F32187">
        <w:rPr>
          <w:lang w:val="fr-FR"/>
        </w:rPr>
        <w:fldChar w:fldCharType="end"/>
      </w:r>
      <w:r w:rsidRPr="00F32187">
        <w:rPr>
          <w:lang w:val="fr-FR"/>
        </w:rPr>
        <w:t>).  Plus précisément, les résultats des travaux de recherche et la capacité accrue des pays bénéficiaires à faire rapport sur les questions de propriété intellectuelle ont convaincu les acteurs du secteur privé de l</w:t>
      </w:r>
      <w:r w:rsidR="00535418" w:rsidRPr="00F32187">
        <w:rPr>
          <w:lang w:val="fr-FR"/>
        </w:rPr>
        <w:t>’</w:t>
      </w:r>
      <w:r w:rsidRPr="00F32187">
        <w:rPr>
          <w:lang w:val="fr-FR"/>
        </w:rPr>
        <w:t>importance économique de la réglementation de la propriété intellectuel</w:t>
      </w:r>
      <w:r w:rsidR="00F32187" w:rsidRPr="00F32187">
        <w:rPr>
          <w:lang w:val="fr-FR"/>
        </w:rPr>
        <w:t>le.  On</w:t>
      </w:r>
      <w:r w:rsidRPr="00F32187">
        <w:rPr>
          <w:lang w:val="fr-FR"/>
        </w:rPr>
        <w:t xml:space="preserve"> peut donc affirmer que le projet a contribué à une chaîne de réaction positive, dans le cadre de laquelle la sensibilisation accrue aux questions de propriété intellectuelle a contribué à une augmentation des investissements consacrés à l</w:t>
      </w:r>
      <w:r w:rsidR="00535418" w:rsidRPr="00F32187">
        <w:rPr>
          <w:lang w:val="fr-FR"/>
        </w:rPr>
        <w:t>’</w:t>
      </w:r>
      <w:r w:rsidRPr="00F32187">
        <w:rPr>
          <w:lang w:val="fr-FR"/>
        </w:rPr>
        <w:t>innovation et à l</w:t>
      </w:r>
      <w:r w:rsidR="00535418" w:rsidRPr="00F32187">
        <w:rPr>
          <w:lang w:val="fr-FR"/>
        </w:rPr>
        <w:t>’</w:t>
      </w:r>
      <w:r w:rsidRPr="00F32187">
        <w:rPr>
          <w:lang w:val="fr-FR"/>
        </w:rPr>
        <w:t>enregistrement de la propriété intellectuelle, ce qui a à son tour mené à une plus grande sensibilisation et à davantage d</w:t>
      </w:r>
      <w:r w:rsidR="00535418" w:rsidRPr="00F32187">
        <w:rPr>
          <w:lang w:val="fr-FR"/>
        </w:rPr>
        <w:t>’</w:t>
      </w:r>
      <w:r w:rsidRPr="00F32187">
        <w:rPr>
          <w:lang w:val="fr-FR"/>
        </w:rPr>
        <w:t>investissements enco</w:t>
      </w:r>
      <w:r w:rsidR="00F32187" w:rsidRPr="00F32187">
        <w:rPr>
          <w:lang w:val="fr-FR"/>
        </w:rPr>
        <w:t>re.  Pa</w:t>
      </w:r>
      <w:r w:rsidRPr="00F32187">
        <w:rPr>
          <w:lang w:val="fr-FR"/>
        </w:rPr>
        <w:t>rmi les autres incidences mentionnées durant l</w:t>
      </w:r>
      <w:r w:rsidR="00535418" w:rsidRPr="00F32187">
        <w:rPr>
          <w:lang w:val="fr-FR"/>
        </w:rPr>
        <w:t>’</w:t>
      </w:r>
      <w:r w:rsidRPr="00F32187">
        <w:rPr>
          <w:lang w:val="fr-FR"/>
        </w:rPr>
        <w:t>évaluation, on peut citer la contribution du projet à un recours accru aux modèles d</w:t>
      </w:r>
      <w:r w:rsidR="00535418" w:rsidRPr="00F32187">
        <w:rPr>
          <w:lang w:val="fr-FR"/>
        </w:rPr>
        <w:t>’</w:t>
      </w:r>
      <w:r w:rsidRPr="00F32187">
        <w:rPr>
          <w:lang w:val="fr-FR"/>
        </w:rPr>
        <w:t>utilité par les autorités nationales.</w:t>
      </w:r>
    </w:p>
    <w:p w14:paraId="72637965" w14:textId="6D0351E3" w:rsidR="00E045F1" w:rsidRPr="00F32187" w:rsidRDefault="00E045F1" w:rsidP="00E045F1">
      <w:pPr>
        <w:pStyle w:val="Caption"/>
        <w:spacing w:after="120"/>
        <w:jc w:val="center"/>
        <w:rPr>
          <w:lang w:val="fr-FR"/>
        </w:rPr>
      </w:pPr>
      <w:bookmarkStart w:id="49" w:name="_Ref139883412"/>
      <w:r w:rsidRPr="00F32187">
        <w:rPr>
          <w:lang w:val="fr-FR"/>
        </w:rPr>
        <w:t xml:space="preserve">Figure </w:t>
      </w:r>
      <w:r w:rsidRPr="00F32187">
        <w:rPr>
          <w:lang w:val="fr-FR"/>
        </w:rPr>
        <w:fldChar w:fldCharType="begin"/>
      </w:r>
      <w:r w:rsidRPr="00F32187">
        <w:rPr>
          <w:lang w:val="fr-FR"/>
        </w:rPr>
        <w:instrText xml:space="preserve"> SEQ Figure \* ARABIC </w:instrText>
      </w:r>
      <w:r w:rsidRPr="00F32187">
        <w:rPr>
          <w:lang w:val="fr-FR"/>
        </w:rPr>
        <w:fldChar w:fldCharType="separate"/>
      </w:r>
      <w:r w:rsidR="0094636A">
        <w:rPr>
          <w:noProof/>
          <w:lang w:val="fr-FR"/>
        </w:rPr>
        <w:t>5</w:t>
      </w:r>
      <w:r w:rsidRPr="00F32187">
        <w:rPr>
          <w:lang w:val="fr-FR"/>
        </w:rPr>
        <w:fldChar w:fldCharType="end"/>
      </w:r>
      <w:bookmarkEnd w:id="49"/>
      <w:r w:rsidR="00535418" w:rsidRPr="00F32187">
        <w:rPr>
          <w:lang w:val="fr-FR"/>
        </w:rPr>
        <w:t> :</w:t>
      </w:r>
      <w:r w:rsidRPr="00F32187">
        <w:rPr>
          <w:lang w:val="fr-FR"/>
        </w:rPr>
        <w:t xml:space="preserve"> La majorité des participants estiment que le projet a contribué à une augmentation des investissements </w:t>
      </w:r>
      <w:proofErr w:type="gramStart"/>
      <w:r w:rsidRPr="00F32187">
        <w:rPr>
          <w:lang w:val="fr-FR"/>
        </w:rPr>
        <w:t>des secteurs public</w:t>
      </w:r>
      <w:proofErr w:type="gramEnd"/>
      <w:r w:rsidRPr="00F32187">
        <w:rPr>
          <w:lang w:val="fr-FR"/>
        </w:rPr>
        <w:t xml:space="preserve"> ou privé</w:t>
      </w:r>
    </w:p>
    <w:p w14:paraId="6D3503F6" w14:textId="249A3120" w:rsidR="00E045F1" w:rsidRPr="00F32187" w:rsidRDefault="002D7E82" w:rsidP="00E045F1">
      <w:pPr>
        <w:jc w:val="center"/>
        <w:rPr>
          <w:lang w:val="fr-FR"/>
        </w:rPr>
      </w:pPr>
      <w:r w:rsidRPr="002D7E82">
        <w:rPr>
          <w:noProof/>
        </w:rPr>
        <w:drawing>
          <wp:inline distT="0" distB="0" distL="0" distR="0" wp14:anchorId="6C4F6A7F" wp14:editId="0B2D544C">
            <wp:extent cx="4429125" cy="2751455"/>
            <wp:effectExtent l="0" t="0" r="9525" b="0"/>
            <wp:docPr id="16" name="Picture 16" descr="Figure 5 : La majorité des participants estiment que le projet a contribué à une augmentation des investissements des secteurs public ou pri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Figure 5 : La majorité des participants estiment que le projet a contribué à une augmentation des investissements des secteurs public ou privé"/>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29125" cy="2751455"/>
                    </a:xfrm>
                    <a:prstGeom prst="rect">
                      <a:avLst/>
                    </a:prstGeom>
                    <a:noFill/>
                    <a:ln>
                      <a:noFill/>
                    </a:ln>
                  </pic:spPr>
                </pic:pic>
              </a:graphicData>
            </a:graphic>
          </wp:inline>
        </w:drawing>
      </w:r>
    </w:p>
    <w:p w14:paraId="25E5E057" w14:textId="0CE984C0" w:rsidR="00E045F1" w:rsidRPr="00F32187" w:rsidRDefault="00E045F1" w:rsidP="00E045F1">
      <w:pPr>
        <w:pStyle w:val="ONUMFS"/>
        <w:spacing w:before="220"/>
        <w:rPr>
          <w:lang w:val="fr-FR"/>
        </w:rPr>
      </w:pPr>
      <w:r w:rsidRPr="00F32187">
        <w:rPr>
          <w:lang w:val="fr-FR"/>
        </w:rPr>
        <w:lastRenderedPageBreak/>
        <w:t>Il ne semble guère que le projet ait contribué à un changement dans la gestion des offices de propriété intellectuelle ou d</w:t>
      </w:r>
      <w:r w:rsidR="00535418" w:rsidRPr="00F32187">
        <w:rPr>
          <w:lang w:val="fr-FR"/>
        </w:rPr>
        <w:t>’</w:t>
      </w:r>
      <w:r w:rsidRPr="00F32187">
        <w:rPr>
          <w:lang w:val="fr-FR"/>
        </w:rPr>
        <w:t>autres organisatio</w:t>
      </w:r>
      <w:r w:rsidR="00F32187" w:rsidRPr="00F32187">
        <w:rPr>
          <w:lang w:val="fr-FR"/>
        </w:rPr>
        <w:t>ns.  Ce</w:t>
      </w:r>
      <w:r w:rsidRPr="00F32187">
        <w:rPr>
          <w:lang w:val="fr-FR"/>
        </w:rPr>
        <w:t>pendant, l</w:t>
      </w:r>
      <w:r w:rsidR="00535418" w:rsidRPr="00F32187">
        <w:rPr>
          <w:lang w:val="fr-FR"/>
        </w:rPr>
        <w:t>’</w:t>
      </w:r>
      <w:r w:rsidRPr="00F32187">
        <w:rPr>
          <w:lang w:val="fr-FR"/>
        </w:rPr>
        <w:t>étude de cas du Brésil porte à croire que la disponibilité des données issues du projet a contribué à des prises de décisions davantage fondées sur des bases factuelles</w:t>
      </w:r>
      <w:r w:rsidRPr="00F32187">
        <w:rPr>
          <w:rStyle w:val="FootnoteReference"/>
          <w:lang w:val="fr-FR"/>
        </w:rPr>
        <w:footnoteReference w:id="11"/>
      </w:r>
      <w:r w:rsidRPr="00F32187">
        <w:rPr>
          <w:lang w:val="fr-FR"/>
        </w:rPr>
        <w:t>.</w:t>
      </w:r>
    </w:p>
    <w:p w14:paraId="7EDC39B3" w14:textId="1676BC90" w:rsidR="00E045F1" w:rsidRPr="00F32187" w:rsidRDefault="00E045F1" w:rsidP="00E045F1">
      <w:pPr>
        <w:pStyle w:val="Caption"/>
        <w:spacing w:after="120"/>
        <w:jc w:val="center"/>
        <w:rPr>
          <w:lang w:val="fr-FR"/>
        </w:rPr>
      </w:pPr>
      <w:r w:rsidRPr="00F32187">
        <w:rPr>
          <w:lang w:val="fr-FR"/>
        </w:rPr>
        <w:t xml:space="preserve">Figure </w:t>
      </w:r>
      <w:r w:rsidRPr="00F32187">
        <w:rPr>
          <w:lang w:val="fr-FR"/>
        </w:rPr>
        <w:fldChar w:fldCharType="begin"/>
      </w:r>
      <w:r w:rsidRPr="00F32187">
        <w:rPr>
          <w:lang w:val="fr-FR"/>
        </w:rPr>
        <w:instrText xml:space="preserve"> SEQ Figure \* ARABIC </w:instrText>
      </w:r>
      <w:r w:rsidRPr="00F32187">
        <w:rPr>
          <w:lang w:val="fr-FR"/>
        </w:rPr>
        <w:fldChar w:fldCharType="separate"/>
      </w:r>
      <w:r w:rsidR="0094636A">
        <w:rPr>
          <w:noProof/>
          <w:lang w:val="fr-FR"/>
        </w:rPr>
        <w:t>6</w:t>
      </w:r>
      <w:r w:rsidRPr="00F32187">
        <w:rPr>
          <w:lang w:val="fr-FR"/>
        </w:rPr>
        <w:fldChar w:fldCharType="end"/>
      </w:r>
      <w:r w:rsidR="00535418" w:rsidRPr="00F32187">
        <w:rPr>
          <w:lang w:val="fr-FR"/>
        </w:rPr>
        <w:t> :</w:t>
      </w:r>
      <w:r w:rsidRPr="00F32187">
        <w:rPr>
          <w:lang w:val="fr-FR"/>
        </w:rPr>
        <w:t xml:space="preserve"> La plupart des participants ont indiqué que le projet n</w:t>
      </w:r>
      <w:r w:rsidR="00535418" w:rsidRPr="00F32187">
        <w:rPr>
          <w:lang w:val="fr-FR"/>
        </w:rPr>
        <w:t>’</w:t>
      </w:r>
      <w:r w:rsidRPr="00F32187">
        <w:rPr>
          <w:lang w:val="fr-FR"/>
        </w:rPr>
        <w:t>a pas eu d</w:t>
      </w:r>
      <w:r w:rsidR="00535418" w:rsidRPr="00F32187">
        <w:rPr>
          <w:lang w:val="fr-FR"/>
        </w:rPr>
        <w:t>’</w:t>
      </w:r>
      <w:r w:rsidRPr="00F32187">
        <w:rPr>
          <w:lang w:val="fr-FR"/>
        </w:rPr>
        <w:t>incidence sur les pratiques de gestion de leur organisation</w:t>
      </w:r>
    </w:p>
    <w:p w14:paraId="619E8EE6" w14:textId="4EF85234" w:rsidR="00E045F1" w:rsidRPr="00F32187" w:rsidRDefault="002D7E82" w:rsidP="00E045F1">
      <w:pPr>
        <w:jc w:val="center"/>
        <w:rPr>
          <w:lang w:val="fr-FR"/>
        </w:rPr>
      </w:pPr>
      <w:r w:rsidRPr="002D7E82">
        <w:rPr>
          <w:noProof/>
        </w:rPr>
        <w:drawing>
          <wp:inline distT="0" distB="0" distL="0" distR="0" wp14:anchorId="4CD7F374" wp14:editId="10D86664">
            <wp:extent cx="4429125" cy="2751455"/>
            <wp:effectExtent l="0" t="0" r="9525" b="0"/>
            <wp:docPr id="17" name="Picture 17" descr="Figure 6 : La plupart des participants ont indiqué que le projet n’a pas eu d’incidence sur les pratiques de gestion de leur orga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Figure 6 : La plupart des participants ont indiqué que le projet n’a pas eu d’incidence sur les pratiques de gestion de leur organisat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29125" cy="2751455"/>
                    </a:xfrm>
                    <a:prstGeom prst="rect">
                      <a:avLst/>
                    </a:prstGeom>
                    <a:noFill/>
                    <a:ln>
                      <a:noFill/>
                    </a:ln>
                  </pic:spPr>
                </pic:pic>
              </a:graphicData>
            </a:graphic>
          </wp:inline>
        </w:drawing>
      </w:r>
    </w:p>
    <w:p w14:paraId="1ADCE599" w14:textId="780180E4" w:rsidR="00E045F1" w:rsidRPr="00F32187" w:rsidRDefault="00E045F1" w:rsidP="00E045F1">
      <w:pPr>
        <w:pStyle w:val="ONUMFS"/>
        <w:spacing w:before="220"/>
        <w:rPr>
          <w:lang w:val="fr-FR"/>
        </w:rPr>
      </w:pPr>
      <w:r w:rsidRPr="00F32187">
        <w:rPr>
          <w:lang w:val="fr-FR"/>
        </w:rPr>
        <w:t>Le projet n</w:t>
      </w:r>
      <w:r w:rsidR="00535418" w:rsidRPr="00F32187">
        <w:rPr>
          <w:lang w:val="fr-FR"/>
        </w:rPr>
        <w:t>’</w:t>
      </w:r>
      <w:r w:rsidRPr="00F32187">
        <w:rPr>
          <w:lang w:val="fr-FR"/>
        </w:rPr>
        <w:t>a pas produit de résultat mesurable en lien avec un accord, un traité ou une déclaration d</w:t>
      </w:r>
      <w:r w:rsidR="00535418" w:rsidRPr="00F32187">
        <w:rPr>
          <w:lang w:val="fr-FR"/>
        </w:rPr>
        <w:t>’</w:t>
      </w:r>
      <w:r w:rsidRPr="00F32187">
        <w:rPr>
          <w:lang w:val="fr-FR"/>
        </w:rPr>
        <w:t>envergure internationale (</w:t>
      </w:r>
      <w:r w:rsidRPr="00F32187">
        <w:rPr>
          <w:lang w:val="fr-FR"/>
        </w:rPr>
        <w:fldChar w:fldCharType="begin"/>
      </w:r>
      <w:r w:rsidRPr="00F32187">
        <w:rPr>
          <w:lang w:val="fr-FR"/>
        </w:rPr>
        <w:instrText xml:space="preserve"> REF _Ref139894046 \h </w:instrText>
      </w:r>
      <w:r w:rsidRPr="00F32187">
        <w:rPr>
          <w:lang w:val="fr-FR"/>
        </w:rPr>
      </w:r>
      <w:r w:rsidRPr="00F32187">
        <w:rPr>
          <w:lang w:val="fr-FR"/>
        </w:rPr>
        <w:fldChar w:fldCharType="separate"/>
      </w:r>
      <w:r w:rsidR="0094636A" w:rsidRPr="00F32187">
        <w:rPr>
          <w:lang w:val="fr-FR"/>
        </w:rPr>
        <w:t xml:space="preserve">Figure </w:t>
      </w:r>
      <w:r w:rsidR="0094636A">
        <w:rPr>
          <w:noProof/>
          <w:lang w:val="fr-FR"/>
        </w:rPr>
        <w:t>7</w:t>
      </w:r>
      <w:r w:rsidRPr="00F32187">
        <w:rPr>
          <w:lang w:val="fr-FR"/>
        </w:rPr>
        <w:fldChar w:fldCharType="end"/>
      </w:r>
      <w:r w:rsidRPr="00F32187">
        <w:rPr>
          <w:lang w:val="fr-FR"/>
        </w:rPr>
        <w:t>).  Cela est conforme aux principaux objectifs du projet, qui concernaient la réalisation de travaux de recherche en matière de propriété intellectuelle et le renforcement des capacités dans ce domaine.</w:t>
      </w:r>
    </w:p>
    <w:p w14:paraId="2760E278" w14:textId="10B4C885" w:rsidR="00E045F1" w:rsidRPr="00F32187" w:rsidRDefault="00E045F1" w:rsidP="00E045F1">
      <w:pPr>
        <w:pStyle w:val="Caption"/>
        <w:keepNext/>
        <w:keepLines/>
        <w:spacing w:after="120"/>
        <w:jc w:val="center"/>
        <w:rPr>
          <w:lang w:val="fr-FR"/>
        </w:rPr>
      </w:pPr>
      <w:bookmarkStart w:id="50" w:name="_Ref139894046"/>
      <w:r w:rsidRPr="00F32187">
        <w:rPr>
          <w:lang w:val="fr-FR"/>
        </w:rPr>
        <w:t xml:space="preserve">Figure </w:t>
      </w:r>
      <w:r w:rsidRPr="00F32187">
        <w:rPr>
          <w:lang w:val="fr-FR"/>
        </w:rPr>
        <w:fldChar w:fldCharType="begin"/>
      </w:r>
      <w:r w:rsidRPr="00F32187">
        <w:rPr>
          <w:lang w:val="fr-FR"/>
        </w:rPr>
        <w:instrText xml:space="preserve"> SEQ Figure \* ARABIC </w:instrText>
      </w:r>
      <w:r w:rsidRPr="00F32187">
        <w:rPr>
          <w:lang w:val="fr-FR"/>
        </w:rPr>
        <w:fldChar w:fldCharType="separate"/>
      </w:r>
      <w:r w:rsidR="0094636A">
        <w:rPr>
          <w:noProof/>
          <w:lang w:val="fr-FR"/>
        </w:rPr>
        <w:t>7</w:t>
      </w:r>
      <w:r w:rsidRPr="00F32187">
        <w:rPr>
          <w:lang w:val="fr-FR"/>
        </w:rPr>
        <w:fldChar w:fldCharType="end"/>
      </w:r>
      <w:bookmarkEnd w:id="50"/>
      <w:r w:rsidR="00535418" w:rsidRPr="00F32187">
        <w:rPr>
          <w:lang w:val="fr-FR"/>
        </w:rPr>
        <w:t> :</w:t>
      </w:r>
      <w:r w:rsidRPr="00F32187">
        <w:rPr>
          <w:lang w:val="fr-FR"/>
        </w:rPr>
        <w:t xml:space="preserve"> La majorité des participants ont indiqué que le projet n</w:t>
      </w:r>
      <w:r w:rsidR="00535418" w:rsidRPr="00F32187">
        <w:rPr>
          <w:lang w:val="fr-FR"/>
        </w:rPr>
        <w:t>’</w:t>
      </w:r>
      <w:r w:rsidRPr="00F32187">
        <w:rPr>
          <w:lang w:val="fr-FR"/>
        </w:rPr>
        <w:t>a pas contribué à une décision concernant la signature d</w:t>
      </w:r>
      <w:r w:rsidR="00535418" w:rsidRPr="00F32187">
        <w:rPr>
          <w:lang w:val="fr-FR"/>
        </w:rPr>
        <w:t>’</w:t>
      </w:r>
      <w:r w:rsidRPr="00F32187">
        <w:rPr>
          <w:lang w:val="fr-FR"/>
        </w:rPr>
        <w:t>un traité, d</w:t>
      </w:r>
      <w:r w:rsidR="00535418" w:rsidRPr="00F32187">
        <w:rPr>
          <w:lang w:val="fr-FR"/>
        </w:rPr>
        <w:t>’</w:t>
      </w:r>
      <w:r w:rsidRPr="00F32187">
        <w:rPr>
          <w:lang w:val="fr-FR"/>
        </w:rPr>
        <w:t>une déclaration ou d</w:t>
      </w:r>
      <w:r w:rsidR="00535418" w:rsidRPr="00F32187">
        <w:rPr>
          <w:lang w:val="fr-FR"/>
        </w:rPr>
        <w:t>’</w:t>
      </w:r>
      <w:r w:rsidRPr="00F32187">
        <w:rPr>
          <w:lang w:val="fr-FR"/>
        </w:rPr>
        <w:t>un accord</w:t>
      </w:r>
    </w:p>
    <w:p w14:paraId="4ADCDECC" w14:textId="609E3A41" w:rsidR="00E045F1" w:rsidRPr="00F32187" w:rsidRDefault="002D7E82" w:rsidP="00E045F1">
      <w:pPr>
        <w:jc w:val="center"/>
        <w:rPr>
          <w:lang w:val="fr-FR"/>
        </w:rPr>
      </w:pPr>
      <w:r w:rsidRPr="002D7E82">
        <w:rPr>
          <w:noProof/>
        </w:rPr>
        <w:drawing>
          <wp:inline distT="0" distB="0" distL="0" distR="0" wp14:anchorId="352BBC5B" wp14:editId="282BF8BE">
            <wp:extent cx="4429125" cy="2751455"/>
            <wp:effectExtent l="0" t="0" r="9525" b="0"/>
            <wp:docPr id="18" name="Picture 18" descr="Figure 7 : La majorité des participants ont indiqué que le projet n’a pas contribué à une décision concernant la signature d’un traité, d’une déclaration ou d’un ac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Figure 7 : La majorité des participants ont indiqué que le projet n’a pas contribué à une décision concernant la signature d’un traité, d’une déclaration ou d’un accor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29125" cy="2751455"/>
                    </a:xfrm>
                    <a:prstGeom prst="rect">
                      <a:avLst/>
                    </a:prstGeom>
                    <a:noFill/>
                    <a:ln>
                      <a:noFill/>
                    </a:ln>
                  </pic:spPr>
                </pic:pic>
              </a:graphicData>
            </a:graphic>
          </wp:inline>
        </w:drawing>
      </w:r>
    </w:p>
    <w:p w14:paraId="165C23B6" w14:textId="6DF4357D" w:rsidR="00E045F1" w:rsidRPr="00F32187" w:rsidRDefault="00E045F1" w:rsidP="00A26EB3">
      <w:pPr>
        <w:pStyle w:val="Heading2"/>
        <w:ind w:left="1134" w:hanging="567"/>
      </w:pPr>
      <w:bookmarkStart w:id="51" w:name="_Toc140224978"/>
      <w:bookmarkStart w:id="52" w:name="_Toc145933445"/>
      <w:bookmarkStart w:id="53" w:name="_Toc146025105"/>
      <w:r w:rsidRPr="00A26EB3">
        <w:lastRenderedPageBreak/>
        <w:t>Quelles sont les incidences intentionnelles et non</w:t>
      </w:r>
      <w:r w:rsidRPr="00F32187">
        <w:t xml:space="preserve"> intentionnelles du projet au sein de </w:t>
      </w:r>
      <w:proofErr w:type="gramStart"/>
      <w:r w:rsidRPr="00F32187">
        <w:t>l</w:t>
      </w:r>
      <w:r w:rsidR="00535418" w:rsidRPr="00F32187">
        <w:t>’</w:t>
      </w:r>
      <w:r w:rsidRPr="00F32187">
        <w:t>OMPI?</w:t>
      </w:r>
      <w:bookmarkEnd w:id="51"/>
      <w:bookmarkEnd w:id="52"/>
      <w:bookmarkEnd w:id="53"/>
      <w:proofErr w:type="gramEnd"/>
    </w:p>
    <w:p w14:paraId="67D2AA4C" w14:textId="3BF60416" w:rsidR="00E045F1" w:rsidRPr="00F32187" w:rsidRDefault="00E045F1" w:rsidP="00E045F1">
      <w:pPr>
        <w:pStyle w:val="ONUMFS"/>
        <w:spacing w:after="0"/>
        <w:rPr>
          <w:lang w:val="fr-FR"/>
        </w:rPr>
      </w:pPr>
      <w:r w:rsidRPr="00F32187">
        <w:rPr>
          <w:lang w:val="fr-FR"/>
        </w:rPr>
        <w:t>Le projet a contribué à l</w:t>
      </w:r>
      <w:r w:rsidR="00535418" w:rsidRPr="00F32187">
        <w:rPr>
          <w:lang w:val="fr-FR"/>
        </w:rPr>
        <w:t>’</w:t>
      </w:r>
      <w:r w:rsidRPr="00F32187">
        <w:rPr>
          <w:lang w:val="fr-FR"/>
        </w:rPr>
        <w:t>élargissement du Bureau de l</w:t>
      </w:r>
      <w:r w:rsidR="00535418" w:rsidRPr="00F32187">
        <w:rPr>
          <w:lang w:val="fr-FR"/>
        </w:rPr>
        <w:t>’</w:t>
      </w:r>
      <w:r w:rsidRPr="00F32187">
        <w:rPr>
          <w:lang w:val="fr-FR"/>
        </w:rPr>
        <w:t>économiste en chef et au renforcement des capacités internes d</w:t>
      </w:r>
      <w:r w:rsidR="00535418" w:rsidRPr="00F32187">
        <w:rPr>
          <w:lang w:val="fr-FR"/>
        </w:rPr>
        <w:t>’</w:t>
      </w:r>
      <w:r w:rsidRPr="00F32187">
        <w:rPr>
          <w:lang w:val="fr-FR"/>
        </w:rPr>
        <w:t>analyse économique empirique en matière de propriété intellectuelle et de développement à l</w:t>
      </w:r>
      <w:r w:rsidR="00535418" w:rsidRPr="00F32187">
        <w:rPr>
          <w:lang w:val="fr-FR"/>
        </w:rPr>
        <w:t>’</w:t>
      </w:r>
      <w:r w:rsidRPr="00F32187">
        <w:rPr>
          <w:lang w:val="fr-FR"/>
        </w:rPr>
        <w:t>intention des responsables de l</w:t>
      </w:r>
      <w:r w:rsidR="00535418" w:rsidRPr="00F32187">
        <w:rPr>
          <w:lang w:val="fr-FR"/>
        </w:rPr>
        <w:t>’</w:t>
      </w:r>
      <w:r w:rsidRPr="00F32187">
        <w:rPr>
          <w:lang w:val="fr-FR"/>
        </w:rPr>
        <w:t>élaboration des politiqu</w:t>
      </w:r>
      <w:r w:rsidR="00F32187" w:rsidRPr="00F32187">
        <w:rPr>
          <w:lang w:val="fr-FR"/>
        </w:rPr>
        <w:t>es.  Ce</w:t>
      </w:r>
      <w:r w:rsidRPr="00F32187">
        <w:rPr>
          <w:lang w:val="fr-FR"/>
        </w:rPr>
        <w:t>la étant dit, le projet n</w:t>
      </w:r>
      <w:r w:rsidR="00535418" w:rsidRPr="00F32187">
        <w:rPr>
          <w:lang w:val="fr-FR"/>
        </w:rPr>
        <w:t>’</w:t>
      </w:r>
      <w:r w:rsidRPr="00F32187">
        <w:rPr>
          <w:lang w:val="fr-FR"/>
        </w:rPr>
        <w:t>avait pas misé sur ce rôle et cette influence dans le cadre de ces process</w:t>
      </w:r>
      <w:r w:rsidR="00F32187" w:rsidRPr="00F32187">
        <w:rPr>
          <w:lang w:val="fr-FR"/>
        </w:rPr>
        <w:t>us.  De</w:t>
      </w:r>
      <w:r w:rsidRPr="00F32187">
        <w:rPr>
          <w:lang w:val="fr-FR"/>
        </w:rPr>
        <w:t xml:space="preserve"> plus, l</w:t>
      </w:r>
      <w:r w:rsidR="00535418" w:rsidRPr="00F32187">
        <w:rPr>
          <w:lang w:val="fr-FR"/>
        </w:rPr>
        <w:t>’</w:t>
      </w:r>
      <w:r w:rsidRPr="00F32187">
        <w:rPr>
          <w:lang w:val="fr-FR"/>
        </w:rPr>
        <w:t>OMPI a apporté plusieurs autres modifications à sa direction et à sa gouvernance au cours de cette période.</w:t>
      </w:r>
    </w:p>
    <w:p w14:paraId="17DC13C2" w14:textId="1A06B0C3" w:rsidR="00E045F1" w:rsidRPr="00F32187" w:rsidRDefault="00E045F1" w:rsidP="00A26EB3">
      <w:pPr>
        <w:pStyle w:val="Heading2"/>
        <w:ind w:left="1134" w:hanging="567"/>
      </w:pPr>
      <w:bookmarkStart w:id="54" w:name="_Toc140224979"/>
      <w:bookmarkStart w:id="55" w:name="_Toc145933446"/>
      <w:bookmarkStart w:id="56" w:name="_Toc146025106"/>
      <w:r w:rsidRPr="00F32187">
        <w:t>Les résultats du projet sont</w:t>
      </w:r>
      <w:r w:rsidR="00444006">
        <w:noBreakHyphen/>
      </w:r>
      <w:r w:rsidRPr="00F32187">
        <w:t xml:space="preserve">ils </w:t>
      </w:r>
      <w:proofErr w:type="gramStart"/>
      <w:r w:rsidRPr="00F32187">
        <w:t>pérennes?</w:t>
      </w:r>
      <w:bookmarkEnd w:id="54"/>
      <w:bookmarkEnd w:id="55"/>
      <w:bookmarkEnd w:id="56"/>
      <w:proofErr w:type="gramEnd"/>
    </w:p>
    <w:p w14:paraId="70EEAD66" w14:textId="10F4B9E6" w:rsidR="00E045F1" w:rsidRPr="00F32187" w:rsidRDefault="00E045F1" w:rsidP="00E045F1">
      <w:pPr>
        <w:pStyle w:val="ONUMFS"/>
        <w:rPr>
          <w:lang w:val="fr-FR"/>
        </w:rPr>
      </w:pPr>
      <w:r w:rsidRPr="00F32187">
        <w:rPr>
          <w:lang w:val="fr-FR"/>
        </w:rPr>
        <w:t>Le projet a obtenu des incidences pérennes en formant et en guidant les offices de propriété intellectuelle quant à la manière de procéder à des analyses économiques en s</w:t>
      </w:r>
      <w:r w:rsidR="00535418" w:rsidRPr="00F32187">
        <w:rPr>
          <w:lang w:val="fr-FR"/>
        </w:rPr>
        <w:t>’</w:t>
      </w:r>
      <w:r w:rsidRPr="00F32187">
        <w:rPr>
          <w:lang w:val="fr-FR"/>
        </w:rPr>
        <w:t>appuyant sur les données de propriété intellectuel</w:t>
      </w:r>
      <w:r w:rsidR="00F32187" w:rsidRPr="00F32187">
        <w:rPr>
          <w:lang w:val="fr-FR"/>
        </w:rPr>
        <w:t>le.  Ce</w:t>
      </w:r>
      <w:r w:rsidRPr="00F32187">
        <w:rPr>
          <w:lang w:val="fr-FR"/>
        </w:rPr>
        <w:t>tte incidence remarquable est survenue parallèlement à un recentrage disciplinaire, la première phase du projet ayant été davantage axée sur les juristes, tandis que l</w:t>
      </w:r>
      <w:r w:rsidR="00535418" w:rsidRPr="00F32187">
        <w:rPr>
          <w:lang w:val="fr-FR"/>
        </w:rPr>
        <w:t>’</w:t>
      </w:r>
      <w:r w:rsidRPr="00F32187">
        <w:rPr>
          <w:lang w:val="fr-FR"/>
        </w:rPr>
        <w:t>on a fait appel à un groupe plus diversifié de chercheurs pour la deuxième phase, et notamment à des spécialistes dans le domaine de l</w:t>
      </w:r>
      <w:r w:rsidR="00535418" w:rsidRPr="00F32187">
        <w:rPr>
          <w:lang w:val="fr-FR"/>
        </w:rPr>
        <w:t>’</w:t>
      </w:r>
      <w:r w:rsidRPr="00F32187">
        <w:rPr>
          <w:lang w:val="fr-FR"/>
        </w:rPr>
        <w:t>économ</w:t>
      </w:r>
      <w:r w:rsidR="00F32187" w:rsidRPr="00F32187">
        <w:rPr>
          <w:lang w:val="fr-FR"/>
        </w:rPr>
        <w:t>ie.  Le</w:t>
      </w:r>
      <w:r w:rsidRPr="00F32187">
        <w:rPr>
          <w:lang w:val="fr-FR"/>
        </w:rPr>
        <w:t xml:space="preserve"> projet ne peut revendiquer cette incidence, mais il peut raisonnablement prétendre avoir contribué à l</w:t>
      </w:r>
      <w:r w:rsidR="00535418" w:rsidRPr="00F32187">
        <w:rPr>
          <w:lang w:val="fr-FR"/>
        </w:rPr>
        <w:t>’</w:t>
      </w:r>
      <w:r w:rsidRPr="00F32187">
        <w:rPr>
          <w:lang w:val="fr-FR"/>
        </w:rPr>
        <w:t>adoption d</w:t>
      </w:r>
      <w:r w:rsidR="00535418" w:rsidRPr="00F32187">
        <w:rPr>
          <w:lang w:val="fr-FR"/>
        </w:rPr>
        <w:t>’</w:t>
      </w:r>
      <w:r w:rsidRPr="00F32187">
        <w:rPr>
          <w:lang w:val="fr-FR"/>
        </w:rPr>
        <w:t>une approche plus multidisciplinaire de la recherche en matière de propriété intellectuelle dans les pays bénéficiaires.</w:t>
      </w:r>
    </w:p>
    <w:p w14:paraId="0F7F1D8A" w14:textId="1B9179AC" w:rsidR="00E045F1" w:rsidRPr="00F32187" w:rsidRDefault="00E045F1" w:rsidP="00E045F1">
      <w:pPr>
        <w:pStyle w:val="ONUMFS"/>
        <w:spacing w:after="0"/>
        <w:rPr>
          <w:lang w:val="fr-FR"/>
        </w:rPr>
      </w:pPr>
      <w:r w:rsidRPr="00F32187">
        <w:rPr>
          <w:lang w:val="fr-FR"/>
        </w:rPr>
        <w:t>En ce qui concerne la production de connaissances, le projet a engendré deux</w:t>
      </w:r>
      <w:r w:rsidR="00B37BEF" w:rsidRPr="00F32187">
        <w:rPr>
          <w:lang w:val="fr-FR"/>
        </w:rPr>
        <w:t> </w:t>
      </w:r>
      <w:r w:rsidRPr="00F32187">
        <w:rPr>
          <w:lang w:val="fr-FR"/>
        </w:rPr>
        <w:t>résultats principaux</w:t>
      </w:r>
      <w:r w:rsidR="00535418" w:rsidRPr="00F32187">
        <w:rPr>
          <w:lang w:val="fr-FR"/>
        </w:rPr>
        <w:t> :</w:t>
      </w:r>
      <w:r w:rsidRPr="00F32187">
        <w:rPr>
          <w:lang w:val="fr-FR"/>
        </w:rPr>
        <w:t xml:space="preserve"> i) la documentation rigoureuse des sources de données, des méthodes et des indicateurs utilisés pour analyser les schémas et les caractéristiques de l</w:t>
      </w:r>
      <w:r w:rsidR="00535418" w:rsidRPr="00F32187">
        <w:rPr>
          <w:lang w:val="fr-FR"/>
        </w:rPr>
        <w:t>’</w:t>
      </w:r>
      <w:r w:rsidRPr="00F32187">
        <w:rPr>
          <w:lang w:val="fr-FR"/>
        </w:rPr>
        <w:t>utilisation de la propriété intellectuelle dans différents contextes;  et ii) un ensemble de données fiable et pertinent permettant d</w:t>
      </w:r>
      <w:r w:rsidR="00535418" w:rsidRPr="00F32187">
        <w:rPr>
          <w:lang w:val="fr-FR"/>
        </w:rPr>
        <w:t>’</w:t>
      </w:r>
      <w:r w:rsidRPr="00F32187">
        <w:rPr>
          <w:lang w:val="fr-FR"/>
        </w:rPr>
        <w:t>évaluer l</w:t>
      </w:r>
      <w:r w:rsidR="00535418" w:rsidRPr="00F32187">
        <w:rPr>
          <w:lang w:val="fr-FR"/>
        </w:rPr>
        <w:t>’</w:t>
      </w:r>
      <w:r w:rsidRPr="00F32187">
        <w:rPr>
          <w:lang w:val="fr-FR"/>
        </w:rPr>
        <w:t>incidence de la propriété intellectuelle sur différents aspects de la société et de l</w:t>
      </w:r>
      <w:r w:rsidR="00535418" w:rsidRPr="00F32187">
        <w:rPr>
          <w:lang w:val="fr-FR"/>
        </w:rPr>
        <w:t>’</w:t>
      </w:r>
      <w:r w:rsidRPr="00F32187">
        <w:rPr>
          <w:lang w:val="fr-FR"/>
        </w:rPr>
        <w:t>économie dans les pays bénéficiair</w:t>
      </w:r>
      <w:r w:rsidR="00F32187" w:rsidRPr="00F32187">
        <w:rPr>
          <w:lang w:val="fr-FR"/>
        </w:rPr>
        <w:t>es.  La</w:t>
      </w:r>
      <w:r w:rsidRPr="00F32187">
        <w:rPr>
          <w:lang w:val="fr-FR"/>
        </w:rPr>
        <w:t xml:space="preserve"> documentation du projet peut servir de référence et de modèle pour de futures études faisant appel à des données et approches similaires, elle est donc en grande mesure reproductib</w:t>
      </w:r>
      <w:r w:rsidR="00F32187" w:rsidRPr="00F32187">
        <w:rPr>
          <w:lang w:val="fr-FR"/>
        </w:rPr>
        <w:t>le.  L’e</w:t>
      </w:r>
      <w:r w:rsidRPr="00F32187">
        <w:rPr>
          <w:lang w:val="fr-FR"/>
        </w:rPr>
        <w:t>nsemble de données peut mener à une meilleure compréhension des incidences socioéconomiques de la propriété intellectuelle et de leur mise à profit par les parties prenant</w:t>
      </w:r>
      <w:r w:rsidR="00F32187" w:rsidRPr="00F32187">
        <w:rPr>
          <w:lang w:val="fr-FR"/>
        </w:rPr>
        <w:t>es.  L’é</w:t>
      </w:r>
      <w:r w:rsidRPr="00F32187">
        <w:rPr>
          <w:lang w:val="fr-FR"/>
        </w:rPr>
        <w:t>tude de cas de l</w:t>
      </w:r>
      <w:r w:rsidR="00535418" w:rsidRPr="00F32187">
        <w:rPr>
          <w:lang w:val="fr-FR"/>
        </w:rPr>
        <w:t>’</w:t>
      </w:r>
      <w:r w:rsidRPr="00F32187">
        <w:rPr>
          <w:lang w:val="fr-FR"/>
        </w:rPr>
        <w:t>Indonésie illustre cet effet</w:t>
      </w:r>
      <w:r w:rsidRPr="00F32187">
        <w:rPr>
          <w:rStyle w:val="FootnoteReference"/>
          <w:lang w:val="fr-FR"/>
        </w:rPr>
        <w:footnoteReference w:id="12"/>
      </w:r>
      <w:r w:rsidRPr="00F32187">
        <w:rPr>
          <w:lang w:val="fr-FR"/>
        </w:rPr>
        <w:t>.</w:t>
      </w:r>
    </w:p>
    <w:p w14:paraId="1A9CF7CC" w14:textId="447A163A" w:rsidR="00E045F1" w:rsidRPr="00F32187" w:rsidRDefault="00A26EB3" w:rsidP="00A26EB3">
      <w:pPr>
        <w:pStyle w:val="Heading2"/>
        <w:ind w:left="1134" w:hanging="567"/>
      </w:pPr>
      <w:bookmarkStart w:id="57" w:name="_Toc140224980"/>
      <w:bookmarkStart w:id="58" w:name="_Toc145933447"/>
      <w:bookmarkStart w:id="59" w:name="_Toc146025107"/>
      <w:r>
        <w:t>Q</w:t>
      </w:r>
      <w:r w:rsidRPr="00F32187">
        <w:t xml:space="preserve">uelles conditions ont rendu possible ou entravé l’obtention des incidences </w:t>
      </w:r>
      <w:proofErr w:type="gramStart"/>
      <w:r w:rsidRPr="00F32187">
        <w:t>visées?</w:t>
      </w:r>
      <w:bookmarkEnd w:id="57"/>
      <w:bookmarkEnd w:id="58"/>
      <w:bookmarkEnd w:id="59"/>
      <w:proofErr w:type="gramEnd"/>
    </w:p>
    <w:p w14:paraId="12DB1D96" w14:textId="2088229A" w:rsidR="00E045F1" w:rsidRPr="00F32187" w:rsidRDefault="00E045F1" w:rsidP="00E045F1">
      <w:pPr>
        <w:pStyle w:val="ONUMFS"/>
        <w:rPr>
          <w:lang w:val="fr-FR"/>
        </w:rPr>
      </w:pPr>
      <w:r w:rsidRPr="00F32187">
        <w:rPr>
          <w:lang w:val="fr-FR"/>
        </w:rPr>
        <w:t>Les répondants à l</w:t>
      </w:r>
      <w:r w:rsidR="00535418" w:rsidRPr="00F32187">
        <w:rPr>
          <w:lang w:val="fr-FR"/>
        </w:rPr>
        <w:t>’</w:t>
      </w:r>
      <w:r w:rsidRPr="00F32187">
        <w:rPr>
          <w:lang w:val="fr-FR"/>
        </w:rPr>
        <w:t>enquête ont mis en évidence trois</w:t>
      </w:r>
      <w:r w:rsidR="00B37BEF" w:rsidRPr="00F32187">
        <w:rPr>
          <w:lang w:val="fr-FR"/>
        </w:rPr>
        <w:t> </w:t>
      </w:r>
      <w:r w:rsidRPr="00F32187">
        <w:rPr>
          <w:lang w:val="fr-FR"/>
        </w:rPr>
        <w:t>conditions critiques qui ont permis l</w:t>
      </w:r>
      <w:r w:rsidR="00535418" w:rsidRPr="00F32187">
        <w:rPr>
          <w:lang w:val="fr-FR"/>
        </w:rPr>
        <w:t>’</w:t>
      </w:r>
      <w:r w:rsidRPr="00F32187">
        <w:rPr>
          <w:lang w:val="fr-FR"/>
        </w:rPr>
        <w:t>obtention d</w:t>
      </w:r>
      <w:r w:rsidR="00535418" w:rsidRPr="00F32187">
        <w:rPr>
          <w:lang w:val="fr-FR"/>
        </w:rPr>
        <w:t>’</w:t>
      </w:r>
      <w:r w:rsidRPr="00F32187">
        <w:rPr>
          <w:lang w:val="fr-FR"/>
        </w:rPr>
        <w:t>incidences</w:t>
      </w:r>
      <w:r w:rsidR="00535418" w:rsidRPr="00F32187">
        <w:rPr>
          <w:lang w:val="fr-FR"/>
        </w:rPr>
        <w:t> :</w:t>
      </w:r>
      <w:r w:rsidRPr="00F32187">
        <w:rPr>
          <w:lang w:val="fr-FR"/>
        </w:rPr>
        <w:t xml:space="preserve"> 1) la fourniture de ressources adéquates (</w:t>
      </w:r>
      <w:r w:rsidR="00535418" w:rsidRPr="00F32187">
        <w:rPr>
          <w:lang w:val="fr-FR"/>
        </w:rPr>
        <w:t>y compris</w:t>
      </w:r>
      <w:r w:rsidRPr="00F32187">
        <w:rPr>
          <w:lang w:val="fr-FR"/>
        </w:rPr>
        <w:t xml:space="preserve"> budgétaires) pour mener des travaux de recherche de </w:t>
      </w:r>
      <w:proofErr w:type="gramStart"/>
      <w:r w:rsidRPr="00F32187">
        <w:rPr>
          <w:lang w:val="fr-FR"/>
        </w:rPr>
        <w:t>qualité;  2</w:t>
      </w:r>
      <w:proofErr w:type="gramEnd"/>
      <w:r w:rsidRPr="00F32187">
        <w:rPr>
          <w:lang w:val="fr-FR"/>
        </w:rPr>
        <w:t>) des partenariats appropriés et efficaces;  et</w:t>
      </w:r>
      <w:r w:rsidR="007A3663">
        <w:rPr>
          <w:lang w:val="fr-FR"/>
        </w:rPr>
        <w:t> </w:t>
      </w:r>
      <w:r w:rsidRPr="00F32187">
        <w:rPr>
          <w:lang w:val="fr-FR"/>
        </w:rPr>
        <w:t>3) l</w:t>
      </w:r>
      <w:r w:rsidR="00535418" w:rsidRPr="00F32187">
        <w:rPr>
          <w:lang w:val="fr-FR"/>
        </w:rPr>
        <w:t>’</w:t>
      </w:r>
      <w:r w:rsidRPr="00F32187">
        <w:rPr>
          <w:lang w:val="fr-FR"/>
        </w:rPr>
        <w:t>adhésion au projet des États membres participants et leur appropriation de celui</w:t>
      </w:r>
      <w:r w:rsidR="00444006">
        <w:rPr>
          <w:lang w:val="fr-FR"/>
        </w:rPr>
        <w:noBreakHyphen/>
      </w:r>
      <w:r w:rsidR="00F32187" w:rsidRPr="00F32187">
        <w:rPr>
          <w:lang w:val="fr-FR"/>
        </w:rPr>
        <w:t>ci.  Le</w:t>
      </w:r>
      <w:r w:rsidRPr="00F32187">
        <w:rPr>
          <w:lang w:val="fr-FR"/>
        </w:rPr>
        <w:t>s informateurs clés et les répondants à l</w:t>
      </w:r>
      <w:r w:rsidR="00535418" w:rsidRPr="00F32187">
        <w:rPr>
          <w:lang w:val="fr-FR"/>
        </w:rPr>
        <w:t>’</w:t>
      </w:r>
      <w:r w:rsidRPr="00F32187">
        <w:rPr>
          <w:lang w:val="fr-FR"/>
        </w:rPr>
        <w:t>enquête qualitative ont également mis l</w:t>
      </w:r>
      <w:r w:rsidR="00535418" w:rsidRPr="00F32187">
        <w:rPr>
          <w:lang w:val="fr-FR"/>
        </w:rPr>
        <w:t>’</w:t>
      </w:r>
      <w:r w:rsidRPr="00F32187">
        <w:rPr>
          <w:lang w:val="fr-FR"/>
        </w:rPr>
        <w:t>accent sur l</w:t>
      </w:r>
      <w:r w:rsidR="00535418" w:rsidRPr="00F32187">
        <w:rPr>
          <w:lang w:val="fr-FR"/>
        </w:rPr>
        <w:t>’</w:t>
      </w:r>
      <w:r w:rsidRPr="00F32187">
        <w:rPr>
          <w:lang w:val="fr-FR"/>
        </w:rPr>
        <w:t>importance de faire appel à des chercheurs de qualité ayant un certain nombre de publications à leur actif et des connaissances approfondies et contextuelles des questions de propriété intellectuelle propres aux pays (</w:t>
      </w:r>
      <w:r w:rsidRPr="00F32187">
        <w:rPr>
          <w:lang w:val="fr-FR"/>
        </w:rPr>
        <w:fldChar w:fldCharType="begin"/>
      </w:r>
      <w:r w:rsidRPr="00F32187">
        <w:rPr>
          <w:lang w:val="fr-FR"/>
        </w:rPr>
        <w:instrText xml:space="preserve"> REF _Ref138929774 \h  \* MERGEFORMAT </w:instrText>
      </w:r>
      <w:r w:rsidRPr="00F32187">
        <w:rPr>
          <w:lang w:val="fr-FR"/>
        </w:rPr>
      </w:r>
      <w:r w:rsidRPr="00F32187">
        <w:rPr>
          <w:lang w:val="fr-FR"/>
        </w:rPr>
        <w:fldChar w:fldCharType="separate"/>
      </w:r>
      <w:r w:rsidR="0094636A" w:rsidRPr="00F32187">
        <w:rPr>
          <w:lang w:val="fr-FR"/>
        </w:rPr>
        <w:t xml:space="preserve">Figure </w:t>
      </w:r>
      <w:r w:rsidR="0094636A">
        <w:rPr>
          <w:noProof/>
          <w:lang w:val="fr-FR"/>
        </w:rPr>
        <w:t>8</w:t>
      </w:r>
      <w:r w:rsidRPr="00F32187">
        <w:rPr>
          <w:lang w:val="fr-FR"/>
        </w:rPr>
        <w:fldChar w:fldCharType="end"/>
      </w:r>
      <w:r w:rsidRPr="00F32187">
        <w:rPr>
          <w:lang w:val="fr-FR"/>
        </w:rPr>
        <w:t>).</w:t>
      </w:r>
    </w:p>
    <w:p w14:paraId="7B0ABA1D" w14:textId="57602159" w:rsidR="00E045F1" w:rsidRPr="00F32187" w:rsidRDefault="00E045F1" w:rsidP="00E045F1">
      <w:pPr>
        <w:pStyle w:val="Caption"/>
        <w:keepNext/>
        <w:keepLines/>
        <w:spacing w:after="120"/>
        <w:jc w:val="center"/>
        <w:rPr>
          <w:lang w:val="fr-FR"/>
        </w:rPr>
      </w:pPr>
      <w:bookmarkStart w:id="60" w:name="_Ref138929774"/>
      <w:r w:rsidRPr="00F32187">
        <w:rPr>
          <w:lang w:val="fr-FR"/>
        </w:rPr>
        <w:lastRenderedPageBreak/>
        <w:t xml:space="preserve">Figure </w:t>
      </w:r>
      <w:r w:rsidRPr="00F32187">
        <w:rPr>
          <w:lang w:val="fr-FR"/>
        </w:rPr>
        <w:fldChar w:fldCharType="begin"/>
      </w:r>
      <w:r w:rsidRPr="00F32187">
        <w:rPr>
          <w:lang w:val="fr-FR"/>
        </w:rPr>
        <w:instrText xml:space="preserve"> SEQ Figure \* ARABIC </w:instrText>
      </w:r>
      <w:r w:rsidRPr="00F32187">
        <w:rPr>
          <w:lang w:val="fr-FR"/>
        </w:rPr>
        <w:fldChar w:fldCharType="separate"/>
      </w:r>
      <w:r w:rsidR="0094636A">
        <w:rPr>
          <w:noProof/>
          <w:lang w:val="fr-FR"/>
        </w:rPr>
        <w:t>8</w:t>
      </w:r>
      <w:r w:rsidRPr="00F32187">
        <w:rPr>
          <w:lang w:val="fr-FR"/>
        </w:rPr>
        <w:fldChar w:fldCharType="end"/>
      </w:r>
      <w:bookmarkEnd w:id="60"/>
      <w:r w:rsidR="00535418" w:rsidRPr="00F32187">
        <w:rPr>
          <w:lang w:val="fr-FR"/>
        </w:rPr>
        <w:t> :</w:t>
      </w:r>
      <w:r w:rsidRPr="00F32187">
        <w:rPr>
          <w:lang w:val="fr-FR"/>
        </w:rPr>
        <w:t xml:space="preserve"> Le caractère adéquat des ressources est la condition propice la plus importante pour obtenir un impact</w:t>
      </w:r>
    </w:p>
    <w:p w14:paraId="6592D455" w14:textId="79623E3C" w:rsidR="00E045F1" w:rsidRPr="00F32187" w:rsidRDefault="004263EB" w:rsidP="00E045F1">
      <w:pPr>
        <w:jc w:val="center"/>
        <w:rPr>
          <w:lang w:val="fr-FR"/>
        </w:rPr>
      </w:pPr>
      <w:r w:rsidRPr="004263EB">
        <w:rPr>
          <w:noProof/>
        </w:rPr>
        <w:drawing>
          <wp:inline distT="0" distB="0" distL="0" distR="0" wp14:anchorId="5D9CDA10" wp14:editId="4CFD9C5F">
            <wp:extent cx="4452620" cy="2751455"/>
            <wp:effectExtent l="0" t="0" r="5080" b="0"/>
            <wp:docPr id="20" name="Picture 20" descr="Figure 8 : Le caractère adéquat des ressources est la condition propice la plus importante pour obtenir un 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Figure 8 : Le caractère adéquat des ressources est la condition propice la plus importante pour obtenir un impac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52620" cy="2751455"/>
                    </a:xfrm>
                    <a:prstGeom prst="rect">
                      <a:avLst/>
                    </a:prstGeom>
                    <a:noFill/>
                    <a:ln>
                      <a:noFill/>
                    </a:ln>
                  </pic:spPr>
                </pic:pic>
              </a:graphicData>
            </a:graphic>
          </wp:inline>
        </w:drawing>
      </w:r>
    </w:p>
    <w:p w14:paraId="4CE8AD00" w14:textId="00756A66" w:rsidR="00E045F1" w:rsidRPr="00F32187" w:rsidRDefault="00E045F1" w:rsidP="00E045F1">
      <w:pPr>
        <w:pStyle w:val="ONUMFS"/>
        <w:spacing w:before="220"/>
        <w:rPr>
          <w:lang w:val="fr-FR"/>
        </w:rPr>
      </w:pPr>
      <w:r w:rsidRPr="00F32187">
        <w:rPr>
          <w:lang w:val="fr-FR"/>
        </w:rPr>
        <w:t>La théorie du changement reconstituée du projet décrit 15 conditions propices que les bénéficiaires considéraient nécessaires pour obtenir un impa</w:t>
      </w:r>
      <w:r w:rsidR="00F32187" w:rsidRPr="00F32187">
        <w:rPr>
          <w:lang w:val="fr-FR"/>
        </w:rPr>
        <w:t>ct.  Bi</w:t>
      </w:r>
      <w:r w:rsidRPr="00F32187">
        <w:rPr>
          <w:lang w:val="fr-FR"/>
        </w:rPr>
        <w:t>en que les données d</w:t>
      </w:r>
      <w:r w:rsidR="00535418" w:rsidRPr="00F32187">
        <w:rPr>
          <w:lang w:val="fr-FR"/>
        </w:rPr>
        <w:t>’</w:t>
      </w:r>
      <w:r w:rsidRPr="00F32187">
        <w:rPr>
          <w:lang w:val="fr-FR"/>
        </w:rPr>
        <w:t>évaluation soient insuffisantes pour valider chaque hypothèse, les résultats d</w:t>
      </w:r>
      <w:r w:rsidR="00535418" w:rsidRPr="00F32187">
        <w:rPr>
          <w:lang w:val="fr-FR"/>
        </w:rPr>
        <w:t>’</w:t>
      </w:r>
      <w:r w:rsidRPr="00F32187">
        <w:rPr>
          <w:lang w:val="fr-FR"/>
        </w:rPr>
        <w:t>enquête (aussi bien les données quantitatives que qualitatives) appuient les constats suivants</w:t>
      </w:r>
      <w:r w:rsidR="00535418" w:rsidRPr="00F32187">
        <w:rPr>
          <w:lang w:val="fr-FR"/>
        </w:rPr>
        <w:t> :</w:t>
      </w:r>
    </w:p>
    <w:p w14:paraId="1541B6F7" w14:textId="415FE694" w:rsidR="00E045F1" w:rsidRPr="00F32187" w:rsidRDefault="002D7E82" w:rsidP="00AD2343">
      <w:pPr>
        <w:pStyle w:val="ONUMFS"/>
        <w:numPr>
          <w:ilvl w:val="0"/>
          <w:numId w:val="12"/>
        </w:numPr>
        <w:ind w:left="1134" w:hanging="567"/>
        <w:rPr>
          <w:lang w:val="fr-FR"/>
        </w:rPr>
      </w:pPr>
      <w:proofErr w:type="gramStart"/>
      <w:r>
        <w:rPr>
          <w:lang w:val="fr-FR"/>
        </w:rPr>
        <w:t>l</w:t>
      </w:r>
      <w:r w:rsidR="00535418" w:rsidRPr="00F32187">
        <w:rPr>
          <w:lang w:val="fr-FR"/>
        </w:rPr>
        <w:t>’</w:t>
      </w:r>
      <w:r w:rsidR="00E045F1" w:rsidRPr="00F32187">
        <w:rPr>
          <w:lang w:val="fr-FR"/>
        </w:rPr>
        <w:t>équipe</w:t>
      </w:r>
      <w:proofErr w:type="gramEnd"/>
      <w:r w:rsidR="00E045F1" w:rsidRPr="00F32187">
        <w:rPr>
          <w:lang w:val="fr-FR"/>
        </w:rPr>
        <w:t xml:space="preserve"> de projet disposait de ressources et d</w:t>
      </w:r>
      <w:r w:rsidR="00535418" w:rsidRPr="00F32187">
        <w:rPr>
          <w:lang w:val="fr-FR"/>
        </w:rPr>
        <w:t>’</w:t>
      </w:r>
      <w:r w:rsidR="00E045F1" w:rsidRPr="00F32187">
        <w:rPr>
          <w:lang w:val="fr-FR"/>
        </w:rPr>
        <w:t>une autonomie suffisantes pour une mise en œuvre efficace et efficiente dans les pays sélectionnés;</w:t>
      </w:r>
    </w:p>
    <w:p w14:paraId="1514CCAB" w14:textId="64185774" w:rsidR="00E045F1" w:rsidRPr="00F32187" w:rsidRDefault="002D7E82" w:rsidP="00AD2343">
      <w:pPr>
        <w:pStyle w:val="ONUMFS"/>
        <w:numPr>
          <w:ilvl w:val="0"/>
          <w:numId w:val="12"/>
        </w:numPr>
        <w:ind w:left="1134" w:hanging="567"/>
        <w:rPr>
          <w:lang w:val="fr-FR"/>
        </w:rPr>
      </w:pPr>
      <w:proofErr w:type="gramStart"/>
      <w:r>
        <w:rPr>
          <w:lang w:val="fr-FR"/>
        </w:rPr>
        <w:t>l</w:t>
      </w:r>
      <w:r w:rsidR="00E045F1" w:rsidRPr="00F32187">
        <w:rPr>
          <w:lang w:val="fr-FR"/>
        </w:rPr>
        <w:t>a</w:t>
      </w:r>
      <w:proofErr w:type="gramEnd"/>
      <w:r w:rsidR="00E045F1" w:rsidRPr="00F32187">
        <w:rPr>
          <w:lang w:val="fr-FR"/>
        </w:rPr>
        <w:t xml:space="preserve"> proposition de projet adoptée bénéficiait de l</w:t>
      </w:r>
      <w:r w:rsidR="00535418" w:rsidRPr="00F32187">
        <w:rPr>
          <w:lang w:val="fr-FR"/>
        </w:rPr>
        <w:t>’</w:t>
      </w:r>
      <w:r w:rsidR="00E045F1" w:rsidRPr="00F32187">
        <w:rPr>
          <w:lang w:val="fr-FR"/>
        </w:rPr>
        <w:t>adhésion de tous les États membres, en particulier de ceux dans lesquels il était mis en œuvre;</w:t>
      </w:r>
    </w:p>
    <w:p w14:paraId="59FC72AB" w14:textId="6E3DDF33" w:rsidR="00E045F1" w:rsidRPr="00F32187" w:rsidRDefault="002D7E82" w:rsidP="00AD2343">
      <w:pPr>
        <w:pStyle w:val="ONUMFS"/>
        <w:numPr>
          <w:ilvl w:val="0"/>
          <w:numId w:val="12"/>
        </w:numPr>
        <w:ind w:left="1134" w:hanging="567"/>
        <w:rPr>
          <w:lang w:val="fr-FR"/>
        </w:rPr>
      </w:pPr>
      <w:proofErr w:type="gramStart"/>
      <w:r>
        <w:rPr>
          <w:lang w:val="fr-FR"/>
        </w:rPr>
        <w:t>l</w:t>
      </w:r>
      <w:r w:rsidR="00535418" w:rsidRPr="00F32187">
        <w:rPr>
          <w:lang w:val="fr-FR"/>
        </w:rPr>
        <w:t>’</w:t>
      </w:r>
      <w:r w:rsidR="00E045F1" w:rsidRPr="00F32187">
        <w:rPr>
          <w:lang w:val="fr-FR"/>
        </w:rPr>
        <w:t>objectif</w:t>
      </w:r>
      <w:proofErr w:type="gramEnd"/>
      <w:r w:rsidR="00E045F1" w:rsidRPr="00F32187">
        <w:rPr>
          <w:lang w:val="fr-FR"/>
        </w:rPr>
        <w:t xml:space="preserve"> et les activités du projet étaient alignés sur les priorités des pays bénéficiaires en matière de développement socioéconomique et y ont contribué.</w:t>
      </w:r>
    </w:p>
    <w:p w14:paraId="44C7ECF4" w14:textId="0C7CCB7F" w:rsidR="00E045F1" w:rsidRPr="00F32187" w:rsidRDefault="00E045F1" w:rsidP="00E045F1">
      <w:pPr>
        <w:pStyle w:val="ONUMFS"/>
        <w:rPr>
          <w:lang w:val="fr-FR"/>
        </w:rPr>
      </w:pPr>
      <w:r w:rsidRPr="00F32187">
        <w:rPr>
          <w:lang w:val="fr-FR"/>
        </w:rPr>
        <w:t xml:space="preserve">Les informateurs clés ont également mis en évidence une cinquième approche propice ou stratégique, </w:t>
      </w:r>
      <w:r w:rsidR="00535418" w:rsidRPr="00F32187">
        <w:rPr>
          <w:lang w:val="fr-FR"/>
        </w:rPr>
        <w:t>à savoir</w:t>
      </w:r>
      <w:r w:rsidRPr="00F32187">
        <w:rPr>
          <w:lang w:val="fr-FR"/>
        </w:rPr>
        <w:t xml:space="preserve"> l</w:t>
      </w:r>
      <w:r w:rsidR="00535418" w:rsidRPr="00F32187">
        <w:rPr>
          <w:lang w:val="fr-FR"/>
        </w:rPr>
        <w:t>’</w:t>
      </w:r>
      <w:r w:rsidRPr="00F32187">
        <w:rPr>
          <w:lang w:val="fr-FR"/>
        </w:rPr>
        <w:t>aptitude des chercheurs à “tirer parti de l</w:t>
      </w:r>
      <w:r w:rsidR="00535418" w:rsidRPr="00F32187">
        <w:rPr>
          <w:lang w:val="fr-FR"/>
        </w:rPr>
        <w:t>’</w:t>
      </w:r>
      <w:r w:rsidRPr="00F32187">
        <w:rPr>
          <w:lang w:val="fr-FR"/>
        </w:rPr>
        <w:t>intérêt politique et des fenêtres d</w:t>
      </w:r>
      <w:r w:rsidR="00535418" w:rsidRPr="00F32187">
        <w:rPr>
          <w:lang w:val="fr-FR"/>
        </w:rPr>
        <w:t>’</w:t>
      </w:r>
      <w:r w:rsidRPr="00F32187">
        <w:rPr>
          <w:lang w:val="fr-FR"/>
        </w:rPr>
        <w:t>opportunité” pour chercher à obtenir un impa</w:t>
      </w:r>
      <w:r w:rsidR="00F32187" w:rsidRPr="00F32187">
        <w:rPr>
          <w:lang w:val="fr-FR"/>
        </w:rPr>
        <w:t>ct.  Ce</w:t>
      </w:r>
      <w:r w:rsidRPr="00F32187">
        <w:rPr>
          <w:lang w:val="fr-FR"/>
        </w:rPr>
        <w:t>s fenêtres d</w:t>
      </w:r>
      <w:r w:rsidR="00535418" w:rsidRPr="00F32187">
        <w:rPr>
          <w:lang w:val="fr-FR"/>
        </w:rPr>
        <w:t>’</w:t>
      </w:r>
      <w:r w:rsidRPr="00F32187">
        <w:rPr>
          <w:lang w:val="fr-FR"/>
        </w:rPr>
        <w:t>opportunité étaient évidentes à la fois dans l</w:t>
      </w:r>
      <w:r w:rsidR="00535418" w:rsidRPr="00F32187">
        <w:rPr>
          <w:lang w:val="fr-FR"/>
        </w:rPr>
        <w:t>’</w:t>
      </w:r>
      <w:r w:rsidRPr="00F32187">
        <w:rPr>
          <w:lang w:val="fr-FR"/>
        </w:rPr>
        <w:t>étude de cas du Brésil et dans celle de l</w:t>
      </w:r>
      <w:r w:rsidR="00535418" w:rsidRPr="00F32187">
        <w:rPr>
          <w:lang w:val="fr-FR"/>
        </w:rPr>
        <w:t>’</w:t>
      </w:r>
      <w:r w:rsidRPr="00F32187">
        <w:rPr>
          <w:lang w:val="fr-FR"/>
        </w:rPr>
        <w:t>Indonésie, où la recherche en matière de propriété intellectuelle a progressé rapidement en tant que sujet d</w:t>
      </w:r>
      <w:r w:rsidR="00535418" w:rsidRPr="00F32187">
        <w:rPr>
          <w:lang w:val="fr-FR"/>
        </w:rPr>
        <w:t>’</w:t>
      </w:r>
      <w:r w:rsidRPr="00F32187">
        <w:rPr>
          <w:lang w:val="fr-FR"/>
        </w:rPr>
        <w:t>étude dans les différentes disciplines (économie, droit, études commerciales, etc.).</w:t>
      </w:r>
    </w:p>
    <w:p w14:paraId="44DA1685" w14:textId="4B07AF9A" w:rsidR="00E045F1" w:rsidRPr="00F32187" w:rsidRDefault="00E045F1" w:rsidP="00E045F1">
      <w:pPr>
        <w:pStyle w:val="ONUMFS"/>
        <w:rPr>
          <w:lang w:val="fr-FR"/>
        </w:rPr>
      </w:pPr>
      <w:r w:rsidRPr="00F32187">
        <w:rPr>
          <w:lang w:val="fr-FR"/>
        </w:rPr>
        <w:t>Les informateurs clés ont été nombreux à mentionner deux</w:t>
      </w:r>
      <w:r w:rsidR="00B37BEF" w:rsidRPr="00F32187">
        <w:rPr>
          <w:lang w:val="fr-FR"/>
        </w:rPr>
        <w:t> </w:t>
      </w:r>
      <w:r w:rsidRPr="00F32187">
        <w:rPr>
          <w:lang w:val="fr-FR"/>
        </w:rPr>
        <w:t>facteurs entravant l</w:t>
      </w:r>
      <w:r w:rsidR="00535418" w:rsidRPr="00F32187">
        <w:rPr>
          <w:lang w:val="fr-FR"/>
        </w:rPr>
        <w:t>’</w:t>
      </w:r>
      <w:r w:rsidRPr="00F32187">
        <w:rPr>
          <w:lang w:val="fr-FR"/>
        </w:rPr>
        <w:t>obtention d</w:t>
      </w:r>
      <w:r w:rsidR="00535418" w:rsidRPr="00F32187">
        <w:rPr>
          <w:lang w:val="fr-FR"/>
        </w:rPr>
        <w:t>’</w:t>
      </w:r>
      <w:r w:rsidRPr="00F32187">
        <w:rPr>
          <w:lang w:val="fr-FR"/>
        </w:rPr>
        <w:t>un impact au niveau des pays</w:t>
      </w:r>
      <w:r w:rsidR="00535418" w:rsidRPr="00F32187">
        <w:rPr>
          <w:lang w:val="fr-FR"/>
        </w:rPr>
        <w:t> :</w:t>
      </w:r>
      <w:r w:rsidRPr="00F32187">
        <w:rPr>
          <w:lang w:val="fr-FR"/>
        </w:rPr>
        <w:t xml:space="preserve"> 1) le manque d</w:t>
      </w:r>
      <w:r w:rsidR="00535418" w:rsidRPr="00F32187">
        <w:rPr>
          <w:lang w:val="fr-FR"/>
        </w:rPr>
        <w:t>’</w:t>
      </w:r>
      <w:r w:rsidRPr="00F32187">
        <w:rPr>
          <w:lang w:val="fr-FR"/>
        </w:rPr>
        <w:t xml:space="preserve">évaluations nationales rigoureuses anticipant les risques associés aux obstacles structurels, les capacités et la préparation en matière de mise en </w:t>
      </w:r>
      <w:proofErr w:type="gramStart"/>
      <w:r w:rsidRPr="00F32187">
        <w:rPr>
          <w:lang w:val="fr-FR"/>
        </w:rPr>
        <w:t>œuvre;  et</w:t>
      </w:r>
      <w:proofErr w:type="gramEnd"/>
      <w:r w:rsidRPr="00F32187">
        <w:rPr>
          <w:lang w:val="fr-FR"/>
        </w:rPr>
        <w:t xml:space="preserve"> 2) le manque de stratégies de mise en œuvre et de cibles d</w:t>
      </w:r>
      <w:r w:rsidR="00535418" w:rsidRPr="00F32187">
        <w:rPr>
          <w:lang w:val="fr-FR"/>
        </w:rPr>
        <w:t>’</w:t>
      </w:r>
      <w:r w:rsidRPr="00F32187">
        <w:rPr>
          <w:lang w:val="fr-FR"/>
        </w:rPr>
        <w:t>impact propres aux pa</w:t>
      </w:r>
      <w:r w:rsidR="00F32187" w:rsidRPr="00F32187">
        <w:rPr>
          <w:lang w:val="fr-FR"/>
        </w:rPr>
        <w:t>ys.  Ce</w:t>
      </w:r>
      <w:r w:rsidRPr="00F32187">
        <w:rPr>
          <w:lang w:val="fr-FR"/>
        </w:rPr>
        <w:t>s deux</w:t>
      </w:r>
      <w:r w:rsidR="00B37BEF" w:rsidRPr="00F32187">
        <w:rPr>
          <w:lang w:val="fr-FR"/>
        </w:rPr>
        <w:t> </w:t>
      </w:r>
      <w:r w:rsidRPr="00F32187">
        <w:rPr>
          <w:lang w:val="fr-FR"/>
        </w:rPr>
        <w:t>facteurs résultent fondamentalement de la complexité et de la diversité des contextes de mise en œuvre du proj</w:t>
      </w:r>
      <w:r w:rsidR="00F32187" w:rsidRPr="00F32187">
        <w:rPr>
          <w:lang w:val="fr-FR"/>
        </w:rPr>
        <w:t>et.  De</w:t>
      </w:r>
      <w:r w:rsidRPr="00F32187">
        <w:rPr>
          <w:lang w:val="fr-FR"/>
        </w:rPr>
        <w:t xml:space="preserve"> fait, la reconnaissance et la planification nécessaires pour mettre en œuvre le projet dans des contextes complexes sont apparues comme un point de consensus entre les informateurs clés.</w:t>
      </w:r>
    </w:p>
    <w:p w14:paraId="7D9EC9E6" w14:textId="00E893BF" w:rsidR="00E045F1" w:rsidRPr="00F32187" w:rsidRDefault="00E045F1" w:rsidP="00E045F1">
      <w:pPr>
        <w:pStyle w:val="ONUMFS"/>
        <w:rPr>
          <w:lang w:val="fr-FR"/>
        </w:rPr>
      </w:pPr>
      <w:r w:rsidRPr="00F32187">
        <w:rPr>
          <w:lang w:val="fr-FR"/>
        </w:rPr>
        <w:t>Enfin, le projet a fait l</w:t>
      </w:r>
      <w:r w:rsidR="00535418" w:rsidRPr="00F32187">
        <w:rPr>
          <w:lang w:val="fr-FR"/>
        </w:rPr>
        <w:t>’</w:t>
      </w:r>
      <w:r w:rsidRPr="00F32187">
        <w:rPr>
          <w:lang w:val="fr-FR"/>
        </w:rPr>
        <w:t>objet de deux</w:t>
      </w:r>
      <w:r w:rsidR="00B37BEF" w:rsidRPr="00F32187">
        <w:rPr>
          <w:lang w:val="fr-FR"/>
        </w:rPr>
        <w:t> </w:t>
      </w:r>
      <w:r w:rsidRPr="00F32187">
        <w:rPr>
          <w:lang w:val="fr-FR"/>
        </w:rPr>
        <w:t>évaluations antérieures, à l</w:t>
      </w:r>
      <w:r w:rsidR="00535418" w:rsidRPr="00F32187">
        <w:rPr>
          <w:lang w:val="fr-FR"/>
        </w:rPr>
        <w:t>’</w:t>
      </w:r>
      <w:r w:rsidRPr="00F32187">
        <w:rPr>
          <w:lang w:val="fr-FR"/>
        </w:rPr>
        <w:t>issue desquelles des recommandations ont été formulé</w:t>
      </w:r>
      <w:r w:rsidR="00F32187" w:rsidRPr="00F32187">
        <w:rPr>
          <w:lang w:val="fr-FR"/>
        </w:rPr>
        <w:t>es.  Bi</w:t>
      </w:r>
      <w:r w:rsidRPr="00F32187">
        <w:rPr>
          <w:lang w:val="fr-FR"/>
        </w:rPr>
        <w:t>en que ces recommandations aient en partie été mises en œuvre, le projet ne nécessitait pas de réponse officielle de la direction documentant les mesures de sui</w:t>
      </w:r>
      <w:r w:rsidR="00F32187" w:rsidRPr="00F32187">
        <w:rPr>
          <w:lang w:val="fr-FR"/>
        </w:rPr>
        <w:t>vi.  Af</w:t>
      </w:r>
      <w:r w:rsidRPr="00F32187">
        <w:rPr>
          <w:lang w:val="fr-FR"/>
        </w:rPr>
        <w:t>in de veiller à ce que les chefs de projet de l</w:t>
      </w:r>
      <w:r w:rsidR="00535418" w:rsidRPr="00F32187">
        <w:rPr>
          <w:lang w:val="fr-FR"/>
        </w:rPr>
        <w:t>’</w:t>
      </w:r>
      <w:r w:rsidRPr="00F32187">
        <w:rPr>
          <w:lang w:val="fr-FR"/>
        </w:rPr>
        <w:t xml:space="preserve">OMPI utilisent les recommandations formulées dans le cadre des évaluations externes indépendantes et en tirent </w:t>
      </w:r>
      <w:r w:rsidRPr="00F32187">
        <w:rPr>
          <w:lang w:val="fr-FR"/>
        </w:rPr>
        <w:lastRenderedPageBreak/>
        <w:t>les enseignements, il pourrait s</w:t>
      </w:r>
      <w:r w:rsidR="00535418" w:rsidRPr="00F32187">
        <w:rPr>
          <w:lang w:val="fr-FR"/>
        </w:rPr>
        <w:t>’</w:t>
      </w:r>
      <w:r w:rsidRPr="00F32187">
        <w:rPr>
          <w:lang w:val="fr-FR"/>
        </w:rPr>
        <w:t>avérer utile d</w:t>
      </w:r>
      <w:r w:rsidR="00535418" w:rsidRPr="00F32187">
        <w:rPr>
          <w:lang w:val="fr-FR"/>
        </w:rPr>
        <w:t>’</w:t>
      </w:r>
      <w:r w:rsidRPr="00F32187">
        <w:rPr>
          <w:lang w:val="fr-FR"/>
        </w:rPr>
        <w:t>instaurer une réponse de la direction aux évaluations, en tant que pratique standard appliquée chaque fois que possib</w:t>
      </w:r>
      <w:r w:rsidR="00F32187" w:rsidRPr="00F32187">
        <w:rPr>
          <w:lang w:val="fr-FR"/>
        </w:rPr>
        <w:t>le.  Si</w:t>
      </w:r>
      <w:r w:rsidRPr="00F32187">
        <w:rPr>
          <w:lang w:val="fr-FR"/>
        </w:rPr>
        <w:t xml:space="preserve"> une réponse officielle de la direction n</w:t>
      </w:r>
      <w:r w:rsidR="00535418" w:rsidRPr="00F32187">
        <w:rPr>
          <w:lang w:val="fr-FR"/>
        </w:rPr>
        <w:t>’</w:t>
      </w:r>
      <w:r w:rsidRPr="00F32187">
        <w:rPr>
          <w:lang w:val="fr-FR"/>
        </w:rPr>
        <w:t>est pas envisageable, une autre approche possible consiste à mettre au point un processus formel d</w:t>
      </w:r>
      <w:r w:rsidR="00535418" w:rsidRPr="00F32187">
        <w:rPr>
          <w:lang w:val="fr-FR"/>
        </w:rPr>
        <w:t>’</w:t>
      </w:r>
      <w:r w:rsidRPr="00F32187">
        <w:rPr>
          <w:lang w:val="fr-FR"/>
        </w:rPr>
        <w:t xml:space="preserve">apprentissage et de réflexion </w:t>
      </w:r>
      <w:proofErr w:type="gramStart"/>
      <w:r w:rsidRPr="00F32187">
        <w:rPr>
          <w:lang w:val="fr-FR"/>
        </w:rPr>
        <w:t>suite aux</w:t>
      </w:r>
      <w:proofErr w:type="gramEnd"/>
      <w:r w:rsidRPr="00F32187">
        <w:rPr>
          <w:lang w:val="fr-FR"/>
        </w:rPr>
        <w:t xml:space="preserve"> évaluations, durant la phase de conception des projets de suivi (par exemple, durant l</w:t>
      </w:r>
      <w:r w:rsidR="00535418" w:rsidRPr="00F32187">
        <w:rPr>
          <w:lang w:val="fr-FR"/>
        </w:rPr>
        <w:t>’</w:t>
      </w:r>
      <w:r w:rsidRPr="00F32187">
        <w:rPr>
          <w:lang w:val="fr-FR"/>
        </w:rPr>
        <w:t>élaboration de la phase II du projet).</w:t>
      </w:r>
    </w:p>
    <w:p w14:paraId="2E9E97C1" w14:textId="6BAD9099" w:rsidR="00535418" w:rsidRPr="00F32187" w:rsidRDefault="00A26EB3" w:rsidP="00A26EB3">
      <w:pPr>
        <w:pStyle w:val="Heading2"/>
        <w:ind w:left="1134" w:hanging="567"/>
        <w:rPr>
          <w:bCs/>
          <w:iCs/>
        </w:rPr>
      </w:pPr>
      <w:bookmarkStart w:id="61" w:name="_Toc140224981"/>
      <w:bookmarkStart w:id="62" w:name="_Toc145933448"/>
      <w:bookmarkStart w:id="63" w:name="_Toc146025108"/>
      <w:r>
        <w:t>Q</w:t>
      </w:r>
      <w:r w:rsidRPr="00F32187">
        <w:t xml:space="preserve">uels sont les enseignements à tirer aux fins des projets futurs au sein de l’OMPI quant à la façon de progresser sur la voie de l’impact </w:t>
      </w:r>
      <w:proofErr w:type="gramStart"/>
      <w:r w:rsidRPr="00F32187">
        <w:t>souhaité?</w:t>
      </w:r>
      <w:bookmarkEnd w:id="61"/>
      <w:bookmarkEnd w:id="62"/>
      <w:bookmarkEnd w:id="63"/>
      <w:proofErr w:type="gramEnd"/>
    </w:p>
    <w:p w14:paraId="596258D0" w14:textId="7578AFF8" w:rsidR="00E045F1" w:rsidRPr="00F32187" w:rsidRDefault="00E045F1" w:rsidP="00E045F1">
      <w:pPr>
        <w:pStyle w:val="ONUMFS"/>
        <w:rPr>
          <w:lang w:val="fr-FR"/>
        </w:rPr>
      </w:pPr>
      <w:r w:rsidRPr="00F32187">
        <w:rPr>
          <w:lang w:val="fr-FR"/>
        </w:rPr>
        <w:t>Les quatre</w:t>
      </w:r>
      <w:r w:rsidR="00B37BEF" w:rsidRPr="00F32187">
        <w:rPr>
          <w:lang w:val="fr-FR"/>
        </w:rPr>
        <w:t> </w:t>
      </w:r>
      <w:r w:rsidRPr="00F32187">
        <w:rPr>
          <w:lang w:val="fr-FR"/>
        </w:rPr>
        <w:t>enseignements clés suivants peuvent guider la conception et la mise en œuvre de projets similaires à l</w:t>
      </w:r>
      <w:r w:rsidR="00535418" w:rsidRPr="00F32187">
        <w:rPr>
          <w:lang w:val="fr-FR"/>
        </w:rPr>
        <w:t>’</w:t>
      </w:r>
      <w:r w:rsidRPr="00F32187">
        <w:rPr>
          <w:lang w:val="fr-FR"/>
        </w:rPr>
        <w:t>aven</w:t>
      </w:r>
      <w:r w:rsidR="00F32187" w:rsidRPr="00F32187">
        <w:rPr>
          <w:lang w:val="fr-FR"/>
        </w:rPr>
        <w:t>ir.  Ce</w:t>
      </w:r>
      <w:r w:rsidRPr="00F32187">
        <w:rPr>
          <w:lang w:val="fr-FR"/>
        </w:rPr>
        <w:t>s enseignements sont particulièrement importants pour garantir l</w:t>
      </w:r>
      <w:r w:rsidR="00535418" w:rsidRPr="00F32187">
        <w:rPr>
          <w:lang w:val="fr-FR"/>
        </w:rPr>
        <w:t>’</w:t>
      </w:r>
      <w:r w:rsidRPr="00F32187">
        <w:rPr>
          <w:lang w:val="fr-FR"/>
        </w:rPr>
        <w:t>impact positif et durable des projets.</w:t>
      </w:r>
    </w:p>
    <w:p w14:paraId="2CF60485" w14:textId="0F093010" w:rsidR="00E045F1" w:rsidRPr="00F32187" w:rsidRDefault="00E045F1" w:rsidP="004263EB">
      <w:pPr>
        <w:pStyle w:val="ListParagraph"/>
        <w:numPr>
          <w:ilvl w:val="0"/>
          <w:numId w:val="14"/>
        </w:numPr>
        <w:spacing w:after="220"/>
        <w:ind w:left="567" w:hanging="567"/>
        <w:contextualSpacing w:val="0"/>
        <w:rPr>
          <w:lang w:val="fr-FR"/>
        </w:rPr>
      </w:pPr>
      <w:r w:rsidRPr="00F32187">
        <w:rPr>
          <w:lang w:val="fr-FR"/>
        </w:rPr>
        <w:t>Planification en vue d</w:t>
      </w:r>
      <w:r w:rsidR="00535418" w:rsidRPr="00F32187">
        <w:rPr>
          <w:lang w:val="fr-FR"/>
        </w:rPr>
        <w:t>’</w:t>
      </w:r>
      <w:r w:rsidRPr="00F32187">
        <w:rPr>
          <w:lang w:val="fr-FR"/>
        </w:rPr>
        <w:t>obtenir un impact</w:t>
      </w:r>
      <w:r w:rsidR="00535418" w:rsidRPr="00F32187">
        <w:rPr>
          <w:lang w:val="fr-FR"/>
        </w:rPr>
        <w:t> :</w:t>
      </w:r>
      <w:r w:rsidRPr="00F32187">
        <w:rPr>
          <w:lang w:val="fr-FR"/>
        </w:rPr>
        <w:t xml:space="preserve"> Il convient de définir des théories du changement propres aux pays, alignées sur les objectifs généraux du projet et s</w:t>
      </w:r>
      <w:r w:rsidR="00535418" w:rsidRPr="00F32187">
        <w:rPr>
          <w:lang w:val="fr-FR"/>
        </w:rPr>
        <w:t>’</w:t>
      </w:r>
      <w:r w:rsidRPr="00F32187">
        <w:rPr>
          <w:lang w:val="fr-FR"/>
        </w:rPr>
        <w:t>inscrivant dans le cadre d</w:t>
      </w:r>
      <w:r w:rsidR="00535418" w:rsidRPr="00F32187">
        <w:rPr>
          <w:lang w:val="fr-FR"/>
        </w:rPr>
        <w:t>’</w:t>
      </w:r>
      <w:r w:rsidRPr="00F32187">
        <w:rPr>
          <w:lang w:val="fr-FR"/>
        </w:rPr>
        <w:t>une théorie du changement de haut nive</w:t>
      </w:r>
      <w:r w:rsidR="00F32187" w:rsidRPr="00F32187">
        <w:rPr>
          <w:lang w:val="fr-FR"/>
        </w:rPr>
        <w:t>au.  Ce</w:t>
      </w:r>
      <w:r w:rsidRPr="00F32187">
        <w:rPr>
          <w:lang w:val="fr-FR"/>
        </w:rPr>
        <w:t>s théories du changement nationales fixeraient les cibles en termes de résultats et d</w:t>
      </w:r>
      <w:r w:rsidR="00535418" w:rsidRPr="00F32187">
        <w:rPr>
          <w:lang w:val="fr-FR"/>
        </w:rPr>
        <w:t>’</w:t>
      </w:r>
      <w:r w:rsidRPr="00F32187">
        <w:rPr>
          <w:lang w:val="fr-FR"/>
        </w:rPr>
        <w:t>impact et faciliteraient des interventions plus stratégiqu</w:t>
      </w:r>
      <w:r w:rsidR="00F32187" w:rsidRPr="00F32187">
        <w:rPr>
          <w:lang w:val="fr-FR"/>
        </w:rPr>
        <w:t>es.  Ce</w:t>
      </w:r>
      <w:r w:rsidRPr="00F32187">
        <w:rPr>
          <w:lang w:val="fr-FR"/>
        </w:rPr>
        <w:t>s théories au niveau des pays devraient énoncer des cibles de résultats et d</w:t>
      </w:r>
      <w:r w:rsidR="00535418" w:rsidRPr="00F32187">
        <w:rPr>
          <w:lang w:val="fr-FR"/>
        </w:rPr>
        <w:t>’</w:t>
      </w:r>
      <w:r w:rsidRPr="00F32187">
        <w:rPr>
          <w:lang w:val="fr-FR"/>
        </w:rPr>
        <w:t>impact tangibles, des hypothèses vérifiables, désigner des agents/acteurs clés et décrire des chaînes de réaction positives potentielles/réelles indicatives des systèmes complexes et adaptatifs (</w:t>
      </w:r>
      <w:r w:rsidRPr="00F32187">
        <w:rPr>
          <w:lang w:val="fr-FR"/>
        </w:rPr>
        <w:fldChar w:fldCharType="begin"/>
      </w:r>
      <w:r w:rsidRPr="00F32187">
        <w:rPr>
          <w:lang w:val="fr-FR"/>
        </w:rPr>
        <w:instrText xml:space="preserve"> REF _Ref139965333 \h </w:instrText>
      </w:r>
      <w:r w:rsidRPr="00F32187">
        <w:rPr>
          <w:lang w:val="fr-FR"/>
        </w:rPr>
      </w:r>
      <w:r w:rsidRPr="00F32187">
        <w:rPr>
          <w:lang w:val="fr-FR"/>
        </w:rPr>
        <w:fldChar w:fldCharType="separate"/>
      </w:r>
      <w:r w:rsidR="0094636A" w:rsidRPr="00F32187">
        <w:rPr>
          <w:lang w:val="fr-FR"/>
        </w:rPr>
        <w:t xml:space="preserve">Encadré </w:t>
      </w:r>
      <w:r w:rsidR="0094636A">
        <w:rPr>
          <w:noProof/>
          <w:lang w:val="fr-FR"/>
        </w:rPr>
        <w:t>4</w:t>
      </w:r>
      <w:r w:rsidRPr="00F32187">
        <w:rPr>
          <w:lang w:val="fr-FR"/>
        </w:rPr>
        <w:fldChar w:fldCharType="end"/>
      </w:r>
      <w:r w:rsidRPr="00F32187">
        <w:rPr>
          <w:lang w:val="fr-FR"/>
        </w:rPr>
        <w:t>) dans lesquels le projet est mis en œuvre.</w:t>
      </w:r>
    </w:p>
    <w:p w14:paraId="75183DCD" w14:textId="51A01CF1" w:rsidR="00E045F1" w:rsidRPr="00F32187" w:rsidRDefault="00E045F1" w:rsidP="004263EB">
      <w:pPr>
        <w:pStyle w:val="ListParagraph"/>
        <w:numPr>
          <w:ilvl w:val="0"/>
          <w:numId w:val="14"/>
        </w:numPr>
        <w:spacing w:after="220"/>
        <w:ind w:left="567" w:hanging="567"/>
        <w:contextualSpacing w:val="0"/>
        <w:rPr>
          <w:lang w:val="fr-FR"/>
        </w:rPr>
      </w:pPr>
      <w:r w:rsidRPr="00F32187">
        <w:rPr>
          <w:lang w:val="fr-FR"/>
        </w:rPr>
        <w:t>Moment auquel l</w:t>
      </w:r>
      <w:r w:rsidR="00535418" w:rsidRPr="00F32187">
        <w:rPr>
          <w:lang w:val="fr-FR"/>
        </w:rPr>
        <w:t>’</w:t>
      </w:r>
      <w:r w:rsidRPr="00F32187">
        <w:rPr>
          <w:lang w:val="fr-FR"/>
        </w:rPr>
        <w:t>impact se produit</w:t>
      </w:r>
      <w:r w:rsidR="00535418" w:rsidRPr="00F32187">
        <w:rPr>
          <w:lang w:val="fr-FR"/>
        </w:rPr>
        <w:t> :</w:t>
      </w:r>
      <w:r w:rsidRPr="00F32187">
        <w:rPr>
          <w:lang w:val="fr-FR"/>
        </w:rPr>
        <w:t xml:space="preserve"> Les incidences (primaires et secondaires) du projet sont survenues après la fin du cycle de mise en œuvre du proj</w:t>
      </w:r>
      <w:r w:rsidR="00F32187" w:rsidRPr="00F32187">
        <w:rPr>
          <w:lang w:val="fr-FR"/>
        </w:rPr>
        <w:t>et.  Ce</w:t>
      </w:r>
      <w:r w:rsidRPr="00F32187">
        <w:rPr>
          <w:lang w:val="fr-FR"/>
        </w:rPr>
        <w:t>la signifie qu</w:t>
      </w:r>
      <w:r w:rsidR="00535418" w:rsidRPr="00F32187">
        <w:rPr>
          <w:lang w:val="fr-FR"/>
        </w:rPr>
        <w:t>’</w:t>
      </w:r>
      <w:r w:rsidRPr="00F32187">
        <w:rPr>
          <w:lang w:val="fr-FR"/>
        </w:rPr>
        <w:t>il convient de s</w:t>
      </w:r>
      <w:r w:rsidR="00535418" w:rsidRPr="00F32187">
        <w:rPr>
          <w:lang w:val="fr-FR"/>
        </w:rPr>
        <w:t>’</w:t>
      </w:r>
      <w:r w:rsidRPr="00F32187">
        <w:rPr>
          <w:lang w:val="fr-FR"/>
        </w:rPr>
        <w:t>attacher davantage à améliorer la pérennité des résultats des projets (par exemple, en ciblant le développement des capacités au niveau institutionnel et en formant des “champions” au sein des projets, en mettant en place des réseaux professionnels durables, etc.).  Il conviendrait d</w:t>
      </w:r>
      <w:r w:rsidR="00535418" w:rsidRPr="00F32187">
        <w:rPr>
          <w:lang w:val="fr-FR"/>
        </w:rPr>
        <w:t>’</w:t>
      </w:r>
      <w:r w:rsidRPr="00F32187">
        <w:rPr>
          <w:lang w:val="fr-FR"/>
        </w:rPr>
        <w:t>assortir l</w:t>
      </w:r>
      <w:r w:rsidR="00535418" w:rsidRPr="00F32187">
        <w:rPr>
          <w:lang w:val="fr-FR"/>
        </w:rPr>
        <w:t>’</w:t>
      </w:r>
      <w:r w:rsidRPr="00F32187">
        <w:rPr>
          <w:lang w:val="fr-FR"/>
        </w:rPr>
        <w:t>obtention des résultats du projet d</w:t>
      </w:r>
      <w:r w:rsidR="00535418" w:rsidRPr="00F32187">
        <w:rPr>
          <w:lang w:val="fr-FR"/>
        </w:rPr>
        <w:t>’</w:t>
      </w:r>
      <w:r w:rsidRPr="00F32187">
        <w:rPr>
          <w:lang w:val="fr-FR"/>
        </w:rPr>
        <w:t>un objectif explicite de “pérennité”.</w:t>
      </w:r>
    </w:p>
    <w:p w14:paraId="3E07D95C" w14:textId="2DFF1E65" w:rsidR="00E045F1" w:rsidRPr="00F32187" w:rsidRDefault="00E045F1" w:rsidP="004263EB">
      <w:pPr>
        <w:pStyle w:val="ListParagraph"/>
        <w:numPr>
          <w:ilvl w:val="0"/>
          <w:numId w:val="14"/>
        </w:numPr>
        <w:spacing w:after="220"/>
        <w:ind w:left="567" w:hanging="567"/>
        <w:contextualSpacing w:val="0"/>
        <w:rPr>
          <w:lang w:val="fr-FR"/>
        </w:rPr>
      </w:pPr>
      <w:r w:rsidRPr="00F32187">
        <w:rPr>
          <w:lang w:val="fr-FR"/>
        </w:rPr>
        <w:t>Fenêtres d</w:t>
      </w:r>
      <w:r w:rsidR="00535418" w:rsidRPr="00F32187">
        <w:rPr>
          <w:lang w:val="fr-FR"/>
        </w:rPr>
        <w:t>’</w:t>
      </w:r>
      <w:r w:rsidRPr="00F32187">
        <w:rPr>
          <w:lang w:val="fr-FR"/>
        </w:rPr>
        <w:t>opportunité</w:t>
      </w:r>
      <w:r w:rsidR="00535418" w:rsidRPr="00F32187">
        <w:rPr>
          <w:lang w:val="fr-FR"/>
        </w:rPr>
        <w:t> :</w:t>
      </w:r>
      <w:r w:rsidRPr="00F32187">
        <w:rPr>
          <w:lang w:val="fr-FR"/>
        </w:rPr>
        <w:t xml:space="preserve"> L</w:t>
      </w:r>
      <w:r w:rsidR="00535418" w:rsidRPr="00F32187">
        <w:rPr>
          <w:lang w:val="fr-FR"/>
        </w:rPr>
        <w:t>’</w:t>
      </w:r>
      <w:r w:rsidRPr="00F32187">
        <w:rPr>
          <w:lang w:val="fr-FR"/>
        </w:rPr>
        <w:t>impact est le plus susceptible de se produire lorsque</w:t>
      </w:r>
      <w:r w:rsidR="00535418" w:rsidRPr="00F32187">
        <w:rPr>
          <w:lang w:val="fr-FR"/>
        </w:rPr>
        <w:t> :</w:t>
      </w:r>
      <w:r w:rsidRPr="00F32187">
        <w:rPr>
          <w:lang w:val="fr-FR"/>
        </w:rPr>
        <w:t xml:space="preserve"> 1) les décideurs conviennent d</w:t>
      </w:r>
      <w:r w:rsidR="00535418" w:rsidRPr="00F32187">
        <w:rPr>
          <w:lang w:val="fr-FR"/>
        </w:rPr>
        <w:t>’</w:t>
      </w:r>
      <w:r w:rsidRPr="00F32187">
        <w:rPr>
          <w:lang w:val="fr-FR"/>
        </w:rPr>
        <w:t xml:space="preserve">un problème clairement </w:t>
      </w:r>
      <w:proofErr w:type="gramStart"/>
      <w:r w:rsidRPr="00F32187">
        <w:rPr>
          <w:lang w:val="fr-FR"/>
        </w:rPr>
        <w:t>défini;  2</w:t>
      </w:r>
      <w:proofErr w:type="gramEnd"/>
      <w:r w:rsidRPr="00F32187">
        <w:rPr>
          <w:lang w:val="fr-FR"/>
        </w:rPr>
        <w:t>) on dispose d</w:t>
      </w:r>
      <w:r w:rsidR="00535418" w:rsidRPr="00F32187">
        <w:rPr>
          <w:lang w:val="fr-FR"/>
        </w:rPr>
        <w:t>’</w:t>
      </w:r>
      <w:r w:rsidRPr="00F32187">
        <w:rPr>
          <w:lang w:val="fr-FR"/>
        </w:rPr>
        <w:t>une innovation permettant de résoudre le problème;  et 3) il existe une volonté politique de recourir à la solution proposée (</w:t>
      </w:r>
      <w:r w:rsidRPr="00F32187">
        <w:rPr>
          <w:lang w:val="fr-FR"/>
        </w:rPr>
        <w:fldChar w:fldCharType="begin"/>
      </w:r>
      <w:r w:rsidRPr="00F32187">
        <w:rPr>
          <w:lang w:val="fr-FR"/>
        </w:rPr>
        <w:instrText xml:space="preserve"> REF _Ref139019846 \h </w:instrText>
      </w:r>
      <w:r w:rsidRPr="00F32187">
        <w:rPr>
          <w:lang w:val="fr-FR"/>
        </w:rPr>
      </w:r>
      <w:r w:rsidRPr="00F32187">
        <w:rPr>
          <w:lang w:val="fr-FR"/>
        </w:rPr>
        <w:fldChar w:fldCharType="separate"/>
      </w:r>
      <w:r w:rsidR="0094636A" w:rsidRPr="00F32187">
        <w:rPr>
          <w:lang w:val="fr-FR"/>
        </w:rPr>
        <w:t xml:space="preserve">Figure </w:t>
      </w:r>
      <w:r w:rsidR="0094636A">
        <w:rPr>
          <w:noProof/>
          <w:lang w:val="fr-FR"/>
        </w:rPr>
        <w:t>9</w:t>
      </w:r>
      <w:r w:rsidRPr="00F32187">
        <w:rPr>
          <w:lang w:val="fr-FR"/>
        </w:rPr>
        <w:fldChar w:fldCharType="end"/>
      </w:r>
      <w:r w:rsidRPr="00F32187">
        <w:rPr>
          <w:lang w:val="fr-FR"/>
        </w:rPr>
        <w:t>).  Cette approche implique de poser de manière explicite trois</w:t>
      </w:r>
      <w:r w:rsidR="00B37BEF" w:rsidRPr="00F32187">
        <w:rPr>
          <w:lang w:val="fr-FR"/>
        </w:rPr>
        <w:t> </w:t>
      </w:r>
      <w:r w:rsidRPr="00F32187">
        <w:rPr>
          <w:lang w:val="fr-FR"/>
        </w:rPr>
        <w:t>hypothèses fondamentales dans la théorie du changement d</w:t>
      </w:r>
      <w:r w:rsidR="00535418" w:rsidRPr="00F32187">
        <w:rPr>
          <w:lang w:val="fr-FR"/>
        </w:rPr>
        <w:t>’</w:t>
      </w:r>
      <w:r w:rsidRPr="00F32187">
        <w:rPr>
          <w:lang w:val="fr-FR"/>
        </w:rPr>
        <w:t>un projet.</w:t>
      </w:r>
    </w:p>
    <w:p w14:paraId="4E2A69E0" w14:textId="1850F1A5" w:rsidR="00E045F1" w:rsidRPr="00F32187" w:rsidRDefault="00E045F1" w:rsidP="004263EB">
      <w:pPr>
        <w:pStyle w:val="ListParagraph"/>
        <w:numPr>
          <w:ilvl w:val="0"/>
          <w:numId w:val="14"/>
        </w:numPr>
        <w:spacing w:after="220"/>
        <w:ind w:left="567" w:hanging="567"/>
        <w:contextualSpacing w:val="0"/>
        <w:rPr>
          <w:lang w:val="fr-FR"/>
        </w:rPr>
      </w:pPr>
      <w:r w:rsidRPr="00F32187">
        <w:rPr>
          <w:lang w:val="fr-FR"/>
        </w:rPr>
        <w:t>Mise en commun des résultats</w:t>
      </w:r>
      <w:r w:rsidR="00535418" w:rsidRPr="00F32187">
        <w:rPr>
          <w:lang w:val="fr-FR"/>
        </w:rPr>
        <w:t> :</w:t>
      </w:r>
      <w:r w:rsidRPr="00F32187">
        <w:rPr>
          <w:lang w:val="fr-FR"/>
        </w:rPr>
        <w:t xml:space="preserve"> Le projet a engendré des résultats de recherche significatifs, comme on peut le voir dans l</w:t>
      </w:r>
      <w:r w:rsidR="00535418" w:rsidRPr="00F32187">
        <w:rPr>
          <w:lang w:val="fr-FR"/>
        </w:rPr>
        <w:t>’</w:t>
      </w:r>
      <w:r w:rsidRPr="00F32187">
        <w:rPr>
          <w:lang w:val="fr-FR"/>
        </w:rPr>
        <w:t>appendice</w:t>
      </w:r>
      <w:r w:rsidR="00B37BEF" w:rsidRPr="00F32187">
        <w:rPr>
          <w:lang w:val="fr-FR"/>
        </w:rPr>
        <w:t xml:space="preserve"> I.</w:t>
      </w:r>
      <w:r w:rsidR="00A133B5">
        <w:rPr>
          <w:lang w:val="fr-FR"/>
        </w:rPr>
        <w:t xml:space="preserve">  </w:t>
      </w:r>
      <w:r w:rsidRPr="00F32187">
        <w:rPr>
          <w:lang w:val="fr-FR"/>
        </w:rPr>
        <w:t>Les documents de projet sont publiés par l</w:t>
      </w:r>
      <w:r w:rsidR="00535418" w:rsidRPr="00F32187">
        <w:rPr>
          <w:lang w:val="fr-FR"/>
        </w:rPr>
        <w:t>’</w:t>
      </w:r>
      <w:r w:rsidRPr="00F32187">
        <w:rPr>
          <w:lang w:val="fr-FR"/>
        </w:rPr>
        <w:t>OMPI</w:t>
      </w:r>
      <w:r w:rsidRPr="00F32187">
        <w:rPr>
          <w:rStyle w:val="FootnoteReference"/>
          <w:lang w:val="fr-FR"/>
        </w:rPr>
        <w:footnoteReference w:id="13"/>
      </w:r>
      <w:r w:rsidRPr="00F32187">
        <w:rPr>
          <w:lang w:val="fr-FR"/>
        </w:rPr>
        <w:t>.  Cependant, de nombreux informateurs clés ont évoqué la nécessité de diffuser plus largement les résultats, indiquant que davantage d</w:t>
      </w:r>
      <w:r w:rsidR="00535418" w:rsidRPr="00F32187">
        <w:rPr>
          <w:lang w:val="fr-FR"/>
        </w:rPr>
        <w:t>’</w:t>
      </w:r>
      <w:r w:rsidRPr="00F32187">
        <w:rPr>
          <w:lang w:val="fr-FR"/>
        </w:rPr>
        <w:t>efforts devraient être déployés à cet effet, notamment en les diffusant via les réseaux sociaux, dans le cadre de conférences et en les publiant dans des revues.</w:t>
      </w:r>
    </w:p>
    <w:p w14:paraId="4C2C8CD8" w14:textId="2A93C52D" w:rsidR="00E045F1" w:rsidRPr="00F32187" w:rsidRDefault="00E045F1" w:rsidP="00E045F1">
      <w:pPr>
        <w:pStyle w:val="Caption"/>
        <w:keepNext/>
        <w:spacing w:after="120"/>
        <w:rPr>
          <w:lang w:val="fr-FR"/>
        </w:rPr>
      </w:pPr>
      <w:bookmarkStart w:id="64" w:name="_Ref139965333"/>
      <w:r w:rsidRPr="00F32187">
        <w:rPr>
          <w:lang w:val="fr-FR"/>
        </w:rPr>
        <w:lastRenderedPageBreak/>
        <w:t xml:space="preserve">Encadré </w:t>
      </w:r>
      <w:r w:rsidRPr="00F32187">
        <w:rPr>
          <w:lang w:val="fr-FR"/>
        </w:rPr>
        <w:fldChar w:fldCharType="begin"/>
      </w:r>
      <w:r w:rsidRPr="00F32187">
        <w:rPr>
          <w:lang w:val="fr-FR"/>
        </w:rPr>
        <w:instrText xml:space="preserve"> SEQ Text_Box \* ARABIC </w:instrText>
      </w:r>
      <w:r w:rsidRPr="00F32187">
        <w:rPr>
          <w:lang w:val="fr-FR"/>
        </w:rPr>
        <w:fldChar w:fldCharType="separate"/>
      </w:r>
      <w:r w:rsidR="0094636A">
        <w:rPr>
          <w:noProof/>
          <w:lang w:val="fr-FR"/>
        </w:rPr>
        <w:t>4</w:t>
      </w:r>
      <w:r w:rsidRPr="00F32187">
        <w:rPr>
          <w:lang w:val="fr-FR"/>
        </w:rPr>
        <w:fldChar w:fldCharType="end"/>
      </w:r>
      <w:bookmarkEnd w:id="64"/>
      <w:r w:rsidR="00535418" w:rsidRPr="00F32187">
        <w:rPr>
          <w:lang w:val="fr-FR"/>
        </w:rPr>
        <w:t> :</w:t>
      </w:r>
      <w:r w:rsidRPr="00F32187">
        <w:rPr>
          <w:lang w:val="fr-FR"/>
        </w:rPr>
        <w:t xml:space="preserve"> Caractéristiques d</w:t>
      </w:r>
      <w:r w:rsidR="00535418" w:rsidRPr="00F32187">
        <w:rPr>
          <w:lang w:val="fr-FR"/>
        </w:rPr>
        <w:t>’</w:t>
      </w:r>
      <w:r w:rsidRPr="00F32187">
        <w:rPr>
          <w:lang w:val="fr-FR"/>
        </w:rPr>
        <w:t>un système adaptatif complexe</w:t>
      </w:r>
    </w:p>
    <w:tbl>
      <w:tblPr>
        <w:tblStyle w:val="TableGrid"/>
        <w:tblW w:w="0" w:type="auto"/>
        <w:tblLook w:val="04A0" w:firstRow="1" w:lastRow="0" w:firstColumn="1" w:lastColumn="0" w:noHBand="0" w:noVBand="1"/>
        <w:tblCaption w:val="Text Box 4:  Characteristics of a complex adaptive system"/>
        <w:tblDescription w:val="Text Box 4:  Characteristics of a complex adaptive system"/>
      </w:tblPr>
      <w:tblGrid>
        <w:gridCol w:w="9345"/>
      </w:tblGrid>
      <w:tr w:rsidR="00E045F1" w:rsidRPr="00F32187" w14:paraId="5B9FC362" w14:textId="77777777" w:rsidTr="0073566D">
        <w:trPr>
          <w:tblHeader/>
        </w:trPr>
        <w:tc>
          <w:tcPr>
            <w:tcW w:w="9345" w:type="dxa"/>
            <w:shd w:val="clear" w:color="auto" w:fill="DBE5F1" w:themeFill="accent1" w:themeFillTint="33"/>
          </w:tcPr>
          <w:p w14:paraId="64240578" w14:textId="5129387B" w:rsidR="00E045F1" w:rsidRPr="00F32187" w:rsidRDefault="00E045F1" w:rsidP="0073566D">
            <w:pPr>
              <w:pStyle w:val="ONUMFS"/>
              <w:numPr>
                <w:ilvl w:val="0"/>
                <w:numId w:val="0"/>
              </w:numPr>
              <w:rPr>
                <w:lang w:val="fr-FR"/>
              </w:rPr>
            </w:pPr>
            <w:r w:rsidRPr="00F32187">
              <w:rPr>
                <w:i/>
                <w:iCs/>
                <w:lang w:val="fr-FR"/>
              </w:rPr>
              <w:t>Émergence</w:t>
            </w:r>
            <w:r w:rsidR="00535418" w:rsidRPr="00F32187">
              <w:rPr>
                <w:i/>
                <w:iCs/>
                <w:lang w:val="fr-FR"/>
              </w:rPr>
              <w:t> :</w:t>
            </w:r>
            <w:r w:rsidRPr="00F32187">
              <w:rPr>
                <w:lang w:val="fr-FR"/>
              </w:rPr>
              <w:t xml:space="preserve"> Des schémas émergent de l</w:t>
            </w:r>
            <w:r w:rsidR="00535418" w:rsidRPr="00F32187">
              <w:rPr>
                <w:lang w:val="fr-FR"/>
              </w:rPr>
              <w:t>’</w:t>
            </w:r>
            <w:r w:rsidRPr="00F32187">
              <w:rPr>
                <w:lang w:val="fr-FR"/>
              </w:rPr>
              <w:t>auto</w:t>
            </w:r>
            <w:r w:rsidR="00444006">
              <w:rPr>
                <w:lang w:val="fr-FR"/>
              </w:rPr>
              <w:noBreakHyphen/>
            </w:r>
            <w:r w:rsidRPr="00F32187">
              <w:rPr>
                <w:lang w:val="fr-FR"/>
              </w:rPr>
              <w:t>organisation parmi les intervenan</w:t>
            </w:r>
            <w:r w:rsidR="00F32187" w:rsidRPr="00F32187">
              <w:rPr>
                <w:lang w:val="fr-FR"/>
              </w:rPr>
              <w:t>ts.  Ce</w:t>
            </w:r>
            <w:r w:rsidRPr="00F32187">
              <w:rPr>
                <w:lang w:val="fr-FR"/>
              </w:rPr>
              <w:t xml:space="preserve"> qui émerge échappe à toute notion d</w:t>
            </w:r>
            <w:r w:rsidR="00535418" w:rsidRPr="00F32187">
              <w:rPr>
                <w:lang w:val="fr-FR"/>
              </w:rPr>
              <w:t>’</w:t>
            </w:r>
            <w:r w:rsidRPr="00F32187">
              <w:rPr>
                <w:lang w:val="fr-FR"/>
              </w:rPr>
              <w:t>intention commu</w:t>
            </w:r>
            <w:r w:rsidR="00F32187" w:rsidRPr="00F32187">
              <w:rPr>
                <w:lang w:val="fr-FR"/>
              </w:rPr>
              <w:t>ne.  Ch</w:t>
            </w:r>
            <w:r w:rsidRPr="00F32187">
              <w:rPr>
                <w:lang w:val="fr-FR"/>
              </w:rPr>
              <w:t>aque agent ou élément suit son propre chemin, mais lorsque ces chemins se croisent et que les éléments interagissent, des schémas d</w:t>
            </w:r>
            <w:r w:rsidR="00535418" w:rsidRPr="00F32187">
              <w:rPr>
                <w:lang w:val="fr-FR"/>
              </w:rPr>
              <w:t>’</w:t>
            </w:r>
            <w:r w:rsidRPr="00F32187">
              <w:rPr>
                <w:lang w:val="fr-FR"/>
              </w:rPr>
              <w:t>interaction émergent, dont le tout devient supérieur à la somme des parties.</w:t>
            </w:r>
          </w:p>
          <w:p w14:paraId="54F2C5FA" w14:textId="0A41E216" w:rsidR="00E045F1" w:rsidRPr="00F32187" w:rsidRDefault="00E045F1" w:rsidP="0073566D">
            <w:pPr>
              <w:pStyle w:val="ONUMFS"/>
              <w:numPr>
                <w:ilvl w:val="0"/>
                <w:numId w:val="0"/>
              </w:numPr>
              <w:rPr>
                <w:lang w:val="fr-FR"/>
              </w:rPr>
            </w:pPr>
            <w:r w:rsidRPr="00F32187">
              <w:rPr>
                <w:i/>
                <w:iCs/>
                <w:lang w:val="fr-FR"/>
              </w:rPr>
              <w:t>Non</w:t>
            </w:r>
            <w:r w:rsidR="00444006">
              <w:rPr>
                <w:i/>
                <w:iCs/>
                <w:lang w:val="fr-FR"/>
              </w:rPr>
              <w:noBreakHyphen/>
            </w:r>
            <w:r w:rsidRPr="00F32187">
              <w:rPr>
                <w:i/>
                <w:iCs/>
                <w:lang w:val="fr-FR"/>
              </w:rPr>
              <w:t>linéarité</w:t>
            </w:r>
            <w:r w:rsidR="00535418" w:rsidRPr="00F32187">
              <w:rPr>
                <w:i/>
                <w:iCs/>
                <w:lang w:val="fr-FR"/>
              </w:rPr>
              <w:t> :</w:t>
            </w:r>
            <w:r w:rsidRPr="00F32187">
              <w:rPr>
                <w:lang w:val="fr-FR"/>
              </w:rPr>
              <w:t xml:space="preserve"> Sensibilité aux conditions </w:t>
            </w:r>
            <w:proofErr w:type="gramStart"/>
            <w:r w:rsidRPr="00F32187">
              <w:rPr>
                <w:lang w:val="fr-FR"/>
              </w:rPr>
              <w:t>initiales;  de</w:t>
            </w:r>
            <w:proofErr w:type="gramEnd"/>
            <w:r w:rsidRPr="00F32187">
              <w:rPr>
                <w:lang w:val="fr-FR"/>
              </w:rPr>
              <w:t xml:space="preserve"> petites actions peuvent déclencher des réactions de grande envergure, comme le suggèrent les théories de l</w:t>
            </w:r>
            <w:r w:rsidR="00535418" w:rsidRPr="00F32187">
              <w:rPr>
                <w:lang w:val="fr-FR"/>
              </w:rPr>
              <w:t>’</w:t>
            </w:r>
            <w:r w:rsidRPr="00F32187">
              <w:rPr>
                <w:lang w:val="fr-FR"/>
              </w:rPr>
              <w:t>effet papillon (</w:t>
            </w:r>
            <w:proofErr w:type="spellStart"/>
            <w:r w:rsidRPr="00F32187">
              <w:rPr>
                <w:lang w:val="fr-FR"/>
              </w:rPr>
              <w:t>Gleick</w:t>
            </w:r>
            <w:proofErr w:type="spellEnd"/>
            <w:r w:rsidRPr="00F32187">
              <w:rPr>
                <w:lang w:val="fr-FR"/>
              </w:rPr>
              <w:t>, 1987) et du cygne noir (Taleb, 2007), selon lesquelles des événements hautement improbables, imprévisibles et inattendus peuvent avoir une incidence considérable.</w:t>
            </w:r>
          </w:p>
          <w:p w14:paraId="00A1EB8E" w14:textId="21E964E9" w:rsidR="00E045F1" w:rsidRPr="00F32187" w:rsidRDefault="00E045F1" w:rsidP="0073566D">
            <w:pPr>
              <w:pStyle w:val="ONUMFS"/>
              <w:numPr>
                <w:ilvl w:val="0"/>
                <w:numId w:val="0"/>
              </w:numPr>
              <w:rPr>
                <w:lang w:val="fr-FR"/>
              </w:rPr>
            </w:pPr>
            <w:r w:rsidRPr="00F32187">
              <w:rPr>
                <w:i/>
                <w:iCs/>
                <w:lang w:val="fr-FR"/>
              </w:rPr>
              <w:t>Dynamique</w:t>
            </w:r>
            <w:r w:rsidR="00535418" w:rsidRPr="00F32187">
              <w:rPr>
                <w:lang w:val="fr-FR"/>
              </w:rPr>
              <w:t> :</w:t>
            </w:r>
            <w:r w:rsidRPr="00F32187">
              <w:rPr>
                <w:lang w:val="fr-FR"/>
              </w:rPr>
              <w:t xml:space="preserve"> Les interactions au sein de sous</w:t>
            </w:r>
            <w:r w:rsidR="00444006">
              <w:rPr>
                <w:lang w:val="fr-FR"/>
              </w:rPr>
              <w:noBreakHyphen/>
            </w:r>
            <w:r w:rsidRPr="00F32187">
              <w:rPr>
                <w:lang w:val="fr-FR"/>
              </w:rPr>
              <w:t>systèmes et de parties de systèmes et entre eux sont volatiles, turbulentes, et évoluent de manière rapide et imprévisible.</w:t>
            </w:r>
          </w:p>
          <w:p w14:paraId="5ED650FE" w14:textId="67A13BB7" w:rsidR="00E045F1" w:rsidRPr="00F32187" w:rsidRDefault="00E045F1" w:rsidP="0073566D">
            <w:pPr>
              <w:pStyle w:val="ONUMFS"/>
              <w:numPr>
                <w:ilvl w:val="0"/>
                <w:numId w:val="0"/>
              </w:numPr>
              <w:rPr>
                <w:lang w:val="fr-FR"/>
              </w:rPr>
            </w:pPr>
            <w:r w:rsidRPr="00F32187">
              <w:rPr>
                <w:i/>
                <w:iCs/>
                <w:lang w:val="fr-FR"/>
              </w:rPr>
              <w:t>Incertitude</w:t>
            </w:r>
            <w:r w:rsidR="00535418" w:rsidRPr="00F32187">
              <w:rPr>
                <w:lang w:val="fr-FR"/>
              </w:rPr>
              <w:t> :</w:t>
            </w:r>
            <w:r w:rsidRPr="00F32187">
              <w:rPr>
                <w:lang w:val="fr-FR"/>
              </w:rPr>
              <w:t xml:space="preserve"> Dans des conditions complexes, les processus et les résultats sont imprévisibles, incontrôlables et impossibles à connaître à l</w:t>
            </w:r>
            <w:r w:rsidR="00535418" w:rsidRPr="00F32187">
              <w:rPr>
                <w:lang w:val="fr-FR"/>
              </w:rPr>
              <w:t>’</w:t>
            </w:r>
            <w:r w:rsidRPr="00F32187">
              <w:rPr>
                <w:lang w:val="fr-FR"/>
              </w:rPr>
              <w:t>avance.</w:t>
            </w:r>
          </w:p>
          <w:p w14:paraId="5EEE1922" w14:textId="5CCCEE27" w:rsidR="00E045F1" w:rsidRPr="00F32187" w:rsidRDefault="00E045F1" w:rsidP="0073566D">
            <w:pPr>
              <w:pStyle w:val="ONUMFS"/>
              <w:numPr>
                <w:ilvl w:val="0"/>
                <w:numId w:val="0"/>
              </w:numPr>
              <w:rPr>
                <w:lang w:val="fr-FR"/>
              </w:rPr>
            </w:pPr>
            <w:proofErr w:type="spellStart"/>
            <w:r w:rsidRPr="00F32187">
              <w:rPr>
                <w:i/>
                <w:iCs/>
                <w:lang w:val="fr-FR"/>
              </w:rPr>
              <w:t>Coévolutionnaire</w:t>
            </w:r>
            <w:proofErr w:type="spellEnd"/>
            <w:r w:rsidR="00535418" w:rsidRPr="00F32187">
              <w:rPr>
                <w:lang w:val="fr-FR"/>
              </w:rPr>
              <w:t> :</w:t>
            </w:r>
            <w:r w:rsidRPr="00F32187">
              <w:rPr>
                <w:lang w:val="fr-FR"/>
              </w:rPr>
              <w:t xml:space="preserve"> À mesure que des agents interactifs et adaptatifs s</w:t>
            </w:r>
            <w:r w:rsidR="00535418" w:rsidRPr="00F32187">
              <w:rPr>
                <w:lang w:val="fr-FR"/>
              </w:rPr>
              <w:t>’</w:t>
            </w:r>
            <w:proofErr w:type="spellStart"/>
            <w:r w:rsidRPr="00F32187">
              <w:rPr>
                <w:lang w:val="fr-FR"/>
              </w:rPr>
              <w:t>auto</w:t>
            </w:r>
            <w:r w:rsidR="00444006">
              <w:rPr>
                <w:lang w:val="fr-FR"/>
              </w:rPr>
              <w:noBreakHyphen/>
            </w:r>
            <w:r w:rsidRPr="00F32187">
              <w:rPr>
                <w:lang w:val="fr-FR"/>
              </w:rPr>
              <w:t>organisent</w:t>
            </w:r>
            <w:proofErr w:type="spellEnd"/>
            <w:r w:rsidRPr="00F32187">
              <w:rPr>
                <w:lang w:val="fr-FR"/>
              </w:rPr>
              <w:t xml:space="preserve">, des connexions émergent qui deviennent </w:t>
            </w:r>
            <w:proofErr w:type="spellStart"/>
            <w:r w:rsidRPr="00F32187">
              <w:rPr>
                <w:lang w:val="fr-FR"/>
              </w:rPr>
              <w:t>coévolutionnaires</w:t>
            </w:r>
            <w:proofErr w:type="spellEnd"/>
            <w:r w:rsidRPr="00F32187">
              <w:rPr>
                <w:lang w:val="fr-FR"/>
              </w:rPr>
              <w:t>, c</w:t>
            </w:r>
            <w:r w:rsidR="00535418" w:rsidRPr="00F32187">
              <w:rPr>
                <w:lang w:val="fr-FR"/>
              </w:rPr>
              <w:t>’</w:t>
            </w:r>
            <w:r w:rsidRPr="00F32187">
              <w:rPr>
                <w:lang w:val="fr-FR"/>
              </w:rPr>
              <w:t>est</w:t>
            </w:r>
            <w:r w:rsidR="00444006">
              <w:rPr>
                <w:lang w:val="fr-FR"/>
              </w:rPr>
              <w:noBreakHyphen/>
            </w:r>
            <w:r w:rsidRPr="00F32187">
              <w:rPr>
                <w:lang w:val="fr-FR"/>
              </w:rPr>
              <w:t>à</w:t>
            </w:r>
            <w:r w:rsidR="00444006">
              <w:rPr>
                <w:lang w:val="fr-FR"/>
              </w:rPr>
              <w:noBreakHyphen/>
            </w:r>
            <w:r w:rsidRPr="00F32187">
              <w:rPr>
                <w:lang w:val="fr-FR"/>
              </w:rPr>
              <w:t>dire que les agents évoluent ensemble dans le temps au sein du système entier et dans le cadre de celui</w:t>
            </w:r>
            <w:r w:rsidR="00444006">
              <w:rPr>
                <w:lang w:val="fr-FR"/>
              </w:rPr>
              <w:noBreakHyphen/>
            </w:r>
            <w:r w:rsidRPr="00F32187">
              <w:rPr>
                <w:lang w:val="fr-FR"/>
              </w:rPr>
              <w:t>ci.</w:t>
            </w:r>
          </w:p>
          <w:p w14:paraId="6F471221" w14:textId="21B5A494" w:rsidR="00E045F1" w:rsidRPr="00F32187" w:rsidRDefault="00E045F1" w:rsidP="0073566D">
            <w:pPr>
              <w:pStyle w:val="ONUMFS"/>
              <w:numPr>
                <w:ilvl w:val="0"/>
                <w:numId w:val="0"/>
              </w:numPr>
              <w:rPr>
                <w:lang w:val="fr-FR"/>
              </w:rPr>
            </w:pPr>
            <w:r w:rsidRPr="00F32187">
              <w:rPr>
                <w:i/>
                <w:iCs/>
                <w:lang w:val="fr-FR"/>
              </w:rPr>
              <w:t>Adaptatif</w:t>
            </w:r>
            <w:r w:rsidR="00535418" w:rsidRPr="00F32187">
              <w:rPr>
                <w:lang w:val="fr-FR"/>
              </w:rPr>
              <w:t> :</w:t>
            </w:r>
            <w:r w:rsidRPr="00F32187">
              <w:rPr>
                <w:lang w:val="fr-FR"/>
              </w:rPr>
              <w:t xml:space="preserve"> Les éléments et agents interactifs réagissent et s</w:t>
            </w:r>
            <w:r w:rsidR="00535418" w:rsidRPr="00F32187">
              <w:rPr>
                <w:lang w:val="fr-FR"/>
              </w:rPr>
              <w:t>’</w:t>
            </w:r>
            <w:r w:rsidRPr="00F32187">
              <w:rPr>
                <w:lang w:val="fr-FR"/>
              </w:rPr>
              <w:t>adaptent les uns aux autres, de sorte que ce qui en émerge et évolue est une fonction d</w:t>
            </w:r>
            <w:r w:rsidR="00535418" w:rsidRPr="00F32187">
              <w:rPr>
                <w:lang w:val="fr-FR"/>
              </w:rPr>
              <w:t>’</w:t>
            </w:r>
            <w:r w:rsidRPr="00F32187">
              <w:rPr>
                <w:lang w:val="fr-FR"/>
              </w:rPr>
              <w:t>adaptation continue à la fois parmi les éléments interactifs et les relations dynamiques des agents interactifs avec leur environnement.</w:t>
            </w:r>
          </w:p>
          <w:p w14:paraId="148F6198" w14:textId="639B0AED" w:rsidR="00E045F1" w:rsidRPr="00F32187" w:rsidRDefault="00E045F1" w:rsidP="0073566D">
            <w:pPr>
              <w:pStyle w:val="ONUMFS"/>
              <w:numPr>
                <w:ilvl w:val="0"/>
                <w:numId w:val="0"/>
              </w:numPr>
              <w:rPr>
                <w:i/>
                <w:iCs/>
                <w:lang w:val="fr-FR"/>
              </w:rPr>
            </w:pPr>
            <w:r w:rsidRPr="00F32187">
              <w:rPr>
                <w:i/>
                <w:iCs/>
                <w:lang w:val="fr-FR"/>
              </w:rPr>
              <w:t>Source</w:t>
            </w:r>
            <w:r w:rsidR="00535418" w:rsidRPr="00F32187">
              <w:rPr>
                <w:i/>
                <w:iCs/>
                <w:lang w:val="fr-FR"/>
              </w:rPr>
              <w:t> :</w:t>
            </w:r>
            <w:r w:rsidRPr="00F32187">
              <w:rPr>
                <w:i/>
                <w:iCs/>
                <w:lang w:val="fr-FR"/>
              </w:rPr>
              <w:t xml:space="preserve"> Patton, 2010.</w:t>
            </w:r>
          </w:p>
        </w:tc>
      </w:tr>
    </w:tbl>
    <w:p w14:paraId="1B17652A" w14:textId="506F4688" w:rsidR="00E045F1" w:rsidRPr="00F32187" w:rsidRDefault="00E045F1" w:rsidP="00E045F1">
      <w:pPr>
        <w:pStyle w:val="ONUMFS"/>
        <w:spacing w:before="220"/>
        <w:rPr>
          <w:lang w:val="fr-FR"/>
        </w:rPr>
      </w:pPr>
      <w:r w:rsidRPr="00F32187">
        <w:rPr>
          <w:lang w:val="fr-FR"/>
        </w:rPr>
        <w:t>Enfin, le projet reposait notamment sur l</w:t>
      </w:r>
      <w:r w:rsidR="00535418" w:rsidRPr="00F32187">
        <w:rPr>
          <w:lang w:val="fr-FR"/>
        </w:rPr>
        <w:t>’</w:t>
      </w:r>
      <w:r w:rsidRPr="00F32187">
        <w:rPr>
          <w:lang w:val="fr-FR"/>
        </w:rPr>
        <w:t>hypothèse qu</w:t>
      </w:r>
      <w:r w:rsidR="00535418" w:rsidRPr="00F32187">
        <w:rPr>
          <w:lang w:val="fr-FR"/>
        </w:rPr>
        <w:t>’</w:t>
      </w:r>
      <w:r w:rsidRPr="00F32187">
        <w:rPr>
          <w:lang w:val="fr-FR"/>
        </w:rPr>
        <w:t>il existe des lacunes dans les pays bénéficiaires en matière de capacité à utiliser les bases factuelles de manière efficace dans le cadre de l</w:t>
      </w:r>
      <w:r w:rsidR="00535418" w:rsidRPr="00F32187">
        <w:rPr>
          <w:lang w:val="fr-FR"/>
        </w:rPr>
        <w:t>’</w:t>
      </w:r>
      <w:r w:rsidRPr="00F32187">
        <w:rPr>
          <w:lang w:val="fr-FR"/>
        </w:rPr>
        <w:t>élaboration des politiqu</w:t>
      </w:r>
      <w:r w:rsidR="00F32187" w:rsidRPr="00F32187">
        <w:rPr>
          <w:lang w:val="fr-FR"/>
        </w:rPr>
        <w:t>es.  Pa</w:t>
      </w:r>
      <w:r w:rsidRPr="00F32187">
        <w:rPr>
          <w:lang w:val="fr-FR"/>
        </w:rPr>
        <w:t>r conséquent, les activités de développement des capacités ciblaient en grande partie le personnel technique chargé des politiques et de la recherche et les universitaires au moyen de réunions, d</w:t>
      </w:r>
      <w:r w:rsidR="00535418" w:rsidRPr="00F32187">
        <w:rPr>
          <w:lang w:val="fr-FR"/>
        </w:rPr>
        <w:t>’</w:t>
      </w:r>
      <w:r w:rsidRPr="00F32187">
        <w:rPr>
          <w:lang w:val="fr-FR"/>
        </w:rPr>
        <w:t>ateliers et de séminair</w:t>
      </w:r>
      <w:r w:rsidR="00F32187" w:rsidRPr="00F32187">
        <w:rPr>
          <w:lang w:val="fr-FR"/>
        </w:rPr>
        <w:t>es.  Si</w:t>
      </w:r>
      <w:r w:rsidRPr="00F32187">
        <w:rPr>
          <w:lang w:val="fr-FR"/>
        </w:rPr>
        <w:t xml:space="preserve"> ces activités ont pu produire des résultats positifs, il est improbable que des événements de formation ponctuels permettent d</w:t>
      </w:r>
      <w:r w:rsidR="00535418" w:rsidRPr="00F32187">
        <w:rPr>
          <w:lang w:val="fr-FR"/>
        </w:rPr>
        <w:t>’</w:t>
      </w:r>
      <w:r w:rsidRPr="00F32187">
        <w:rPr>
          <w:lang w:val="fr-FR"/>
        </w:rPr>
        <w:t>ancrer de nouvelles compétences au niveau institutionn</w:t>
      </w:r>
      <w:r w:rsidR="00F32187" w:rsidRPr="00F32187">
        <w:rPr>
          <w:lang w:val="fr-FR"/>
        </w:rPr>
        <w:t>el.  Ce</w:t>
      </w:r>
      <w:r w:rsidRPr="00F32187">
        <w:rPr>
          <w:lang w:val="fr-FR"/>
        </w:rPr>
        <w:t>la a été confirmé par plusieurs informateurs clés qui ont signalé la nécessité de continuer de renforcer les capacités au sein des offices de propriété intellectuelle.</w:t>
      </w:r>
    </w:p>
    <w:p w14:paraId="6B90B893" w14:textId="488EC18D" w:rsidR="00E045F1" w:rsidRPr="00F32187" w:rsidRDefault="00AD2343" w:rsidP="00AD2343">
      <w:pPr>
        <w:pStyle w:val="Heading1"/>
        <w:numPr>
          <w:ilvl w:val="0"/>
          <w:numId w:val="7"/>
        </w:numPr>
      </w:pPr>
      <w:bookmarkStart w:id="65" w:name="_Toc140224982"/>
      <w:bookmarkStart w:id="66" w:name="_Ref139354732"/>
      <w:bookmarkStart w:id="67" w:name="_Toc145933449"/>
      <w:bookmarkStart w:id="68" w:name="_Toc146025109"/>
      <w:r>
        <w:t>É</w:t>
      </w:r>
      <w:r w:rsidRPr="00F32187">
        <w:t xml:space="preserve">tudes de cas : </w:t>
      </w:r>
      <w:r>
        <w:t>B</w:t>
      </w:r>
      <w:r w:rsidRPr="00F32187">
        <w:t xml:space="preserve">résil et </w:t>
      </w:r>
      <w:r>
        <w:t>I</w:t>
      </w:r>
      <w:r w:rsidRPr="00F32187">
        <w:t>ndonésie</w:t>
      </w:r>
      <w:bookmarkEnd w:id="65"/>
      <w:bookmarkEnd w:id="66"/>
      <w:bookmarkEnd w:id="67"/>
      <w:bookmarkEnd w:id="68"/>
    </w:p>
    <w:p w14:paraId="2A05C1B6" w14:textId="355337CB" w:rsidR="00E045F1" w:rsidRPr="00F32187" w:rsidRDefault="00E045F1" w:rsidP="00E045F1">
      <w:pPr>
        <w:pStyle w:val="ONUMFS"/>
        <w:rPr>
          <w:lang w:val="fr-FR"/>
        </w:rPr>
      </w:pPr>
      <w:r w:rsidRPr="00F32187">
        <w:rPr>
          <w:lang w:val="fr-FR"/>
        </w:rPr>
        <w:t>L</w:t>
      </w:r>
      <w:r w:rsidR="00535418" w:rsidRPr="00F32187">
        <w:rPr>
          <w:lang w:val="fr-FR"/>
        </w:rPr>
        <w:t>’</w:t>
      </w:r>
      <w:r w:rsidRPr="00F32187">
        <w:rPr>
          <w:lang w:val="fr-FR"/>
        </w:rPr>
        <w:t xml:space="preserve">évaluation a utilisé la théorie de </w:t>
      </w:r>
      <w:proofErr w:type="spellStart"/>
      <w:r w:rsidRPr="00F32187">
        <w:rPr>
          <w:lang w:val="fr-FR"/>
        </w:rPr>
        <w:t>Kingdon</w:t>
      </w:r>
      <w:proofErr w:type="spellEnd"/>
      <w:r w:rsidRPr="00F32187">
        <w:rPr>
          <w:lang w:val="fr-FR"/>
        </w:rPr>
        <w:t xml:space="preserve"> et </w:t>
      </w:r>
      <w:proofErr w:type="spellStart"/>
      <w:r w:rsidRPr="00F32187">
        <w:rPr>
          <w:lang w:val="fr-FR"/>
        </w:rPr>
        <w:t>Stano</w:t>
      </w:r>
      <w:proofErr w:type="spellEnd"/>
      <w:r w:rsidRPr="00F32187">
        <w:rPr>
          <w:lang w:val="fr-FR"/>
        </w:rPr>
        <w:t xml:space="preserve"> sur les fenêtres d</w:t>
      </w:r>
      <w:r w:rsidR="00535418" w:rsidRPr="00F32187">
        <w:rPr>
          <w:lang w:val="fr-FR"/>
        </w:rPr>
        <w:t>’</w:t>
      </w:r>
      <w:r w:rsidRPr="00F32187">
        <w:rPr>
          <w:lang w:val="fr-FR"/>
        </w:rPr>
        <w:t>opportunité (1984) comme cadre commun à partir duquel créer deux</w:t>
      </w:r>
      <w:r w:rsidR="00B37BEF" w:rsidRPr="00F32187">
        <w:rPr>
          <w:lang w:val="fr-FR"/>
        </w:rPr>
        <w:t> </w:t>
      </w:r>
      <w:r w:rsidRPr="00F32187">
        <w:rPr>
          <w:lang w:val="fr-FR"/>
        </w:rPr>
        <w:t>études de cas de l</w:t>
      </w:r>
      <w:r w:rsidR="00535418" w:rsidRPr="00F32187">
        <w:rPr>
          <w:lang w:val="fr-FR"/>
        </w:rPr>
        <w:t>’</w:t>
      </w:r>
      <w:r w:rsidRPr="00F32187">
        <w:rPr>
          <w:lang w:val="fr-FR"/>
        </w:rPr>
        <w:t>influence sur les politiques de propriété intellectuelle au Brésil et en Indonés</w:t>
      </w:r>
      <w:r w:rsidR="00F32187" w:rsidRPr="00F32187">
        <w:rPr>
          <w:lang w:val="fr-FR"/>
        </w:rPr>
        <w:t>ie.  Le</w:t>
      </w:r>
      <w:r w:rsidRPr="00F32187">
        <w:rPr>
          <w:lang w:val="fr-FR"/>
        </w:rPr>
        <w:t xml:space="preserve"> recours à une théorie de changement des politiques de moyenne portée facilite la comparaison et aide à fournir une perspective analytiq</w:t>
      </w:r>
      <w:r w:rsidR="00F32187" w:rsidRPr="00F32187">
        <w:rPr>
          <w:lang w:val="fr-FR"/>
        </w:rPr>
        <w:t>ue.  La</w:t>
      </w:r>
      <w:r w:rsidRPr="00F32187">
        <w:rPr>
          <w:lang w:val="fr-FR"/>
        </w:rPr>
        <w:t xml:space="preserve"> théorie fait allusion à “trois courants” pour décrire les raisons pour lesquelles certaines propositions de politiques deviennent réalité tandis que d</w:t>
      </w:r>
      <w:r w:rsidR="00535418" w:rsidRPr="00F32187">
        <w:rPr>
          <w:lang w:val="fr-FR"/>
        </w:rPr>
        <w:t>’</w:t>
      </w:r>
      <w:r w:rsidRPr="00F32187">
        <w:rPr>
          <w:lang w:val="fr-FR"/>
        </w:rPr>
        <w:t>autres sont ignorées ou tombent dans l</w:t>
      </w:r>
      <w:r w:rsidR="00535418" w:rsidRPr="00F32187">
        <w:rPr>
          <w:lang w:val="fr-FR"/>
        </w:rPr>
        <w:t>’</w:t>
      </w:r>
      <w:r w:rsidRPr="00F32187">
        <w:rPr>
          <w:lang w:val="fr-FR"/>
        </w:rPr>
        <w:t>oub</w:t>
      </w:r>
      <w:r w:rsidR="00F32187" w:rsidRPr="00F32187">
        <w:rPr>
          <w:lang w:val="fr-FR"/>
        </w:rPr>
        <w:t>li.  Se</w:t>
      </w:r>
      <w:r w:rsidRPr="00F32187">
        <w:rPr>
          <w:lang w:val="fr-FR"/>
        </w:rPr>
        <w:t xml:space="preserve">lon </w:t>
      </w:r>
      <w:proofErr w:type="spellStart"/>
      <w:r w:rsidRPr="00F32187">
        <w:rPr>
          <w:lang w:val="fr-FR"/>
        </w:rPr>
        <w:t>Kingdon</w:t>
      </w:r>
      <w:proofErr w:type="spellEnd"/>
      <w:r w:rsidRPr="00F32187">
        <w:rPr>
          <w:lang w:val="fr-FR"/>
        </w:rPr>
        <w:t xml:space="preserve"> et </w:t>
      </w:r>
      <w:proofErr w:type="spellStart"/>
      <w:r w:rsidRPr="00F32187">
        <w:rPr>
          <w:lang w:val="fr-FR"/>
        </w:rPr>
        <w:t>Stano</w:t>
      </w:r>
      <w:proofErr w:type="spellEnd"/>
      <w:r w:rsidRPr="00F32187">
        <w:rPr>
          <w:lang w:val="fr-FR"/>
        </w:rPr>
        <w:t>, trois</w:t>
      </w:r>
      <w:r w:rsidR="00B37BEF" w:rsidRPr="00F32187">
        <w:rPr>
          <w:lang w:val="fr-FR"/>
        </w:rPr>
        <w:t> </w:t>
      </w:r>
      <w:r w:rsidRPr="00F32187">
        <w:rPr>
          <w:lang w:val="fr-FR"/>
        </w:rPr>
        <w:t>courants sont indispensables pour opérer un changement de politique</w:t>
      </w:r>
      <w:r w:rsidR="00535418" w:rsidRPr="00F32187">
        <w:rPr>
          <w:lang w:val="fr-FR"/>
        </w:rPr>
        <w:t> :</w:t>
      </w:r>
      <w:r w:rsidRPr="00F32187">
        <w:rPr>
          <w:lang w:val="fr-FR"/>
        </w:rPr>
        <w:t xml:space="preserve"> 1) le courant “problème”, c</w:t>
      </w:r>
      <w:r w:rsidR="00535418" w:rsidRPr="00F32187">
        <w:rPr>
          <w:lang w:val="fr-FR"/>
        </w:rPr>
        <w:t>’</w:t>
      </w:r>
      <w:r w:rsidRPr="00F32187">
        <w:rPr>
          <w:lang w:val="fr-FR"/>
        </w:rPr>
        <w:t>est</w:t>
      </w:r>
      <w:r w:rsidR="00444006">
        <w:rPr>
          <w:lang w:val="fr-FR"/>
        </w:rPr>
        <w:noBreakHyphen/>
      </w:r>
      <w:r w:rsidRPr="00F32187">
        <w:rPr>
          <w:lang w:val="fr-FR"/>
        </w:rPr>
        <w:t>à</w:t>
      </w:r>
      <w:r w:rsidR="00444006">
        <w:rPr>
          <w:lang w:val="fr-FR"/>
        </w:rPr>
        <w:noBreakHyphen/>
      </w:r>
      <w:r w:rsidRPr="00F32187">
        <w:rPr>
          <w:lang w:val="fr-FR"/>
        </w:rPr>
        <w:t>dire l</w:t>
      </w:r>
      <w:r w:rsidR="00535418" w:rsidRPr="00F32187">
        <w:rPr>
          <w:lang w:val="fr-FR"/>
        </w:rPr>
        <w:t>’</w:t>
      </w:r>
      <w:r w:rsidRPr="00F32187">
        <w:rPr>
          <w:lang w:val="fr-FR"/>
        </w:rPr>
        <w:t>existence d</w:t>
      </w:r>
      <w:r w:rsidR="00535418" w:rsidRPr="00F32187">
        <w:rPr>
          <w:lang w:val="fr-FR"/>
        </w:rPr>
        <w:t>’</w:t>
      </w:r>
      <w:r w:rsidRPr="00F32187">
        <w:rPr>
          <w:lang w:val="fr-FR"/>
        </w:rPr>
        <w:t xml:space="preserve">un problème social qui requiert une action;  2) le courant “solution”, </w:t>
      </w:r>
      <w:r w:rsidR="00535418" w:rsidRPr="00F32187">
        <w:rPr>
          <w:lang w:val="fr-FR"/>
        </w:rPr>
        <w:t>à savoir</w:t>
      </w:r>
      <w:r w:rsidRPr="00F32187">
        <w:rPr>
          <w:lang w:val="fr-FR"/>
        </w:rPr>
        <w:t xml:space="preserve"> les solutions possibles mises au point par les responsables de l</w:t>
      </w:r>
      <w:r w:rsidR="00535418" w:rsidRPr="00F32187">
        <w:rPr>
          <w:lang w:val="fr-FR"/>
        </w:rPr>
        <w:t>’</w:t>
      </w:r>
      <w:r w:rsidRPr="00F32187">
        <w:rPr>
          <w:lang w:val="fr-FR"/>
        </w:rPr>
        <w:t>élaboration des politiques et d</w:t>
      </w:r>
      <w:r w:rsidR="00535418" w:rsidRPr="00F32187">
        <w:rPr>
          <w:lang w:val="fr-FR"/>
        </w:rPr>
        <w:t>’</w:t>
      </w:r>
      <w:r w:rsidRPr="00F32187">
        <w:rPr>
          <w:lang w:val="fr-FR"/>
        </w:rPr>
        <w:t>autres acteurs;  et 3) le courant “politique”, soit les changements au niveau des facteurs politiques, par exemple des élections, l</w:t>
      </w:r>
      <w:r w:rsidR="00535418" w:rsidRPr="00F32187">
        <w:rPr>
          <w:lang w:val="fr-FR"/>
        </w:rPr>
        <w:t>’</w:t>
      </w:r>
      <w:r w:rsidRPr="00F32187">
        <w:rPr>
          <w:lang w:val="fr-FR"/>
        </w:rPr>
        <w:t>opinion publique ou des groupes d</w:t>
      </w:r>
      <w:r w:rsidR="00535418" w:rsidRPr="00F32187">
        <w:rPr>
          <w:lang w:val="fr-FR"/>
        </w:rPr>
        <w:t>’</w:t>
      </w:r>
      <w:r w:rsidRPr="00F32187">
        <w:rPr>
          <w:lang w:val="fr-FR"/>
        </w:rPr>
        <w:t>intérê</w:t>
      </w:r>
      <w:r w:rsidR="00F32187" w:rsidRPr="00F32187">
        <w:rPr>
          <w:lang w:val="fr-FR"/>
        </w:rPr>
        <w:t>ts.  Ce</w:t>
      </w:r>
      <w:r w:rsidRPr="00F32187">
        <w:rPr>
          <w:lang w:val="fr-FR"/>
        </w:rPr>
        <w:t>s courants sont généralement indépendants, mais ils convergent parfois, créant alors une “fenêtre d</w:t>
      </w:r>
      <w:r w:rsidR="00535418" w:rsidRPr="00F32187">
        <w:rPr>
          <w:lang w:val="fr-FR"/>
        </w:rPr>
        <w:t>’</w:t>
      </w:r>
      <w:r w:rsidRPr="00F32187">
        <w:rPr>
          <w:lang w:val="fr-FR"/>
        </w:rPr>
        <w:t>opportunité”, une brève période pendant laquelle un changement politique est possible (</w:t>
      </w:r>
      <w:r w:rsidRPr="00F32187">
        <w:rPr>
          <w:lang w:val="fr-FR"/>
        </w:rPr>
        <w:fldChar w:fldCharType="begin"/>
      </w:r>
      <w:r w:rsidRPr="00F32187">
        <w:rPr>
          <w:lang w:val="fr-FR"/>
        </w:rPr>
        <w:instrText xml:space="preserve"> REF _Ref139019846 \h  \* MERGEFORMAT </w:instrText>
      </w:r>
      <w:r w:rsidRPr="00F32187">
        <w:rPr>
          <w:lang w:val="fr-FR"/>
        </w:rPr>
      </w:r>
      <w:r w:rsidRPr="00F32187">
        <w:rPr>
          <w:lang w:val="fr-FR"/>
        </w:rPr>
        <w:fldChar w:fldCharType="separate"/>
      </w:r>
      <w:r w:rsidR="0094636A" w:rsidRPr="00F32187">
        <w:rPr>
          <w:lang w:val="fr-FR"/>
        </w:rPr>
        <w:t xml:space="preserve">Figure </w:t>
      </w:r>
      <w:r w:rsidR="0094636A">
        <w:rPr>
          <w:noProof/>
          <w:lang w:val="fr-FR"/>
        </w:rPr>
        <w:t>9</w:t>
      </w:r>
      <w:r w:rsidRPr="00F32187">
        <w:rPr>
          <w:lang w:val="fr-FR"/>
        </w:rPr>
        <w:fldChar w:fldCharType="end"/>
      </w:r>
      <w:r w:rsidRPr="00F32187">
        <w:rPr>
          <w:lang w:val="fr-FR"/>
        </w:rPr>
        <w:t xml:space="preserve">).  Les défenseurs des politiques </w:t>
      </w:r>
      <w:r w:rsidRPr="00F32187">
        <w:rPr>
          <w:lang w:val="fr-FR"/>
        </w:rPr>
        <w:lastRenderedPageBreak/>
        <w:t>peuvent influer sur l</w:t>
      </w:r>
      <w:r w:rsidR="00535418" w:rsidRPr="00F32187">
        <w:rPr>
          <w:lang w:val="fr-FR"/>
        </w:rPr>
        <w:t>’</w:t>
      </w:r>
      <w:r w:rsidRPr="00F32187">
        <w:rPr>
          <w:lang w:val="fr-FR"/>
        </w:rPr>
        <w:t>ouverture d</w:t>
      </w:r>
      <w:r w:rsidR="00535418" w:rsidRPr="00F32187">
        <w:rPr>
          <w:lang w:val="fr-FR"/>
        </w:rPr>
        <w:t>’</w:t>
      </w:r>
      <w:r w:rsidRPr="00F32187">
        <w:rPr>
          <w:lang w:val="fr-FR"/>
        </w:rPr>
        <w:t>une fenêtre d</w:t>
      </w:r>
      <w:r w:rsidR="00535418" w:rsidRPr="00F32187">
        <w:rPr>
          <w:lang w:val="fr-FR"/>
        </w:rPr>
        <w:t>’</w:t>
      </w:r>
      <w:r w:rsidRPr="00F32187">
        <w:rPr>
          <w:lang w:val="fr-FR"/>
        </w:rPr>
        <w:t>opportunité en reliant deux ou trois</w:t>
      </w:r>
      <w:r w:rsidR="00B37BEF" w:rsidRPr="00F32187">
        <w:rPr>
          <w:lang w:val="fr-FR"/>
        </w:rPr>
        <w:t> </w:t>
      </w:r>
      <w:r w:rsidRPr="00F32187">
        <w:rPr>
          <w:lang w:val="fr-FR"/>
        </w:rPr>
        <w:t>des courants, soit en anticipant les événements soit en tirant parti d</w:t>
      </w:r>
      <w:r w:rsidR="00535418" w:rsidRPr="00F32187">
        <w:rPr>
          <w:lang w:val="fr-FR"/>
        </w:rPr>
        <w:t>’</w:t>
      </w:r>
      <w:r w:rsidRPr="00F32187">
        <w:rPr>
          <w:lang w:val="fr-FR"/>
        </w:rPr>
        <w:t>événements inattendus.</w:t>
      </w:r>
    </w:p>
    <w:p w14:paraId="39E52295" w14:textId="3D40A54A" w:rsidR="00E045F1" w:rsidRPr="00F32187" w:rsidRDefault="00E045F1" w:rsidP="00E045F1">
      <w:pPr>
        <w:pStyle w:val="Caption"/>
        <w:keepNext/>
        <w:keepLines/>
        <w:spacing w:after="120"/>
        <w:rPr>
          <w:lang w:val="fr-FR"/>
        </w:rPr>
      </w:pPr>
      <w:bookmarkStart w:id="69" w:name="_Ref139019846"/>
      <w:r w:rsidRPr="00F32187">
        <w:rPr>
          <w:lang w:val="fr-FR"/>
        </w:rPr>
        <w:t xml:space="preserve">Figure </w:t>
      </w:r>
      <w:r w:rsidRPr="00F32187">
        <w:rPr>
          <w:lang w:val="fr-FR"/>
        </w:rPr>
        <w:fldChar w:fldCharType="begin"/>
      </w:r>
      <w:r w:rsidRPr="00F32187">
        <w:rPr>
          <w:lang w:val="fr-FR"/>
        </w:rPr>
        <w:instrText xml:space="preserve"> SEQ Figure \* ARABIC </w:instrText>
      </w:r>
      <w:r w:rsidRPr="00F32187">
        <w:rPr>
          <w:lang w:val="fr-FR"/>
        </w:rPr>
        <w:fldChar w:fldCharType="separate"/>
      </w:r>
      <w:r w:rsidR="0094636A">
        <w:rPr>
          <w:noProof/>
          <w:lang w:val="fr-FR"/>
        </w:rPr>
        <w:t>9</w:t>
      </w:r>
      <w:r w:rsidRPr="00F32187">
        <w:rPr>
          <w:lang w:val="fr-FR"/>
        </w:rPr>
        <w:fldChar w:fldCharType="end"/>
      </w:r>
      <w:bookmarkEnd w:id="69"/>
      <w:r w:rsidR="00535418" w:rsidRPr="00F32187">
        <w:rPr>
          <w:lang w:val="fr-FR"/>
        </w:rPr>
        <w:t> :</w:t>
      </w:r>
      <w:r w:rsidRPr="00F32187">
        <w:rPr>
          <w:lang w:val="fr-FR"/>
        </w:rPr>
        <w:t xml:space="preserve"> Théorie de la fenêtre d</w:t>
      </w:r>
      <w:r w:rsidR="00535418" w:rsidRPr="00F32187">
        <w:rPr>
          <w:lang w:val="fr-FR"/>
        </w:rPr>
        <w:t>’</w:t>
      </w:r>
      <w:r w:rsidRPr="00F32187">
        <w:rPr>
          <w:lang w:val="fr-FR"/>
        </w:rPr>
        <w:t>opportunité adoptée dans les études de cas</w:t>
      </w:r>
      <w:r w:rsidRPr="00F32187">
        <w:rPr>
          <w:rStyle w:val="FootnoteReference"/>
          <w:lang w:val="fr-FR"/>
        </w:rPr>
        <w:footnoteReference w:id="14"/>
      </w:r>
    </w:p>
    <w:p w14:paraId="266C8233" w14:textId="6471E0EF" w:rsidR="00E045F1" w:rsidRPr="00F32187" w:rsidRDefault="00455A17" w:rsidP="00E045F1">
      <w:pPr>
        <w:jc w:val="center"/>
        <w:rPr>
          <w:lang w:val="fr-FR"/>
        </w:rPr>
      </w:pPr>
      <w:r w:rsidRPr="00455A17">
        <w:rPr>
          <w:noProof/>
        </w:rPr>
        <w:drawing>
          <wp:inline distT="0" distB="0" distL="0" distR="0" wp14:anchorId="7FCF2808" wp14:editId="2B7328DC">
            <wp:extent cx="5760000" cy="2866592"/>
            <wp:effectExtent l="0" t="0" r="0" b="0"/>
            <wp:docPr id="1" name="Picture 1" descr="Figure 9 : Théorie de la fenêtre d’opportunité adoptée dans les études de 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9 : Théorie de la fenêtre d’opportunité adoptée dans les études de cas"/>
                    <pic:cNvPicPr/>
                  </pic:nvPicPr>
                  <pic:blipFill rotWithShape="1">
                    <a:blip r:embed="rId26"/>
                    <a:srcRect t="6811"/>
                    <a:stretch/>
                  </pic:blipFill>
                  <pic:spPr bwMode="auto">
                    <a:xfrm>
                      <a:off x="0" y="0"/>
                      <a:ext cx="5760000" cy="2866592"/>
                    </a:xfrm>
                    <a:prstGeom prst="rect">
                      <a:avLst/>
                    </a:prstGeom>
                    <a:ln>
                      <a:noFill/>
                    </a:ln>
                    <a:extLst>
                      <a:ext uri="{53640926-AAD7-44D8-BBD7-CCE9431645EC}">
                        <a14:shadowObscured xmlns:a14="http://schemas.microsoft.com/office/drawing/2010/main"/>
                      </a:ext>
                    </a:extLst>
                  </pic:spPr>
                </pic:pic>
              </a:graphicData>
            </a:graphic>
          </wp:inline>
        </w:drawing>
      </w:r>
    </w:p>
    <w:p w14:paraId="2BCBB0BA" w14:textId="777DEA56" w:rsidR="00E045F1" w:rsidRPr="00F32187" w:rsidRDefault="00E045F1" w:rsidP="00AD2343">
      <w:pPr>
        <w:pStyle w:val="Heading2"/>
        <w:ind w:left="1134" w:hanging="567"/>
      </w:pPr>
      <w:bookmarkStart w:id="70" w:name="_Toc140224983"/>
      <w:bookmarkStart w:id="71" w:name="_Toc145933450"/>
      <w:bookmarkStart w:id="72" w:name="_Toc146025110"/>
      <w:r w:rsidRPr="00F32187">
        <w:t>Résumé de la situation de la propriété intellectuelle au Brésil (</w:t>
      </w:r>
      <w:r w:rsidR="00535418" w:rsidRPr="00F32187">
        <w:t>de 2012</w:t>
      </w:r>
      <w:r w:rsidRPr="00F32187">
        <w:t xml:space="preserve"> à ce jour)</w:t>
      </w:r>
      <w:bookmarkEnd w:id="70"/>
      <w:bookmarkEnd w:id="71"/>
      <w:bookmarkEnd w:id="72"/>
    </w:p>
    <w:p w14:paraId="40478D03" w14:textId="47C45930" w:rsidR="00E045F1" w:rsidRPr="00F32187" w:rsidRDefault="00E045F1" w:rsidP="00E045F1">
      <w:pPr>
        <w:pStyle w:val="ONUMFS"/>
        <w:rPr>
          <w:lang w:val="fr-FR"/>
        </w:rPr>
      </w:pPr>
      <w:r w:rsidRPr="00F32187">
        <w:rPr>
          <w:lang w:val="fr-FR"/>
        </w:rPr>
        <w:t>Bien qu</w:t>
      </w:r>
      <w:r w:rsidR="00535418" w:rsidRPr="00F32187">
        <w:rPr>
          <w:lang w:val="fr-FR"/>
        </w:rPr>
        <w:t>’</w:t>
      </w:r>
      <w:r w:rsidRPr="00F32187">
        <w:rPr>
          <w:lang w:val="fr-FR"/>
        </w:rPr>
        <w:t>il ne s</w:t>
      </w:r>
      <w:r w:rsidR="00535418" w:rsidRPr="00F32187">
        <w:rPr>
          <w:lang w:val="fr-FR"/>
        </w:rPr>
        <w:t>’</w:t>
      </w:r>
      <w:r w:rsidRPr="00F32187">
        <w:rPr>
          <w:lang w:val="fr-FR"/>
        </w:rPr>
        <w:t>agisse pas d</w:t>
      </w:r>
      <w:r w:rsidR="00535418" w:rsidRPr="00F32187">
        <w:rPr>
          <w:lang w:val="fr-FR"/>
        </w:rPr>
        <w:t>’</w:t>
      </w:r>
      <w:r w:rsidRPr="00F32187">
        <w:rPr>
          <w:lang w:val="fr-FR"/>
        </w:rPr>
        <w:t>une conséquence directe du projet, la réglementation et l</w:t>
      </w:r>
      <w:r w:rsidR="00535418" w:rsidRPr="00F32187">
        <w:rPr>
          <w:lang w:val="fr-FR"/>
        </w:rPr>
        <w:t>’</w:t>
      </w:r>
      <w:r w:rsidRPr="00F32187">
        <w:rPr>
          <w:lang w:val="fr-FR"/>
        </w:rPr>
        <w:t xml:space="preserve">utilisation de la propriété intellectuelle au Brésil ont connu des changements importants au cours des </w:t>
      </w:r>
      <w:r w:rsidR="00B37BEF" w:rsidRPr="00F32187">
        <w:rPr>
          <w:lang w:val="fr-FR"/>
        </w:rPr>
        <w:t>10 </w:t>
      </w:r>
      <w:r w:rsidRPr="00F32187">
        <w:rPr>
          <w:lang w:val="fr-FR"/>
        </w:rPr>
        <w:t>dernières années, fruit des efforts visant à encourager une culture d</w:t>
      </w:r>
      <w:r w:rsidR="00535418" w:rsidRPr="00F32187">
        <w:rPr>
          <w:lang w:val="fr-FR"/>
        </w:rPr>
        <w:t>’</w:t>
      </w:r>
      <w:r w:rsidRPr="00F32187">
        <w:rPr>
          <w:lang w:val="fr-FR"/>
        </w:rPr>
        <w:t>innovation et de compétitivi</w:t>
      </w:r>
      <w:r w:rsidR="00F32187" w:rsidRPr="00F32187">
        <w:rPr>
          <w:lang w:val="fr-FR"/>
        </w:rPr>
        <w:t>té.  Le</w:t>
      </w:r>
      <w:r w:rsidRPr="00F32187">
        <w:rPr>
          <w:lang w:val="fr-FR"/>
        </w:rPr>
        <w:t xml:space="preserve"> Brésil a adhéré aux principaux instruments internationaux en matière de droit de la propriété intellectuelle, comme la Convention de Paris, le Traité de coopération en matière de brevets (PCT), l</w:t>
      </w:r>
      <w:r w:rsidR="00535418" w:rsidRPr="00F32187">
        <w:rPr>
          <w:lang w:val="fr-FR"/>
        </w:rPr>
        <w:t>’</w:t>
      </w:r>
      <w:r w:rsidRPr="00F32187">
        <w:rPr>
          <w:lang w:val="fr-FR"/>
        </w:rPr>
        <w:t xml:space="preserve">Accord sur les aspects des droits de propriété intellectuelle qui touchent au commerce (ADPIC), le système de </w:t>
      </w:r>
      <w:r w:rsidR="00535418" w:rsidRPr="00F32187">
        <w:rPr>
          <w:lang w:val="fr-FR"/>
        </w:rPr>
        <w:t>La Haye</w:t>
      </w:r>
      <w:r w:rsidRPr="00F32187">
        <w:rPr>
          <w:lang w:val="fr-FR"/>
        </w:rPr>
        <w:t>, le Protocole de Madrid, la Convention de Berne et le Protocole de Nago</w:t>
      </w:r>
      <w:r w:rsidR="00F32187" w:rsidRPr="00F32187">
        <w:rPr>
          <w:lang w:val="fr-FR"/>
        </w:rPr>
        <w:t>ya.  Le</w:t>
      </w:r>
      <w:r w:rsidRPr="00F32187">
        <w:rPr>
          <w:lang w:val="fr-FR"/>
        </w:rPr>
        <w:t xml:space="preserve">s droits de propriété intellectuelle y sont garantis par la Constitution et régis par la loi brésilienne sur les brevets (loi fédérale numéro 9279 </w:t>
      </w:r>
      <w:r w:rsidR="00535418" w:rsidRPr="00F32187">
        <w:rPr>
          <w:lang w:val="fr-FR"/>
        </w:rPr>
        <w:t>de 1996</w:t>
      </w:r>
      <w:r w:rsidRPr="00F32187">
        <w:rPr>
          <w:lang w:val="fr-FR"/>
        </w:rPr>
        <w:t>), qui couvre les brevets, les marques, les dessins et modèles industriels, les indications géographiques et la protection contre la concurrence déloyale.</w:t>
      </w:r>
    </w:p>
    <w:p w14:paraId="13F983D5" w14:textId="529E6512" w:rsidR="00E045F1" w:rsidRPr="00F32187" w:rsidRDefault="00E045F1" w:rsidP="00E045F1">
      <w:pPr>
        <w:pStyle w:val="ONUMFS"/>
        <w:rPr>
          <w:lang w:val="fr-FR"/>
        </w:rPr>
      </w:pPr>
      <w:r w:rsidRPr="00F32187">
        <w:rPr>
          <w:lang w:val="fr-FR"/>
        </w:rPr>
        <w:t xml:space="preserve">Un des progrès récents les plus importants au Brésil en matière de réglementation de la propriété intellectuelle est le lancement </w:t>
      </w:r>
      <w:r w:rsidR="00535418" w:rsidRPr="00F32187">
        <w:rPr>
          <w:lang w:val="fr-FR"/>
        </w:rPr>
        <w:t>en 2020</w:t>
      </w:r>
      <w:r w:rsidRPr="00F32187">
        <w:rPr>
          <w:lang w:val="fr-FR"/>
        </w:rPr>
        <w:t xml:space="preserve"> de la stratégie nationale de propriété intellectuelle, dans le but de créer un système national de propriété intellectuelle équilibré et efficace, encourageant la créativité, les investissements dans l</w:t>
      </w:r>
      <w:r w:rsidR="00535418" w:rsidRPr="00F32187">
        <w:rPr>
          <w:lang w:val="fr-FR"/>
        </w:rPr>
        <w:t>’</w:t>
      </w:r>
      <w:r w:rsidRPr="00F32187">
        <w:rPr>
          <w:lang w:val="fr-FR"/>
        </w:rPr>
        <w:t>innovation et l</w:t>
      </w:r>
      <w:r w:rsidR="00535418" w:rsidRPr="00F32187">
        <w:rPr>
          <w:lang w:val="fr-FR"/>
        </w:rPr>
        <w:t>’</w:t>
      </w:r>
      <w:r w:rsidRPr="00F32187">
        <w:rPr>
          <w:lang w:val="fr-FR"/>
        </w:rPr>
        <w:t>accès aux connaissanc</w:t>
      </w:r>
      <w:r w:rsidR="00F32187" w:rsidRPr="00F32187">
        <w:rPr>
          <w:lang w:val="fr-FR"/>
        </w:rPr>
        <w:t>es.  Ce</w:t>
      </w:r>
      <w:r w:rsidRPr="00F32187">
        <w:rPr>
          <w:lang w:val="fr-FR"/>
        </w:rPr>
        <w:t>tte stratégie comprend divers objectifs et mesures destinés à améliorer la sensibilisation, l</w:t>
      </w:r>
      <w:r w:rsidR="00535418" w:rsidRPr="00F32187">
        <w:rPr>
          <w:lang w:val="fr-FR"/>
        </w:rPr>
        <w:t>’</w:t>
      </w:r>
      <w:r w:rsidRPr="00F32187">
        <w:rPr>
          <w:lang w:val="fr-FR"/>
        </w:rPr>
        <w:t>éducation, l</w:t>
      </w:r>
      <w:r w:rsidR="00535418" w:rsidRPr="00F32187">
        <w:rPr>
          <w:lang w:val="fr-FR"/>
        </w:rPr>
        <w:t>’</w:t>
      </w:r>
      <w:r w:rsidRPr="00F32187">
        <w:rPr>
          <w:lang w:val="fr-FR"/>
        </w:rPr>
        <w:t>application des lois, la gestion et la coopération internationale en matière de propriété intellectuelle au Brés</w:t>
      </w:r>
      <w:r w:rsidR="00F32187" w:rsidRPr="00F32187">
        <w:rPr>
          <w:lang w:val="fr-FR"/>
        </w:rPr>
        <w:t>il.  Pa</w:t>
      </w:r>
      <w:r w:rsidRPr="00F32187">
        <w:rPr>
          <w:lang w:val="fr-FR"/>
        </w:rPr>
        <w:t>rmi les résultats escomptés figurent l</w:t>
      </w:r>
      <w:r w:rsidR="00535418" w:rsidRPr="00F32187">
        <w:rPr>
          <w:lang w:val="fr-FR"/>
        </w:rPr>
        <w:t>’</w:t>
      </w:r>
      <w:r w:rsidRPr="00F32187">
        <w:rPr>
          <w:lang w:val="fr-FR"/>
        </w:rPr>
        <w:t xml:space="preserve">augmentation du nombre de demandes de </w:t>
      </w:r>
      <w:r w:rsidR="00B37BEF" w:rsidRPr="00F32187">
        <w:rPr>
          <w:lang w:val="fr-FR"/>
        </w:rPr>
        <w:t>brevet</w:t>
      </w:r>
      <w:r w:rsidRPr="00F32187">
        <w:rPr>
          <w:lang w:val="fr-FR"/>
        </w:rPr>
        <w:t xml:space="preserve"> et de brevets délivrés;  la réduction des arriérés et délais à l</w:t>
      </w:r>
      <w:r w:rsidR="00535418" w:rsidRPr="00F32187">
        <w:rPr>
          <w:lang w:val="fr-FR"/>
        </w:rPr>
        <w:t>’</w:t>
      </w:r>
      <w:r w:rsidRPr="00F32187">
        <w:rPr>
          <w:lang w:val="fr-FR"/>
        </w:rPr>
        <w:t>Institut national de la propriété industrielle (INPI) du Brésil;  l</w:t>
      </w:r>
      <w:r w:rsidR="00535418" w:rsidRPr="00F32187">
        <w:rPr>
          <w:lang w:val="fr-FR"/>
        </w:rPr>
        <w:t>’</w:t>
      </w:r>
      <w:r w:rsidRPr="00F32187">
        <w:rPr>
          <w:lang w:val="fr-FR"/>
        </w:rPr>
        <w:t>amélioration de la protection de la propriété intellectuelle relative aux savoirs traditionnels, à la biodiversité et aux expressions culturelles;  le renforcement des mécanismes de règlement des litiges de propriété intellectuelle;  et la promotion des partenariats en matière de propriété intellectuelle et du transfert de technologie.</w:t>
      </w:r>
    </w:p>
    <w:p w14:paraId="664350C0" w14:textId="56D92C56" w:rsidR="00E045F1" w:rsidRPr="00F32187" w:rsidRDefault="00E045F1" w:rsidP="00E045F1">
      <w:pPr>
        <w:pStyle w:val="ONUMFS"/>
        <w:rPr>
          <w:lang w:val="fr-FR"/>
        </w:rPr>
      </w:pPr>
      <w:r w:rsidRPr="00F32187">
        <w:rPr>
          <w:lang w:val="fr-FR"/>
        </w:rPr>
        <w:lastRenderedPageBreak/>
        <w:t xml:space="preserve">Le Brésil a également </w:t>
      </w:r>
      <w:proofErr w:type="gramStart"/>
      <w:r w:rsidRPr="00F32187">
        <w:rPr>
          <w:lang w:val="fr-FR"/>
        </w:rPr>
        <w:t>fait des progrès</w:t>
      </w:r>
      <w:proofErr w:type="gramEnd"/>
      <w:r w:rsidRPr="00F32187">
        <w:rPr>
          <w:lang w:val="fr-FR"/>
        </w:rPr>
        <w:t xml:space="preserve"> en matière de simplification et de modernisation de ses procédures et services de propriété intellectuel</w:t>
      </w:r>
      <w:r w:rsidR="00F32187" w:rsidRPr="00F32187">
        <w:rPr>
          <w:lang w:val="fr-FR"/>
        </w:rPr>
        <w:t>le.  Ai</w:t>
      </w:r>
      <w:r w:rsidRPr="00F32187">
        <w:rPr>
          <w:lang w:val="fr-FR"/>
        </w:rPr>
        <w:t>nsi, depuis 2019, il a adhéré au Protocole de Madrid, qui permet aux demandeurs d</w:t>
      </w:r>
      <w:r w:rsidR="00535418" w:rsidRPr="00F32187">
        <w:rPr>
          <w:lang w:val="fr-FR"/>
        </w:rPr>
        <w:t>’</w:t>
      </w:r>
      <w:r w:rsidRPr="00F32187">
        <w:rPr>
          <w:lang w:val="fr-FR"/>
        </w:rPr>
        <w:t>obtenir la protection de leurs marques dans plusieurs pays au moyen d</w:t>
      </w:r>
      <w:r w:rsidR="00535418" w:rsidRPr="00F32187">
        <w:rPr>
          <w:lang w:val="fr-FR"/>
        </w:rPr>
        <w:t>’</w:t>
      </w:r>
      <w:r w:rsidRPr="00F32187">
        <w:rPr>
          <w:lang w:val="fr-FR"/>
        </w:rPr>
        <w:t>une seule deman</w:t>
      </w:r>
      <w:r w:rsidR="00F32187" w:rsidRPr="00F32187">
        <w:rPr>
          <w:lang w:val="fr-FR"/>
        </w:rPr>
        <w:t>de.  Le</w:t>
      </w:r>
      <w:r w:rsidRPr="00F32187">
        <w:rPr>
          <w:lang w:val="fr-FR"/>
        </w:rPr>
        <w:t xml:space="preserve"> Brésil a également adhéré </w:t>
      </w:r>
      <w:r w:rsidR="00535418" w:rsidRPr="00F32187">
        <w:rPr>
          <w:lang w:val="fr-FR"/>
        </w:rPr>
        <w:t>en 2020</w:t>
      </w:r>
      <w:r w:rsidRPr="00F32187">
        <w:rPr>
          <w:lang w:val="fr-FR"/>
        </w:rPr>
        <w:t xml:space="preserve"> au système de </w:t>
      </w:r>
      <w:r w:rsidR="00535418" w:rsidRPr="00F32187">
        <w:rPr>
          <w:lang w:val="fr-FR"/>
        </w:rPr>
        <w:t>La Haye</w:t>
      </w:r>
      <w:r w:rsidRPr="00F32187">
        <w:rPr>
          <w:lang w:val="fr-FR"/>
        </w:rPr>
        <w:t>, qui permet quant à lui aux demandeurs de faire enregistrer leurs dessins et modèles industriels à l</w:t>
      </w:r>
      <w:r w:rsidR="00535418" w:rsidRPr="00F32187">
        <w:rPr>
          <w:lang w:val="fr-FR"/>
        </w:rPr>
        <w:t>’</w:t>
      </w:r>
      <w:r w:rsidRPr="00F32187">
        <w:rPr>
          <w:lang w:val="fr-FR"/>
        </w:rPr>
        <w:t>international, également au moyen d</w:t>
      </w:r>
      <w:r w:rsidR="00535418" w:rsidRPr="00F32187">
        <w:rPr>
          <w:lang w:val="fr-FR"/>
        </w:rPr>
        <w:t>’</w:t>
      </w:r>
      <w:r w:rsidRPr="00F32187">
        <w:rPr>
          <w:lang w:val="fr-FR"/>
        </w:rPr>
        <w:t>une seule deman</w:t>
      </w:r>
      <w:r w:rsidR="00F32187" w:rsidRPr="00F32187">
        <w:rPr>
          <w:lang w:val="fr-FR"/>
        </w:rPr>
        <w:t>de.  Il</w:t>
      </w:r>
      <w:r w:rsidRPr="00F32187">
        <w:rPr>
          <w:lang w:val="fr-FR"/>
        </w:rPr>
        <w:t xml:space="preserve"> a par ailleurs mis en œuvre plusieurs accords de coopération et projets pilotes avec d</w:t>
      </w:r>
      <w:r w:rsidR="00535418" w:rsidRPr="00F32187">
        <w:rPr>
          <w:lang w:val="fr-FR"/>
        </w:rPr>
        <w:t>’</w:t>
      </w:r>
      <w:r w:rsidRPr="00F32187">
        <w:rPr>
          <w:lang w:val="fr-FR"/>
        </w:rPr>
        <w:t>autres pays et organisations afin d</w:t>
      </w:r>
      <w:r w:rsidR="00535418" w:rsidRPr="00F32187">
        <w:rPr>
          <w:lang w:val="fr-FR"/>
        </w:rPr>
        <w:t>’</w:t>
      </w:r>
      <w:r w:rsidRPr="00F32187">
        <w:rPr>
          <w:lang w:val="fr-FR"/>
        </w:rPr>
        <w:t>accélérer le processus d</w:t>
      </w:r>
      <w:r w:rsidR="00535418" w:rsidRPr="00F32187">
        <w:rPr>
          <w:lang w:val="fr-FR"/>
        </w:rPr>
        <w:t>’</w:t>
      </w:r>
      <w:r w:rsidRPr="00F32187">
        <w:rPr>
          <w:lang w:val="fr-FR"/>
        </w:rPr>
        <w:t>examen des demandes de brevet et d</w:t>
      </w:r>
      <w:r w:rsidR="00535418" w:rsidRPr="00F32187">
        <w:rPr>
          <w:lang w:val="fr-FR"/>
        </w:rPr>
        <w:t>’</w:t>
      </w:r>
      <w:r w:rsidRPr="00F32187">
        <w:rPr>
          <w:lang w:val="fr-FR"/>
        </w:rPr>
        <w:t>harmoniser les normes en matière de breve</w:t>
      </w:r>
      <w:r w:rsidR="00F32187" w:rsidRPr="00F32187">
        <w:rPr>
          <w:lang w:val="fr-FR"/>
        </w:rPr>
        <w:t>ts.  En</w:t>
      </w:r>
      <w:r w:rsidRPr="00F32187">
        <w:rPr>
          <w:lang w:val="fr-FR"/>
        </w:rPr>
        <w:t xml:space="preserve"> outre, le Brésil admet </w:t>
      </w:r>
      <w:r w:rsidR="00535418" w:rsidRPr="00F32187">
        <w:rPr>
          <w:lang w:val="fr-FR"/>
        </w:rPr>
        <w:t>depuis 2022</w:t>
      </w:r>
      <w:r w:rsidRPr="00F32187">
        <w:rPr>
          <w:lang w:val="fr-FR"/>
        </w:rPr>
        <w:t xml:space="preserve"> que des redevances soient payées pour des droits de propriété intellectuelle non enregistrés, ce qui permet des remises fiscales lorsque les contrats sont enregistrés auprès de l</w:t>
      </w:r>
      <w:r w:rsidR="00535418" w:rsidRPr="00F32187">
        <w:rPr>
          <w:lang w:val="fr-FR"/>
        </w:rPr>
        <w:t>’</w:t>
      </w:r>
      <w:r w:rsidRPr="00F32187">
        <w:rPr>
          <w:lang w:val="fr-FR"/>
        </w:rPr>
        <w:t>INPI.</w:t>
      </w:r>
    </w:p>
    <w:p w14:paraId="3F7DD5CE" w14:textId="35D865B8" w:rsidR="00E045F1" w:rsidRPr="00F32187" w:rsidRDefault="00E045F1" w:rsidP="00E045F1">
      <w:pPr>
        <w:pStyle w:val="ONUMFS"/>
        <w:spacing w:after="0"/>
        <w:rPr>
          <w:lang w:val="fr-FR"/>
        </w:rPr>
      </w:pPr>
      <w:r w:rsidRPr="00F32187">
        <w:rPr>
          <w:lang w:val="fr-FR"/>
        </w:rPr>
        <w:t>En conclusion, la réglementation et l</w:t>
      </w:r>
      <w:r w:rsidR="00535418" w:rsidRPr="00F32187">
        <w:rPr>
          <w:lang w:val="fr-FR"/>
        </w:rPr>
        <w:t>’</w:t>
      </w:r>
      <w:r w:rsidRPr="00F32187">
        <w:rPr>
          <w:lang w:val="fr-FR"/>
        </w:rPr>
        <w:t>utilisation de la propriété intellectuelle ont considérablement évolué au Brésil depuis 2012, preuve de la détermination du pays à aligner son système de propriété intellectuelle sur les normes et les meilleures pratiques international</w:t>
      </w:r>
      <w:r w:rsidR="00F32187" w:rsidRPr="00F32187">
        <w:rPr>
          <w:lang w:val="fr-FR"/>
        </w:rPr>
        <w:t>es.  Le</w:t>
      </w:r>
      <w:r w:rsidRPr="00F32187">
        <w:rPr>
          <w:lang w:val="fr-FR"/>
        </w:rPr>
        <w:t xml:space="preserve"> pays a adopté plusieurs mesures visant à améliorer le cadre juridique, l</w:t>
      </w:r>
      <w:r w:rsidR="00535418" w:rsidRPr="00F32187">
        <w:rPr>
          <w:lang w:val="fr-FR"/>
        </w:rPr>
        <w:t>’</w:t>
      </w:r>
      <w:r w:rsidRPr="00F32187">
        <w:rPr>
          <w:lang w:val="fr-FR"/>
        </w:rPr>
        <w:t>infrastructure, le cadre d</w:t>
      </w:r>
      <w:r w:rsidR="00535418" w:rsidRPr="00F32187">
        <w:rPr>
          <w:lang w:val="fr-FR"/>
        </w:rPr>
        <w:t>’</w:t>
      </w:r>
      <w:r w:rsidRPr="00F32187">
        <w:rPr>
          <w:lang w:val="fr-FR"/>
        </w:rPr>
        <w:t>application des lois et la coopération en matière de propriété intellectuelle, dans le but de stimuler l</w:t>
      </w:r>
      <w:r w:rsidR="00535418" w:rsidRPr="00F32187">
        <w:rPr>
          <w:lang w:val="fr-FR"/>
        </w:rPr>
        <w:t>’</w:t>
      </w:r>
      <w:r w:rsidRPr="00F32187">
        <w:rPr>
          <w:lang w:val="fr-FR"/>
        </w:rPr>
        <w:t>innovation et le développeme</w:t>
      </w:r>
      <w:r w:rsidR="00F32187" w:rsidRPr="00F32187">
        <w:rPr>
          <w:lang w:val="fr-FR"/>
        </w:rPr>
        <w:t>nt.  En</w:t>
      </w:r>
      <w:r w:rsidR="00535418" w:rsidRPr="00F32187">
        <w:rPr>
          <w:lang w:val="fr-FR"/>
        </w:rPr>
        <w:t> 2021</w:t>
      </w:r>
      <w:r w:rsidRPr="00F32187">
        <w:rPr>
          <w:lang w:val="fr-FR"/>
        </w:rPr>
        <w:t>, l</w:t>
      </w:r>
      <w:r w:rsidR="00535418" w:rsidRPr="00F32187">
        <w:rPr>
          <w:lang w:val="fr-FR"/>
        </w:rPr>
        <w:t>’</w:t>
      </w:r>
      <w:r w:rsidRPr="00F32187">
        <w:rPr>
          <w:lang w:val="fr-FR"/>
        </w:rPr>
        <w:t>office des brevets du Brésil a délivré 31,7% de brevets de plus qu</w:t>
      </w:r>
      <w:r w:rsidR="00535418" w:rsidRPr="00F32187">
        <w:rPr>
          <w:lang w:val="fr-FR"/>
        </w:rPr>
        <w:t>’</w:t>
      </w:r>
      <w:r w:rsidRPr="00F32187">
        <w:rPr>
          <w:lang w:val="fr-FR"/>
        </w:rPr>
        <w:t>au cours de l</w:t>
      </w:r>
      <w:r w:rsidR="00535418" w:rsidRPr="00F32187">
        <w:rPr>
          <w:lang w:val="fr-FR"/>
        </w:rPr>
        <w:t>’</w:t>
      </w:r>
      <w:r w:rsidRPr="00F32187">
        <w:rPr>
          <w:lang w:val="fr-FR"/>
        </w:rPr>
        <w:t>année précédente (OMPI, 2022).  Le projet doit être considéré comme un des nombreux facteurs ayant joué un rôle important dans cette transformati</w:t>
      </w:r>
      <w:r w:rsidR="00F32187" w:rsidRPr="00F32187">
        <w:rPr>
          <w:lang w:val="fr-FR"/>
        </w:rPr>
        <w:t>on.  Il</w:t>
      </w:r>
      <w:r w:rsidRPr="00F32187">
        <w:rPr>
          <w:lang w:val="fr-FR"/>
        </w:rPr>
        <w:t xml:space="preserve"> demeure toutefois des défis et des aspects à améliorer en matière de réglementation et d</w:t>
      </w:r>
      <w:r w:rsidR="00535418" w:rsidRPr="00F32187">
        <w:rPr>
          <w:lang w:val="fr-FR"/>
        </w:rPr>
        <w:t>’</w:t>
      </w:r>
      <w:r w:rsidRPr="00F32187">
        <w:rPr>
          <w:lang w:val="fr-FR"/>
        </w:rPr>
        <w:t>utilisation de la propriété intellectuelle au Brésil, notamment s</w:t>
      </w:r>
      <w:r w:rsidR="00535418" w:rsidRPr="00F32187">
        <w:rPr>
          <w:lang w:val="fr-FR"/>
        </w:rPr>
        <w:t>’</w:t>
      </w:r>
      <w:r w:rsidRPr="00F32187">
        <w:rPr>
          <w:lang w:val="fr-FR"/>
        </w:rPr>
        <w:t>agissant de sensibiliser davantage encore à la propriété intellectuelle différents secteurs de la société, d</w:t>
      </w:r>
      <w:r w:rsidR="00535418" w:rsidRPr="00F32187">
        <w:rPr>
          <w:lang w:val="fr-FR"/>
        </w:rPr>
        <w:t>’</w:t>
      </w:r>
      <w:r w:rsidRPr="00F32187">
        <w:rPr>
          <w:lang w:val="fr-FR"/>
        </w:rPr>
        <w:t>améliorer la protection de la propriété intellectuelle relative aux technologies émergentes, de régler les problèmes liés à la propriété intellectuelle dans le commerce électronique et sur les plateformes numériques et d</w:t>
      </w:r>
      <w:r w:rsidR="00535418" w:rsidRPr="00F32187">
        <w:rPr>
          <w:lang w:val="fr-FR"/>
        </w:rPr>
        <w:t>’</w:t>
      </w:r>
      <w:r w:rsidRPr="00F32187">
        <w:rPr>
          <w:lang w:val="fr-FR"/>
        </w:rPr>
        <w:t>encourager un système de propriété intellectuelle plus équilibré et inclusif, qui respecte les droits humains et les intérêts sociaux (</w:t>
      </w:r>
      <w:proofErr w:type="spellStart"/>
      <w:r w:rsidR="007A3663" w:rsidRPr="00F32187">
        <w:rPr>
          <w:lang w:val="fr-FR"/>
        </w:rPr>
        <w:fldChar w:fldCharType="begin"/>
      </w:r>
      <w:r w:rsidR="007A3663" w:rsidRPr="00F32187">
        <w:rPr>
          <w:lang w:val="fr-FR"/>
        </w:rPr>
        <w:instrText>HYPERLINK "https://www.emerald.com/insight/search?q=Cleiton%20Rodrigues%20de%20Vasconcelos" \o "Cleiton Rodrigues de Vasconcelos"</w:instrText>
      </w:r>
      <w:r w:rsidR="007A3663" w:rsidRPr="00F32187">
        <w:rPr>
          <w:lang w:val="fr-FR"/>
        </w:rPr>
      </w:r>
      <w:r w:rsidR="007A3663" w:rsidRPr="00F32187">
        <w:rPr>
          <w:lang w:val="fr-FR"/>
        </w:rPr>
        <w:fldChar w:fldCharType="separate"/>
      </w:r>
      <w:r w:rsidRPr="00F32187">
        <w:rPr>
          <w:lang w:val="fr-FR"/>
        </w:rPr>
        <w:t>Vasconcelos</w:t>
      </w:r>
      <w:proofErr w:type="spellEnd"/>
      <w:r w:rsidR="007A3663" w:rsidRPr="00F32187">
        <w:rPr>
          <w:lang w:val="fr-FR"/>
        </w:rPr>
        <w:fldChar w:fldCharType="end"/>
      </w:r>
      <w:r w:rsidRPr="00F32187">
        <w:rPr>
          <w:lang w:val="fr-FR"/>
        </w:rPr>
        <w:t xml:space="preserve"> et </w:t>
      </w:r>
      <w:hyperlink r:id="rId27" w:tooltip="Daniel Pereira da Silva" w:history="1">
        <w:r w:rsidRPr="00F32187">
          <w:rPr>
            <w:lang w:val="fr-FR"/>
          </w:rPr>
          <w:t xml:space="preserve">Silva, </w:t>
        </w:r>
      </w:hyperlink>
      <w:r w:rsidRPr="00F32187">
        <w:rPr>
          <w:lang w:val="fr-FR"/>
        </w:rPr>
        <w:t>2019).</w:t>
      </w:r>
    </w:p>
    <w:p w14:paraId="59800392" w14:textId="727AB054" w:rsidR="00E045F1" w:rsidRPr="00F32187" w:rsidRDefault="00E045F1" w:rsidP="00AD2343">
      <w:pPr>
        <w:pStyle w:val="Heading2"/>
        <w:ind w:left="1134" w:hanging="567"/>
      </w:pPr>
      <w:bookmarkStart w:id="73" w:name="_Toc140224984"/>
      <w:bookmarkStart w:id="74" w:name="_Toc145933451"/>
      <w:bookmarkStart w:id="75" w:name="_Toc146025111"/>
      <w:r w:rsidRPr="00F32187">
        <w:t>Résumé de la situation en matière de propriété intellectuelle en Indonésie (</w:t>
      </w:r>
      <w:r w:rsidR="00535418" w:rsidRPr="00F32187">
        <w:t>de 2012</w:t>
      </w:r>
      <w:r w:rsidRPr="00F32187">
        <w:t xml:space="preserve"> à ce jour)</w:t>
      </w:r>
      <w:bookmarkEnd w:id="73"/>
      <w:bookmarkEnd w:id="74"/>
      <w:bookmarkEnd w:id="75"/>
    </w:p>
    <w:p w14:paraId="1F15D9AC" w14:textId="6AD6089F" w:rsidR="00E045F1" w:rsidRPr="00F32187" w:rsidRDefault="00E045F1" w:rsidP="00E045F1">
      <w:pPr>
        <w:pStyle w:val="ONUMFS"/>
        <w:rPr>
          <w:lang w:val="fr-FR"/>
        </w:rPr>
      </w:pPr>
      <w:r w:rsidRPr="00F32187">
        <w:rPr>
          <w:lang w:val="fr-FR"/>
        </w:rPr>
        <w:t>La réglementation et l</w:t>
      </w:r>
      <w:r w:rsidR="00535418" w:rsidRPr="00F32187">
        <w:rPr>
          <w:lang w:val="fr-FR"/>
        </w:rPr>
        <w:t>’</w:t>
      </w:r>
      <w:r w:rsidRPr="00F32187">
        <w:rPr>
          <w:lang w:val="fr-FR"/>
        </w:rPr>
        <w:t xml:space="preserve">utilisation de la propriété intellectuelle en Indonésie ont considérablement évolué au cours des </w:t>
      </w:r>
      <w:r w:rsidR="00B37BEF" w:rsidRPr="00F32187">
        <w:rPr>
          <w:lang w:val="fr-FR"/>
        </w:rPr>
        <w:t>10 </w:t>
      </w:r>
      <w:r w:rsidRPr="00F32187">
        <w:rPr>
          <w:lang w:val="fr-FR"/>
        </w:rPr>
        <w:t>dernières anné</w:t>
      </w:r>
      <w:r w:rsidR="00F32187" w:rsidRPr="00F32187">
        <w:rPr>
          <w:lang w:val="fr-FR"/>
        </w:rPr>
        <w:t>es.  To</w:t>
      </w:r>
      <w:r w:rsidRPr="00F32187">
        <w:rPr>
          <w:lang w:val="fr-FR"/>
        </w:rPr>
        <w:t>ut comme au Brésil, il ne fait aucun doute que le projet n</w:t>
      </w:r>
      <w:r w:rsidR="00535418" w:rsidRPr="00F32187">
        <w:rPr>
          <w:lang w:val="fr-FR"/>
        </w:rPr>
        <w:t>’</w:t>
      </w:r>
      <w:r w:rsidRPr="00F32187">
        <w:rPr>
          <w:lang w:val="fr-FR"/>
        </w:rPr>
        <w:t>est qu</w:t>
      </w:r>
      <w:r w:rsidR="00535418" w:rsidRPr="00F32187">
        <w:rPr>
          <w:lang w:val="fr-FR"/>
        </w:rPr>
        <w:t>’</w:t>
      </w:r>
      <w:r w:rsidRPr="00F32187">
        <w:rPr>
          <w:lang w:val="fr-FR"/>
        </w:rPr>
        <w:t>un facteur parmi de nombreux autres ayant contribué à ces changemen</w:t>
      </w:r>
      <w:r w:rsidR="00F32187" w:rsidRPr="00F32187">
        <w:rPr>
          <w:lang w:val="fr-FR"/>
        </w:rPr>
        <w:t>ts.  En</w:t>
      </w:r>
      <w:r w:rsidR="00535418" w:rsidRPr="00F32187">
        <w:rPr>
          <w:lang w:val="fr-FR"/>
        </w:rPr>
        <w:t> 2012</w:t>
      </w:r>
      <w:r w:rsidRPr="00F32187">
        <w:rPr>
          <w:lang w:val="fr-FR"/>
        </w:rPr>
        <w:t>, l</w:t>
      </w:r>
      <w:r w:rsidR="00535418" w:rsidRPr="00F32187">
        <w:rPr>
          <w:lang w:val="fr-FR"/>
        </w:rPr>
        <w:t>’</w:t>
      </w:r>
      <w:r w:rsidRPr="00F32187">
        <w:rPr>
          <w:lang w:val="fr-FR"/>
        </w:rPr>
        <w:t>Indonésie a adopté une nouvelle loi visant à harmoniser son système de propriété intellectuelle avec les normes internationales et à améliorer la protection et l</w:t>
      </w:r>
      <w:r w:rsidR="00535418" w:rsidRPr="00F32187">
        <w:rPr>
          <w:lang w:val="fr-FR"/>
        </w:rPr>
        <w:t>’</w:t>
      </w:r>
      <w:r w:rsidRPr="00F32187">
        <w:rPr>
          <w:lang w:val="fr-FR"/>
        </w:rPr>
        <w:t>application des droits de propriété intellectuel</w:t>
      </w:r>
      <w:r w:rsidR="00F32187" w:rsidRPr="00F32187">
        <w:rPr>
          <w:lang w:val="fr-FR"/>
        </w:rPr>
        <w:t>le.  Ce</w:t>
      </w:r>
      <w:r w:rsidRPr="00F32187">
        <w:rPr>
          <w:lang w:val="fr-FR"/>
        </w:rPr>
        <w:t>tte loi a introduit de nouvelles dispositions portant sur la brevetabilité, l</w:t>
      </w:r>
      <w:r w:rsidR="00535418" w:rsidRPr="00F32187">
        <w:rPr>
          <w:lang w:val="fr-FR"/>
        </w:rPr>
        <w:t>’</w:t>
      </w:r>
      <w:r w:rsidRPr="00F32187">
        <w:rPr>
          <w:lang w:val="fr-FR"/>
        </w:rPr>
        <w:t>enregistrement des marques, la protection du droit d</w:t>
      </w:r>
      <w:r w:rsidR="00535418" w:rsidRPr="00F32187">
        <w:rPr>
          <w:lang w:val="fr-FR"/>
        </w:rPr>
        <w:t>’</w:t>
      </w:r>
      <w:r w:rsidRPr="00F32187">
        <w:rPr>
          <w:lang w:val="fr-FR"/>
        </w:rPr>
        <w:t>auteur, les secrets d</w:t>
      </w:r>
      <w:r w:rsidR="00535418" w:rsidRPr="00F32187">
        <w:rPr>
          <w:lang w:val="fr-FR"/>
        </w:rPr>
        <w:t>’</w:t>
      </w:r>
      <w:r w:rsidRPr="00F32187">
        <w:rPr>
          <w:lang w:val="fr-FR"/>
        </w:rPr>
        <w:t>affaires, les indications géographiques et la protection des obtentions végétal</w:t>
      </w:r>
      <w:r w:rsidR="00F32187" w:rsidRPr="00F32187">
        <w:rPr>
          <w:lang w:val="fr-FR"/>
        </w:rPr>
        <w:t>es.  El</w:t>
      </w:r>
      <w:r w:rsidRPr="00F32187">
        <w:rPr>
          <w:lang w:val="fr-FR"/>
        </w:rPr>
        <w:t>le a également mis en place un tribunal spécialisé et un office de propriété intellectuelle pour traiter les litiges et l</w:t>
      </w:r>
      <w:r w:rsidR="00535418" w:rsidRPr="00F32187">
        <w:rPr>
          <w:lang w:val="fr-FR"/>
        </w:rPr>
        <w:t>’</w:t>
      </w:r>
      <w:r w:rsidRPr="00F32187">
        <w:rPr>
          <w:lang w:val="fr-FR"/>
        </w:rPr>
        <w:t>administration en matière de propriété intellectuelle.</w:t>
      </w:r>
    </w:p>
    <w:p w14:paraId="244C68F6" w14:textId="12401B1D" w:rsidR="00E045F1" w:rsidRPr="00F32187" w:rsidRDefault="00E045F1" w:rsidP="00E045F1">
      <w:pPr>
        <w:pStyle w:val="ONUMFS"/>
        <w:rPr>
          <w:lang w:val="fr-FR"/>
        </w:rPr>
      </w:pPr>
      <w:r w:rsidRPr="00F32187">
        <w:rPr>
          <w:lang w:val="fr-FR"/>
        </w:rPr>
        <w:t>Depuis, l</w:t>
      </w:r>
      <w:r w:rsidR="00535418" w:rsidRPr="00F32187">
        <w:rPr>
          <w:lang w:val="fr-FR"/>
        </w:rPr>
        <w:t>’</w:t>
      </w:r>
      <w:r w:rsidRPr="00F32187">
        <w:rPr>
          <w:lang w:val="fr-FR"/>
        </w:rPr>
        <w:t>Indonésie s</w:t>
      </w:r>
      <w:r w:rsidR="00535418" w:rsidRPr="00F32187">
        <w:rPr>
          <w:lang w:val="fr-FR"/>
        </w:rPr>
        <w:t>’</w:t>
      </w:r>
      <w:r w:rsidRPr="00F32187">
        <w:rPr>
          <w:lang w:val="fr-FR"/>
        </w:rPr>
        <w:t>est attachée à mettre en œuvre et améliorer son régime de propriété intellectuelle en émettant un règlement portant sur l</w:t>
      </w:r>
      <w:r w:rsidR="00535418" w:rsidRPr="00F32187">
        <w:rPr>
          <w:lang w:val="fr-FR"/>
        </w:rPr>
        <w:t>’</w:t>
      </w:r>
      <w:r w:rsidRPr="00F32187">
        <w:rPr>
          <w:lang w:val="fr-FR"/>
        </w:rPr>
        <w:t xml:space="preserve">octroi de licences de propriété intellectuelle (règlement n° 36 </w:t>
      </w:r>
      <w:r w:rsidR="00535418" w:rsidRPr="00F32187">
        <w:rPr>
          <w:lang w:val="fr-FR"/>
        </w:rPr>
        <w:t>de 2018</w:t>
      </w:r>
      <w:r w:rsidRPr="00F32187">
        <w:rPr>
          <w:lang w:val="fr-FR"/>
        </w:rPr>
        <w:t xml:space="preserve"> sur l</w:t>
      </w:r>
      <w:r w:rsidR="00535418" w:rsidRPr="00F32187">
        <w:rPr>
          <w:lang w:val="fr-FR"/>
        </w:rPr>
        <w:t>’</w:t>
      </w:r>
      <w:r w:rsidRPr="00F32187">
        <w:rPr>
          <w:lang w:val="fr-FR"/>
        </w:rPr>
        <w:t>enregistrement des accords de licence de propriété intellectuelle), l</w:t>
      </w:r>
      <w:r w:rsidR="00535418" w:rsidRPr="00F32187">
        <w:rPr>
          <w:lang w:val="fr-FR"/>
        </w:rPr>
        <w:t>’</w:t>
      </w:r>
      <w:r w:rsidRPr="00F32187">
        <w:rPr>
          <w:lang w:val="fr-FR"/>
        </w:rPr>
        <w:t>examen des demandes de brevet, les procédures d</w:t>
      </w:r>
      <w:r w:rsidR="00535418" w:rsidRPr="00F32187">
        <w:rPr>
          <w:lang w:val="fr-FR"/>
        </w:rPr>
        <w:t>’</w:t>
      </w:r>
      <w:r w:rsidRPr="00F32187">
        <w:rPr>
          <w:lang w:val="fr-FR"/>
        </w:rPr>
        <w:t>opposition de marque et les atteintes en ligne aux droits de propriété intellectuel</w:t>
      </w:r>
      <w:r w:rsidR="00F32187" w:rsidRPr="00F32187">
        <w:rPr>
          <w:lang w:val="fr-FR"/>
        </w:rPr>
        <w:t>le.  Le</w:t>
      </w:r>
      <w:r w:rsidRPr="00F32187">
        <w:rPr>
          <w:lang w:val="fr-FR"/>
        </w:rPr>
        <w:t xml:space="preserve"> pays a également participé à diverses initiatives régionales et bilatérales de coopération en matière de propriété intellectuelle, parmi lesquelles la Communauté économique de l</w:t>
      </w:r>
      <w:r w:rsidR="00535418" w:rsidRPr="00F32187">
        <w:rPr>
          <w:lang w:val="fr-FR"/>
        </w:rPr>
        <w:t>’</w:t>
      </w:r>
      <w:r w:rsidRPr="00F32187">
        <w:rPr>
          <w:lang w:val="fr-FR"/>
        </w:rPr>
        <w:t>Association des Nations de l</w:t>
      </w:r>
      <w:r w:rsidR="00535418" w:rsidRPr="00F32187">
        <w:rPr>
          <w:lang w:val="fr-FR"/>
        </w:rPr>
        <w:t>’</w:t>
      </w:r>
      <w:r w:rsidRPr="00F32187">
        <w:rPr>
          <w:lang w:val="fr-FR"/>
        </w:rPr>
        <w:t>Asie du Sud</w:t>
      </w:r>
      <w:r w:rsidR="00444006">
        <w:rPr>
          <w:lang w:val="fr-FR"/>
        </w:rPr>
        <w:noBreakHyphen/>
      </w:r>
      <w:r w:rsidRPr="00F32187">
        <w:rPr>
          <w:lang w:val="fr-FR"/>
        </w:rPr>
        <w:t>Est (ASEAN), le Partenariat économique global régional et l</w:t>
      </w:r>
      <w:r w:rsidR="00535418" w:rsidRPr="00F32187">
        <w:rPr>
          <w:lang w:val="fr-FR"/>
        </w:rPr>
        <w:t>’</w:t>
      </w:r>
      <w:r w:rsidRPr="00F32187">
        <w:rPr>
          <w:lang w:val="fr-FR"/>
        </w:rPr>
        <w:t>accord de partenariat économique global avec l</w:t>
      </w:r>
      <w:r w:rsidR="00535418" w:rsidRPr="00F32187">
        <w:rPr>
          <w:lang w:val="fr-FR"/>
        </w:rPr>
        <w:t>’</w:t>
      </w:r>
      <w:r w:rsidRPr="00F32187">
        <w:rPr>
          <w:lang w:val="fr-FR"/>
        </w:rPr>
        <w:t>Austral</w:t>
      </w:r>
      <w:r w:rsidR="00F32187" w:rsidRPr="00F32187">
        <w:rPr>
          <w:lang w:val="fr-FR"/>
        </w:rPr>
        <w:t>ie.  Ce</w:t>
      </w:r>
      <w:r w:rsidRPr="00F32187">
        <w:rPr>
          <w:lang w:val="fr-FR"/>
        </w:rPr>
        <w:t>s initiatives visent à améliorer la coopération et l</w:t>
      </w:r>
      <w:r w:rsidR="00535418" w:rsidRPr="00F32187">
        <w:rPr>
          <w:lang w:val="fr-FR"/>
        </w:rPr>
        <w:t>’</w:t>
      </w:r>
      <w:r w:rsidRPr="00F32187">
        <w:rPr>
          <w:lang w:val="fr-FR"/>
        </w:rPr>
        <w:t>harmonisation entre les pays participants en matière de propriété intellectuelle et à faciliter le commerce et les investissements.</w:t>
      </w:r>
    </w:p>
    <w:p w14:paraId="2263782A" w14:textId="2AD6514B" w:rsidR="00E045F1" w:rsidRPr="00F32187" w:rsidRDefault="00E045F1" w:rsidP="00E045F1">
      <w:pPr>
        <w:pStyle w:val="ONUMFS"/>
        <w:spacing w:after="0"/>
        <w:rPr>
          <w:lang w:val="fr-FR"/>
        </w:rPr>
      </w:pPr>
      <w:r w:rsidRPr="00F32187">
        <w:rPr>
          <w:lang w:val="fr-FR"/>
        </w:rPr>
        <w:lastRenderedPageBreak/>
        <w:t>Cela dit, l</w:t>
      </w:r>
      <w:r w:rsidR="00535418" w:rsidRPr="00F32187">
        <w:rPr>
          <w:lang w:val="fr-FR"/>
        </w:rPr>
        <w:t>’</w:t>
      </w:r>
      <w:r w:rsidRPr="00F32187">
        <w:rPr>
          <w:lang w:val="fr-FR"/>
        </w:rPr>
        <w:t>Indonésie reste confrontée à des difficultés s</w:t>
      </w:r>
      <w:r w:rsidR="00535418" w:rsidRPr="00F32187">
        <w:rPr>
          <w:lang w:val="fr-FR"/>
        </w:rPr>
        <w:t>’</w:t>
      </w:r>
      <w:r w:rsidRPr="00F32187">
        <w:rPr>
          <w:lang w:val="fr-FR"/>
        </w:rPr>
        <w:t>agissant de garantir une protection et une utilisation adéquates de la propriété intellectuelle, telles que la faible sensibilisation du public aux droits de propriété intellectuelle, les ressources humaines et financières insuffisantes consacrées à l</w:t>
      </w:r>
      <w:r w:rsidR="00535418" w:rsidRPr="00F32187">
        <w:rPr>
          <w:lang w:val="fr-FR"/>
        </w:rPr>
        <w:t>’</w:t>
      </w:r>
      <w:r w:rsidRPr="00F32187">
        <w:rPr>
          <w:lang w:val="fr-FR"/>
        </w:rPr>
        <w:t>administration et à l</w:t>
      </w:r>
      <w:r w:rsidR="00535418" w:rsidRPr="00F32187">
        <w:rPr>
          <w:lang w:val="fr-FR"/>
        </w:rPr>
        <w:t>’</w:t>
      </w:r>
      <w:r w:rsidRPr="00F32187">
        <w:rPr>
          <w:lang w:val="fr-FR"/>
        </w:rPr>
        <w:t>application des droits de propriété intellectuelle, les coûts élevés et les retards liés à l</w:t>
      </w:r>
      <w:r w:rsidR="00535418" w:rsidRPr="00F32187">
        <w:rPr>
          <w:lang w:val="fr-FR"/>
        </w:rPr>
        <w:t>’</w:t>
      </w:r>
      <w:r w:rsidRPr="00F32187">
        <w:rPr>
          <w:lang w:val="fr-FR"/>
        </w:rPr>
        <w:t>enregistrement de la propriété intellectuelle et aux litiges ou encore les problèmes persistants de piratage et de contrefaçon (Commission européenne, 2021).  Pour résoudre ces problèmes, l</w:t>
      </w:r>
      <w:r w:rsidR="00535418" w:rsidRPr="00F32187">
        <w:rPr>
          <w:lang w:val="fr-FR"/>
        </w:rPr>
        <w:t>’</w:t>
      </w:r>
      <w:r w:rsidRPr="00F32187">
        <w:rPr>
          <w:lang w:val="fr-FR"/>
        </w:rPr>
        <w:t>Indonésie doit renforcer son infrastructure, ses capacités et sa coordination en matière de propriété intellectuelle et promouvoir une culture d</w:t>
      </w:r>
      <w:r w:rsidR="00535418" w:rsidRPr="00F32187">
        <w:rPr>
          <w:lang w:val="fr-FR"/>
        </w:rPr>
        <w:t>’</w:t>
      </w:r>
      <w:r w:rsidRPr="00F32187">
        <w:rPr>
          <w:lang w:val="fr-FR"/>
        </w:rPr>
        <w:t>innovation et de créativité au sein de sa population.</w:t>
      </w:r>
    </w:p>
    <w:p w14:paraId="5D05B215" w14:textId="77777777" w:rsidR="00E045F1" w:rsidRPr="00F32187" w:rsidRDefault="00E045F1" w:rsidP="00AD2343">
      <w:pPr>
        <w:pStyle w:val="Heading2"/>
        <w:ind w:left="1134" w:hanging="567"/>
      </w:pPr>
      <w:bookmarkStart w:id="76" w:name="_Toc140224985"/>
      <w:bookmarkStart w:id="77" w:name="_Toc145933452"/>
      <w:bookmarkStart w:id="78" w:name="_Toc146025112"/>
      <w:r w:rsidRPr="00F32187">
        <w:t>Enseignements à tirer des études de cas</w:t>
      </w:r>
      <w:bookmarkEnd w:id="76"/>
      <w:bookmarkEnd w:id="77"/>
      <w:bookmarkEnd w:id="78"/>
    </w:p>
    <w:p w14:paraId="3E8DACC4" w14:textId="48F35147" w:rsidR="00E045F1" w:rsidRPr="00F32187" w:rsidRDefault="00E045F1" w:rsidP="00E045F1">
      <w:pPr>
        <w:pStyle w:val="ONUMFS"/>
        <w:rPr>
          <w:lang w:val="fr-FR"/>
        </w:rPr>
      </w:pPr>
      <w:r w:rsidRPr="00F32187">
        <w:rPr>
          <w:lang w:val="fr-FR"/>
        </w:rPr>
        <w:t>Au Brésil et en Indonésie, le projet a contribué à la création d</w:t>
      </w:r>
      <w:r w:rsidR="00535418" w:rsidRPr="00F32187">
        <w:rPr>
          <w:lang w:val="fr-FR"/>
        </w:rPr>
        <w:t>’</w:t>
      </w:r>
      <w:r w:rsidRPr="00F32187">
        <w:rPr>
          <w:lang w:val="fr-FR"/>
        </w:rPr>
        <w:t>un groupe pluridisciplinaire d</w:t>
      </w:r>
      <w:r w:rsidR="00535418" w:rsidRPr="00F32187">
        <w:rPr>
          <w:lang w:val="fr-FR"/>
        </w:rPr>
        <w:t>’</w:t>
      </w:r>
      <w:r w:rsidRPr="00F32187">
        <w:rPr>
          <w:lang w:val="fr-FR"/>
        </w:rPr>
        <w:t>experts de la propriété intellectuelle qui ont amélioré la qualité des données de propriété intellectuelle et fourni des données fondées sur des bases factuelles aux responsables de l</w:t>
      </w:r>
      <w:r w:rsidR="00535418" w:rsidRPr="00F32187">
        <w:rPr>
          <w:lang w:val="fr-FR"/>
        </w:rPr>
        <w:t>’</w:t>
      </w:r>
      <w:r w:rsidRPr="00F32187">
        <w:rPr>
          <w:lang w:val="fr-FR"/>
        </w:rPr>
        <w:t>élaboration des politiqu</w:t>
      </w:r>
      <w:r w:rsidR="00F32187" w:rsidRPr="00F32187">
        <w:rPr>
          <w:lang w:val="fr-FR"/>
        </w:rPr>
        <w:t>es.  Da</w:t>
      </w:r>
      <w:r w:rsidRPr="00F32187">
        <w:rPr>
          <w:lang w:val="fr-FR"/>
        </w:rPr>
        <w:t>ns les deux</w:t>
      </w:r>
      <w:r w:rsidR="00B37BEF" w:rsidRPr="00F32187">
        <w:rPr>
          <w:lang w:val="fr-FR"/>
        </w:rPr>
        <w:t> </w:t>
      </w:r>
      <w:r w:rsidRPr="00F32187">
        <w:rPr>
          <w:lang w:val="fr-FR"/>
        </w:rPr>
        <w:t>cas, la présence d</w:t>
      </w:r>
      <w:r w:rsidR="00535418" w:rsidRPr="00F32187">
        <w:rPr>
          <w:lang w:val="fr-FR"/>
        </w:rPr>
        <w:t>’</w:t>
      </w:r>
      <w:r w:rsidRPr="00F32187">
        <w:rPr>
          <w:lang w:val="fr-FR"/>
        </w:rPr>
        <w:t>experts en propriété intellectuelle s</w:t>
      </w:r>
      <w:r w:rsidR="00535418" w:rsidRPr="00F32187">
        <w:rPr>
          <w:lang w:val="fr-FR"/>
        </w:rPr>
        <w:t>’</w:t>
      </w:r>
      <w:r w:rsidRPr="00F32187">
        <w:rPr>
          <w:lang w:val="fr-FR"/>
        </w:rPr>
        <w:t>est avérée cruciale pour générer un impa</w:t>
      </w:r>
      <w:r w:rsidR="00F32187" w:rsidRPr="00F32187">
        <w:rPr>
          <w:lang w:val="fr-FR"/>
        </w:rPr>
        <w:t>ct.  Da</w:t>
      </w:r>
      <w:r w:rsidRPr="00F32187">
        <w:rPr>
          <w:lang w:val="fr-FR"/>
        </w:rPr>
        <w:t>ns les deux</w:t>
      </w:r>
      <w:r w:rsidR="00B37BEF" w:rsidRPr="00F32187">
        <w:rPr>
          <w:lang w:val="fr-FR"/>
        </w:rPr>
        <w:t> </w:t>
      </w:r>
      <w:r w:rsidRPr="00F32187">
        <w:rPr>
          <w:lang w:val="fr-FR"/>
        </w:rPr>
        <w:t>cas également, l</w:t>
      </w:r>
      <w:r w:rsidR="00535418" w:rsidRPr="00F32187">
        <w:rPr>
          <w:lang w:val="fr-FR"/>
        </w:rPr>
        <w:t>’</w:t>
      </w:r>
      <w:r w:rsidRPr="00F32187">
        <w:rPr>
          <w:lang w:val="fr-FR"/>
        </w:rPr>
        <w:t>impact primaire s</w:t>
      </w:r>
      <w:r w:rsidR="00535418" w:rsidRPr="00F32187">
        <w:rPr>
          <w:lang w:val="fr-FR"/>
        </w:rPr>
        <w:t>’</w:t>
      </w:r>
      <w:r w:rsidRPr="00F32187">
        <w:rPr>
          <w:lang w:val="fr-FR"/>
        </w:rPr>
        <w:t>est produit bien après la fin du cycle de mise en œuvre du projet, signe que le projet a eu une incidence pérenne.</w:t>
      </w:r>
    </w:p>
    <w:p w14:paraId="3B5A4F8B" w14:textId="004DF5B7" w:rsidR="00535418" w:rsidRPr="00F32187" w:rsidRDefault="00E045F1" w:rsidP="00E045F1">
      <w:pPr>
        <w:pStyle w:val="ONUMFS"/>
        <w:rPr>
          <w:lang w:val="fr-FR"/>
        </w:rPr>
      </w:pPr>
      <w:r w:rsidRPr="00F32187">
        <w:rPr>
          <w:lang w:val="fr-FR"/>
        </w:rPr>
        <w:t>En Indonésie, l</w:t>
      </w:r>
      <w:r w:rsidR="00535418" w:rsidRPr="00F32187">
        <w:rPr>
          <w:lang w:val="fr-FR"/>
        </w:rPr>
        <w:t>’</w:t>
      </w:r>
      <w:r w:rsidRPr="00F32187">
        <w:rPr>
          <w:lang w:val="fr-FR"/>
        </w:rPr>
        <w:t>étude de l</w:t>
      </w:r>
      <w:r w:rsidR="00535418" w:rsidRPr="00F32187">
        <w:rPr>
          <w:lang w:val="fr-FR"/>
        </w:rPr>
        <w:t>’</w:t>
      </w:r>
      <w:r w:rsidRPr="00F32187">
        <w:rPr>
          <w:lang w:val="fr-FR"/>
        </w:rPr>
        <w:t>OMPI sur les dessins et modèles industriels (également menée aux Philippines et en Thaïlande)</w:t>
      </w:r>
      <w:r w:rsidRPr="00F32187">
        <w:rPr>
          <w:rStyle w:val="FootnoteReference"/>
          <w:lang w:val="fr-FR"/>
        </w:rPr>
        <w:footnoteReference w:id="15"/>
      </w:r>
      <w:r w:rsidRPr="00F32187">
        <w:rPr>
          <w:lang w:val="fr-FR"/>
        </w:rPr>
        <w:t xml:space="preserve"> a montré que les droits de dessin ou modèle industriel aident les innovateurs à recouvrer leur investissement dans le processus de conception et ont contribué à stimuler une forme d</w:t>
      </w:r>
      <w:r w:rsidR="00535418" w:rsidRPr="00F32187">
        <w:rPr>
          <w:lang w:val="fr-FR"/>
        </w:rPr>
        <w:t>’</w:t>
      </w:r>
      <w:r w:rsidRPr="00F32187">
        <w:rPr>
          <w:lang w:val="fr-FR"/>
        </w:rPr>
        <w:t>innovation dans les entreprises de pays à revenu intermédiai</w:t>
      </w:r>
      <w:r w:rsidR="00F32187" w:rsidRPr="00F32187">
        <w:rPr>
          <w:lang w:val="fr-FR"/>
        </w:rPr>
        <w:t>re.  Il</w:t>
      </w:r>
      <w:r w:rsidRPr="00F32187">
        <w:rPr>
          <w:lang w:val="fr-FR"/>
        </w:rPr>
        <w:t xml:space="preserve"> est également ressorti de l</w:t>
      </w:r>
      <w:r w:rsidR="00535418" w:rsidRPr="00F32187">
        <w:rPr>
          <w:lang w:val="fr-FR"/>
        </w:rPr>
        <w:t>’</w:t>
      </w:r>
      <w:r w:rsidRPr="00F32187">
        <w:rPr>
          <w:lang w:val="fr-FR"/>
        </w:rPr>
        <w:t>étude que l</w:t>
      </w:r>
      <w:r w:rsidR="00535418" w:rsidRPr="00F32187">
        <w:rPr>
          <w:lang w:val="fr-FR"/>
        </w:rPr>
        <w:t>’</w:t>
      </w:r>
      <w:r w:rsidRPr="00F32187">
        <w:rPr>
          <w:lang w:val="fr-FR"/>
        </w:rPr>
        <w:t>innovation en matière de dessins et modèles est essentielle pour accroître les exportatio</w:t>
      </w:r>
      <w:r w:rsidR="00F32187" w:rsidRPr="00F32187">
        <w:rPr>
          <w:lang w:val="fr-FR"/>
        </w:rPr>
        <w:t>ns.  L’é</w:t>
      </w:r>
      <w:r w:rsidRPr="00F32187">
        <w:rPr>
          <w:lang w:val="fr-FR"/>
        </w:rPr>
        <w:t>tude a fait appel à une méthode d</w:t>
      </w:r>
      <w:r w:rsidR="00535418" w:rsidRPr="00F32187">
        <w:rPr>
          <w:lang w:val="fr-FR"/>
        </w:rPr>
        <w:t>’</w:t>
      </w:r>
      <w:r w:rsidRPr="00F32187">
        <w:rPr>
          <w:lang w:val="fr-FR"/>
        </w:rPr>
        <w:t>enquête rigoureuse qui a amélioré la qualité de la base de données de suivi des demandeurs de dessins et modèles industrie</w:t>
      </w:r>
      <w:r w:rsidR="00F32187" w:rsidRPr="00F32187">
        <w:rPr>
          <w:lang w:val="fr-FR"/>
        </w:rPr>
        <w:t>ls.  Se</w:t>
      </w:r>
      <w:r w:rsidRPr="00F32187">
        <w:rPr>
          <w:lang w:val="fr-FR"/>
        </w:rPr>
        <w:t>lon les dires d</w:t>
      </w:r>
      <w:r w:rsidR="00535418" w:rsidRPr="00F32187">
        <w:rPr>
          <w:lang w:val="fr-FR"/>
        </w:rPr>
        <w:t>’</w:t>
      </w:r>
      <w:r w:rsidRPr="00F32187">
        <w:rPr>
          <w:lang w:val="fr-FR"/>
        </w:rPr>
        <w:t>un informateur clé</w:t>
      </w:r>
      <w:r w:rsidR="00535418" w:rsidRPr="00F32187">
        <w:rPr>
          <w:lang w:val="fr-FR"/>
        </w:rPr>
        <w:t> :</w:t>
      </w:r>
      <w:r w:rsidRPr="00F32187">
        <w:rPr>
          <w:lang w:val="fr-FR"/>
        </w:rPr>
        <w:t xml:space="preserve"> “Avant l</w:t>
      </w:r>
      <w:r w:rsidR="00535418" w:rsidRPr="00F32187">
        <w:rPr>
          <w:lang w:val="fr-FR"/>
        </w:rPr>
        <w:t>’</w:t>
      </w:r>
      <w:r w:rsidRPr="00F32187">
        <w:rPr>
          <w:lang w:val="fr-FR"/>
        </w:rPr>
        <w:t>enquête, il manquait certains renseignements fondamentaux sur les demandeurs dans notre base de données, notamment leurs numéros de téléphone et leur adresse correcte”</w:t>
      </w:r>
      <w:r w:rsidRPr="00F32187">
        <w:rPr>
          <w:rStyle w:val="FootnoteReference"/>
          <w:lang w:val="fr-FR"/>
        </w:rPr>
        <w:footnoteReference w:id="16"/>
      </w:r>
      <w:r w:rsidRPr="00F32187">
        <w:rPr>
          <w:lang w:val="fr-FR"/>
        </w:rPr>
        <w:t>.  La base de données améliorée, les conclusions fondées sur des bases factuelles et les capacités améliorées ont renforcé la Direction générale de la propriété intellectuelle de l</w:t>
      </w:r>
      <w:r w:rsidR="00535418" w:rsidRPr="00F32187">
        <w:rPr>
          <w:lang w:val="fr-FR"/>
        </w:rPr>
        <w:t>’</w:t>
      </w:r>
      <w:r w:rsidRPr="00F32187">
        <w:rPr>
          <w:lang w:val="fr-FR"/>
        </w:rPr>
        <w:t>Indonésie.</w:t>
      </w:r>
    </w:p>
    <w:p w14:paraId="45CE6748" w14:textId="640C0A8F" w:rsidR="00E045F1" w:rsidRPr="00F32187" w:rsidRDefault="00E045F1" w:rsidP="00E045F1">
      <w:pPr>
        <w:pStyle w:val="ONUMFS"/>
        <w:rPr>
          <w:lang w:val="fr-FR"/>
        </w:rPr>
      </w:pPr>
      <w:r w:rsidRPr="00F32187">
        <w:rPr>
          <w:lang w:val="fr-FR"/>
        </w:rPr>
        <w:t>L</w:t>
      </w:r>
      <w:r w:rsidR="00535418" w:rsidRPr="00F32187">
        <w:rPr>
          <w:lang w:val="fr-FR"/>
        </w:rPr>
        <w:t>’</w:t>
      </w:r>
      <w:r w:rsidRPr="00F32187">
        <w:rPr>
          <w:lang w:val="fr-FR"/>
        </w:rPr>
        <w:t>Indonésie révise actuellement sa loi sur les dessins et modèles industrie</w:t>
      </w:r>
      <w:r w:rsidR="00F32187" w:rsidRPr="00F32187">
        <w:rPr>
          <w:lang w:val="fr-FR"/>
        </w:rPr>
        <w:t>ls.  La</w:t>
      </w:r>
      <w:r w:rsidRPr="00F32187">
        <w:rPr>
          <w:lang w:val="fr-FR"/>
        </w:rPr>
        <w:t xml:space="preserve"> Direction générale de la propriété intellectuelle renforcée a joué un rôle important dans le processus en proposant au Parlement les modifications à apporter à la loi n° 31 </w:t>
      </w:r>
      <w:r w:rsidR="00535418" w:rsidRPr="00F32187">
        <w:rPr>
          <w:lang w:val="fr-FR"/>
        </w:rPr>
        <w:t>de 2000</w:t>
      </w:r>
      <w:r w:rsidRPr="00F32187">
        <w:rPr>
          <w:lang w:val="fr-FR"/>
        </w:rPr>
        <w:t>, sur la base des résultats de l</w:t>
      </w:r>
      <w:r w:rsidR="00535418" w:rsidRPr="00F32187">
        <w:rPr>
          <w:lang w:val="fr-FR"/>
        </w:rPr>
        <w:t>’</w:t>
      </w:r>
      <w:r w:rsidRPr="00F32187">
        <w:rPr>
          <w:lang w:val="fr-FR"/>
        </w:rPr>
        <w:t>enquête et du processus d</w:t>
      </w:r>
      <w:r w:rsidR="00535418" w:rsidRPr="00F32187">
        <w:rPr>
          <w:lang w:val="fr-FR"/>
        </w:rPr>
        <w:t>’</w:t>
      </w:r>
      <w:r w:rsidRPr="00F32187">
        <w:rPr>
          <w:lang w:val="fr-FR"/>
        </w:rPr>
        <w:t>enregistrement des demandeu</w:t>
      </w:r>
      <w:r w:rsidR="00F32187" w:rsidRPr="00F32187">
        <w:rPr>
          <w:lang w:val="fr-FR"/>
        </w:rPr>
        <w:t>rs.  Le</w:t>
      </w:r>
      <w:r w:rsidRPr="00F32187">
        <w:rPr>
          <w:lang w:val="fr-FR"/>
        </w:rPr>
        <w:t>s amendements proposés visent à améliorer l</w:t>
      </w:r>
      <w:r w:rsidR="00535418" w:rsidRPr="00F32187">
        <w:rPr>
          <w:lang w:val="fr-FR"/>
        </w:rPr>
        <w:t>’</w:t>
      </w:r>
      <w:r w:rsidRPr="00F32187">
        <w:rPr>
          <w:lang w:val="fr-FR"/>
        </w:rPr>
        <w:t>enregistrement des demandeurs et à élargir les moyens de protéger les droits de dessin ou modèle industriel.</w:t>
      </w:r>
    </w:p>
    <w:p w14:paraId="1A5D13DE" w14:textId="448FFC2B" w:rsidR="00E045F1" w:rsidRPr="00F32187" w:rsidRDefault="00E045F1" w:rsidP="00E045F1">
      <w:pPr>
        <w:pStyle w:val="ONUMFS"/>
        <w:rPr>
          <w:lang w:val="fr-FR"/>
        </w:rPr>
      </w:pPr>
      <w:r w:rsidRPr="00F32187">
        <w:rPr>
          <w:lang w:val="fr-FR"/>
        </w:rPr>
        <w:t>Au Brésil, les résultats des travaux de recherche menés dans le cadre du projet ont joué un rôle catalyseur en améliorant la qualité de la base de données de propriété intellectuelle pertinente et en renforçant le réseau plus large d</w:t>
      </w:r>
      <w:r w:rsidR="00535418" w:rsidRPr="00F32187">
        <w:rPr>
          <w:lang w:val="fr-FR"/>
        </w:rPr>
        <w:t>’</w:t>
      </w:r>
      <w:r w:rsidRPr="00F32187">
        <w:rPr>
          <w:lang w:val="fr-FR"/>
        </w:rPr>
        <w:t>institutions, d</w:t>
      </w:r>
      <w:r w:rsidR="00535418" w:rsidRPr="00F32187">
        <w:rPr>
          <w:lang w:val="fr-FR"/>
        </w:rPr>
        <w:t>’</w:t>
      </w:r>
      <w:r w:rsidRPr="00F32187">
        <w:rPr>
          <w:lang w:val="fr-FR"/>
        </w:rPr>
        <w:t>universitaires et de responsables de l</w:t>
      </w:r>
      <w:r w:rsidR="00535418" w:rsidRPr="00F32187">
        <w:rPr>
          <w:lang w:val="fr-FR"/>
        </w:rPr>
        <w:t>’</w:t>
      </w:r>
      <w:r w:rsidRPr="00F32187">
        <w:rPr>
          <w:lang w:val="fr-FR"/>
        </w:rPr>
        <w:t>élaboration des politiques s</w:t>
      </w:r>
      <w:r w:rsidR="00535418" w:rsidRPr="00F32187">
        <w:rPr>
          <w:lang w:val="fr-FR"/>
        </w:rPr>
        <w:t>’</w:t>
      </w:r>
      <w:r w:rsidRPr="00F32187">
        <w:rPr>
          <w:lang w:val="fr-FR"/>
        </w:rPr>
        <w:t>intéressant à la réglementation et à l</w:t>
      </w:r>
      <w:r w:rsidR="00535418" w:rsidRPr="00F32187">
        <w:rPr>
          <w:lang w:val="fr-FR"/>
        </w:rPr>
        <w:t>’</w:t>
      </w:r>
      <w:r w:rsidRPr="00F32187">
        <w:rPr>
          <w:lang w:val="fr-FR"/>
        </w:rPr>
        <w:t>utilisation de la propriété intellectuel</w:t>
      </w:r>
      <w:r w:rsidR="00F32187" w:rsidRPr="00F32187">
        <w:rPr>
          <w:lang w:val="fr-FR"/>
        </w:rPr>
        <w:t>le.  D’a</w:t>
      </w:r>
      <w:r w:rsidRPr="00F32187">
        <w:rPr>
          <w:lang w:val="fr-FR"/>
        </w:rPr>
        <w:t>près un informateur clé, “au terme de ce partenariat entre l</w:t>
      </w:r>
      <w:r w:rsidR="00535418" w:rsidRPr="00F32187">
        <w:rPr>
          <w:lang w:val="fr-FR"/>
        </w:rPr>
        <w:t>’</w:t>
      </w:r>
      <w:r w:rsidRPr="00F32187">
        <w:rPr>
          <w:lang w:val="fr-FR"/>
        </w:rPr>
        <w:t>OMPI et l</w:t>
      </w:r>
      <w:r w:rsidR="00535418" w:rsidRPr="00F32187">
        <w:rPr>
          <w:lang w:val="fr-FR"/>
        </w:rPr>
        <w:t>’</w:t>
      </w:r>
      <w:r w:rsidRPr="00F32187">
        <w:rPr>
          <w:lang w:val="fr-FR"/>
        </w:rPr>
        <w:t>Institut de recherche économique appliquée, auquel a également participé le Groupe interministériel sur la propriété intellectuelle, celle</w:t>
      </w:r>
      <w:r w:rsidR="00444006">
        <w:rPr>
          <w:lang w:val="fr-FR"/>
        </w:rPr>
        <w:noBreakHyphen/>
      </w:r>
      <w:r w:rsidRPr="00F32187">
        <w:rPr>
          <w:lang w:val="fr-FR"/>
        </w:rPr>
        <w:t>ci a gagné en importance comme sujet d</w:t>
      </w:r>
      <w:r w:rsidR="00535418" w:rsidRPr="00F32187">
        <w:rPr>
          <w:lang w:val="fr-FR"/>
        </w:rPr>
        <w:t>’</w:t>
      </w:r>
      <w:r w:rsidRPr="00F32187">
        <w:rPr>
          <w:lang w:val="fr-FR"/>
        </w:rPr>
        <w:t>étude et d</w:t>
      </w:r>
      <w:r w:rsidR="00535418" w:rsidRPr="00F32187">
        <w:rPr>
          <w:lang w:val="fr-FR"/>
        </w:rPr>
        <w:t>’</w:t>
      </w:r>
      <w:r w:rsidRPr="00F32187">
        <w:rPr>
          <w:lang w:val="fr-FR"/>
        </w:rPr>
        <w:t>analyse”</w:t>
      </w:r>
      <w:r w:rsidRPr="00F32187">
        <w:rPr>
          <w:vertAlign w:val="superscript"/>
          <w:lang w:val="fr-FR"/>
        </w:rPr>
        <w:footnoteReference w:id="17"/>
      </w:r>
      <w:r w:rsidRPr="00F32187">
        <w:rPr>
          <w:lang w:val="fr-FR"/>
        </w:rPr>
        <w:t>.  À ce titre, le projet a joué un rôle essentiel dans le développement des capacités de recherche pluridisciplinai</w:t>
      </w:r>
      <w:r w:rsidR="00F32187" w:rsidRPr="00F32187">
        <w:rPr>
          <w:lang w:val="fr-FR"/>
        </w:rPr>
        <w:t>re.  Un</w:t>
      </w:r>
      <w:r w:rsidRPr="00F32187">
        <w:rPr>
          <w:lang w:val="fr-FR"/>
        </w:rPr>
        <w:t xml:space="preserve"> informateur clé a expliqué que l</w:t>
      </w:r>
      <w:r w:rsidR="00535418" w:rsidRPr="00F32187">
        <w:rPr>
          <w:lang w:val="fr-FR"/>
        </w:rPr>
        <w:t>’</w:t>
      </w:r>
      <w:r w:rsidRPr="00F32187">
        <w:rPr>
          <w:lang w:val="fr-FR"/>
        </w:rPr>
        <w:t>incidence principale a été de faire prendre conscience de la pertinence de la propriété intellectuelle aux économist</w:t>
      </w:r>
      <w:r w:rsidR="00F32187" w:rsidRPr="00F32187">
        <w:rPr>
          <w:lang w:val="fr-FR"/>
        </w:rPr>
        <w:t>es.  Au</w:t>
      </w:r>
      <w:r w:rsidRPr="00F32187">
        <w:rPr>
          <w:lang w:val="fr-FR"/>
        </w:rPr>
        <w:t xml:space="preserve"> Brésil, il y a </w:t>
      </w:r>
      <w:r w:rsidR="00B37BEF" w:rsidRPr="00F32187">
        <w:rPr>
          <w:lang w:val="fr-FR"/>
        </w:rPr>
        <w:t>10 </w:t>
      </w:r>
      <w:r w:rsidRPr="00F32187">
        <w:rPr>
          <w:lang w:val="fr-FR"/>
        </w:rPr>
        <w:t>ans, c</w:t>
      </w:r>
      <w:r w:rsidR="00535418" w:rsidRPr="00F32187">
        <w:rPr>
          <w:lang w:val="fr-FR"/>
        </w:rPr>
        <w:t>’</w:t>
      </w:r>
      <w:r w:rsidRPr="00F32187">
        <w:rPr>
          <w:lang w:val="fr-FR"/>
        </w:rPr>
        <w:t xml:space="preserve">étaient principalement les juristes et les défenseurs de la recherche dans </w:t>
      </w:r>
      <w:r w:rsidRPr="00F32187">
        <w:rPr>
          <w:lang w:val="fr-FR"/>
        </w:rPr>
        <w:lastRenderedPageBreak/>
        <w:t>le secteur de la santé qui s</w:t>
      </w:r>
      <w:r w:rsidR="00535418" w:rsidRPr="00F32187">
        <w:rPr>
          <w:lang w:val="fr-FR"/>
        </w:rPr>
        <w:t>’</w:t>
      </w:r>
      <w:r w:rsidRPr="00F32187">
        <w:rPr>
          <w:lang w:val="fr-FR"/>
        </w:rPr>
        <w:t>intéressaient à ce suj</w:t>
      </w:r>
      <w:r w:rsidR="00F32187" w:rsidRPr="00F32187">
        <w:rPr>
          <w:lang w:val="fr-FR"/>
        </w:rPr>
        <w:t xml:space="preserve">et.  À </w:t>
      </w:r>
      <w:r w:rsidRPr="00F32187">
        <w:rPr>
          <w:lang w:val="fr-FR"/>
        </w:rPr>
        <w:t>l</w:t>
      </w:r>
      <w:r w:rsidR="00535418" w:rsidRPr="00F32187">
        <w:rPr>
          <w:lang w:val="fr-FR"/>
        </w:rPr>
        <w:t>’</w:t>
      </w:r>
      <w:r w:rsidRPr="00F32187">
        <w:rPr>
          <w:lang w:val="fr-FR"/>
        </w:rPr>
        <w:t>issue du projet, d</w:t>
      </w:r>
      <w:r w:rsidR="00535418" w:rsidRPr="00F32187">
        <w:rPr>
          <w:lang w:val="fr-FR"/>
        </w:rPr>
        <w:t>’</w:t>
      </w:r>
      <w:r w:rsidRPr="00F32187">
        <w:rPr>
          <w:lang w:val="fr-FR"/>
        </w:rPr>
        <w:t>autres études économiques sur la propriété intellectuelle ont été envisagées.</w:t>
      </w:r>
    </w:p>
    <w:p w14:paraId="7FCFF5E6" w14:textId="49972910" w:rsidR="00E045F1" w:rsidRPr="00F32187" w:rsidRDefault="00E045F1" w:rsidP="00E045F1">
      <w:pPr>
        <w:pStyle w:val="ONUMFS"/>
        <w:rPr>
          <w:lang w:val="fr-FR"/>
        </w:rPr>
      </w:pPr>
      <w:r w:rsidRPr="00F32187">
        <w:rPr>
          <w:lang w:val="fr-FR"/>
        </w:rPr>
        <w:t>En contribuant à élargir et approfondir les recherches en matière de propriété intellectuelle, le projet a renforcé les capacités des chercheurs des milieux universitaires, de l</w:t>
      </w:r>
      <w:r w:rsidR="00535418" w:rsidRPr="00F32187">
        <w:rPr>
          <w:lang w:val="fr-FR"/>
        </w:rPr>
        <w:t>’</w:t>
      </w:r>
      <w:r w:rsidRPr="00F32187">
        <w:rPr>
          <w:lang w:val="fr-FR"/>
        </w:rPr>
        <w:t>INPI et d</w:t>
      </w:r>
      <w:r w:rsidR="00535418" w:rsidRPr="00F32187">
        <w:rPr>
          <w:lang w:val="fr-FR"/>
        </w:rPr>
        <w:t>’</w:t>
      </w:r>
      <w:r w:rsidRPr="00F32187">
        <w:rPr>
          <w:lang w:val="fr-FR"/>
        </w:rPr>
        <w:t>ailleu</w:t>
      </w:r>
      <w:r w:rsidR="00F32187" w:rsidRPr="00F32187">
        <w:rPr>
          <w:lang w:val="fr-FR"/>
        </w:rPr>
        <w:t>rs.  D’a</w:t>
      </w:r>
      <w:r w:rsidRPr="00F32187">
        <w:rPr>
          <w:lang w:val="fr-FR"/>
        </w:rPr>
        <w:t>près les informateurs clés, les compétences générées dans le cadre du projet ont contribué à rendre possibles d</w:t>
      </w:r>
      <w:r w:rsidR="00535418" w:rsidRPr="00F32187">
        <w:rPr>
          <w:lang w:val="fr-FR"/>
        </w:rPr>
        <w:t>’</w:t>
      </w:r>
      <w:r w:rsidRPr="00F32187">
        <w:rPr>
          <w:lang w:val="fr-FR"/>
        </w:rPr>
        <w:t>autres études important</w:t>
      </w:r>
      <w:r w:rsidR="00F32187" w:rsidRPr="00F32187">
        <w:rPr>
          <w:lang w:val="fr-FR"/>
        </w:rPr>
        <w:t>es.  Ai</w:t>
      </w:r>
      <w:r w:rsidRPr="00F32187">
        <w:rPr>
          <w:lang w:val="fr-FR"/>
        </w:rPr>
        <w:t>nsi, un chercheur qui avait pris part au projet a par la suite participé à la direction du projet Global Innovation Hotspots de l</w:t>
      </w:r>
      <w:r w:rsidR="00535418" w:rsidRPr="00F32187">
        <w:rPr>
          <w:lang w:val="fr-FR"/>
        </w:rPr>
        <w:t>’</w:t>
      </w:r>
      <w:r w:rsidRPr="00F32187">
        <w:rPr>
          <w:lang w:val="fr-FR"/>
        </w:rPr>
        <w:t>OMPI</w:t>
      </w:r>
      <w:r w:rsidRPr="00F32187">
        <w:rPr>
          <w:rStyle w:val="FootnoteReference"/>
          <w:lang w:val="fr-FR"/>
        </w:rPr>
        <w:footnoteReference w:id="18"/>
      </w:r>
      <w:r w:rsidRPr="00F32187">
        <w:rPr>
          <w:lang w:val="fr-FR"/>
        </w:rPr>
        <w:t>.  Aujourd</w:t>
      </w:r>
      <w:r w:rsidR="00535418" w:rsidRPr="00F32187">
        <w:rPr>
          <w:lang w:val="fr-FR"/>
        </w:rPr>
        <w:t>’</w:t>
      </w:r>
      <w:r w:rsidRPr="00F32187">
        <w:rPr>
          <w:lang w:val="fr-FR"/>
        </w:rPr>
        <w:t>hui, les chercheurs ayant initialement participé au projet contribuent activement à l</w:t>
      </w:r>
      <w:r w:rsidR="00535418" w:rsidRPr="00F32187">
        <w:rPr>
          <w:lang w:val="fr-FR"/>
        </w:rPr>
        <w:t>’</w:t>
      </w:r>
      <w:r w:rsidRPr="00F32187">
        <w:rPr>
          <w:lang w:val="fr-FR"/>
        </w:rPr>
        <w:t xml:space="preserve">élaboration de la Stratégie nationale de propriété intellectuelle du </w:t>
      </w:r>
      <w:r w:rsidR="00B37BEF" w:rsidRPr="00F32187">
        <w:rPr>
          <w:lang w:val="fr-FR"/>
        </w:rPr>
        <w:t>Gouvernement</w:t>
      </w:r>
      <w:r w:rsidRPr="00F32187">
        <w:rPr>
          <w:lang w:val="fr-FR"/>
        </w:rPr>
        <w:t xml:space="preserve"> brésilien</w:t>
      </w:r>
      <w:r w:rsidRPr="00F32187">
        <w:rPr>
          <w:rStyle w:val="FootnoteReference"/>
          <w:lang w:val="fr-FR"/>
        </w:rPr>
        <w:footnoteReference w:id="19"/>
      </w:r>
      <w:r w:rsidRPr="00F32187">
        <w:rPr>
          <w:lang w:val="fr-FR"/>
        </w:rPr>
        <w:t>.</w:t>
      </w:r>
    </w:p>
    <w:p w14:paraId="681978FB" w14:textId="1AB6B64C" w:rsidR="00E045F1" w:rsidRPr="00F32187" w:rsidRDefault="00AD2343" w:rsidP="00AD2343">
      <w:pPr>
        <w:pStyle w:val="Heading1"/>
        <w:numPr>
          <w:ilvl w:val="0"/>
          <w:numId w:val="7"/>
        </w:numPr>
      </w:pPr>
      <w:bookmarkStart w:id="79" w:name="_Toc140224986"/>
      <w:bookmarkStart w:id="80" w:name="_Toc145933453"/>
      <w:bookmarkStart w:id="81" w:name="_Toc146025113"/>
      <w:r w:rsidRPr="00F32187">
        <w:t>Conclusions</w:t>
      </w:r>
      <w:bookmarkEnd w:id="79"/>
      <w:bookmarkEnd w:id="80"/>
      <w:bookmarkEnd w:id="81"/>
    </w:p>
    <w:p w14:paraId="0598A272" w14:textId="5F30B83A" w:rsidR="00535418" w:rsidRPr="00AD2343" w:rsidRDefault="00E045F1" w:rsidP="00E045F1">
      <w:pPr>
        <w:pStyle w:val="ONUMFS"/>
        <w:rPr>
          <w:lang w:val="fr-FR"/>
        </w:rPr>
      </w:pPr>
      <w:r w:rsidRPr="00F32187">
        <w:rPr>
          <w:b/>
          <w:bCs/>
          <w:lang w:val="fr-FR"/>
        </w:rPr>
        <w:t>Conclusion n° </w:t>
      </w:r>
      <w:r w:rsidRPr="00F32187">
        <w:rPr>
          <w:lang w:val="fr-FR"/>
        </w:rPr>
        <w:t>1</w:t>
      </w:r>
      <w:r w:rsidR="00535418" w:rsidRPr="00F32187">
        <w:rPr>
          <w:lang w:val="fr-FR"/>
        </w:rPr>
        <w:t> :</w:t>
      </w:r>
      <w:r w:rsidRPr="00F32187">
        <w:rPr>
          <w:b/>
          <w:bCs/>
          <w:lang w:val="fr-FR"/>
        </w:rPr>
        <w:t xml:space="preserve"> le projet a eu des incidences positives à long terme dans les pays bénéficiaires</w:t>
      </w:r>
    </w:p>
    <w:p w14:paraId="0D92949C" w14:textId="0607B284" w:rsidR="00E045F1" w:rsidRPr="00AD2343" w:rsidRDefault="00E045F1" w:rsidP="00E045F1">
      <w:pPr>
        <w:pStyle w:val="ONUMFS"/>
        <w:rPr>
          <w:lang w:val="fr-FR"/>
        </w:rPr>
      </w:pPr>
      <w:r w:rsidRPr="00F32187">
        <w:rPr>
          <w:lang w:val="fr-FR"/>
        </w:rPr>
        <w:t>Il ressort des données d</w:t>
      </w:r>
      <w:r w:rsidR="00535418" w:rsidRPr="00F32187">
        <w:rPr>
          <w:lang w:val="fr-FR"/>
        </w:rPr>
        <w:t>’</w:t>
      </w:r>
      <w:r w:rsidRPr="00F32187">
        <w:rPr>
          <w:lang w:val="fr-FR"/>
        </w:rPr>
        <w:t>évaluation que les résultats escomptés par l</w:t>
      </w:r>
      <w:r w:rsidR="00535418" w:rsidRPr="00F32187">
        <w:rPr>
          <w:lang w:val="fr-FR"/>
        </w:rPr>
        <w:t>’</w:t>
      </w:r>
      <w:r w:rsidRPr="00F32187">
        <w:rPr>
          <w:lang w:val="fr-FR"/>
        </w:rPr>
        <w:t>OMPI (</w:t>
      </w:r>
      <w:r w:rsidRPr="00F32187">
        <w:rPr>
          <w:lang w:val="fr-FR"/>
        </w:rPr>
        <w:fldChar w:fldCharType="begin"/>
      </w:r>
      <w:r w:rsidRPr="00F32187">
        <w:rPr>
          <w:lang w:val="fr-FR"/>
        </w:rPr>
        <w:instrText xml:space="preserve"> REF _Ref140137860 \h </w:instrText>
      </w:r>
      <w:r w:rsidRPr="00F32187">
        <w:rPr>
          <w:lang w:val="fr-FR"/>
        </w:rPr>
      </w:r>
      <w:r w:rsidRPr="00F32187">
        <w:rPr>
          <w:lang w:val="fr-FR"/>
        </w:rPr>
        <w:fldChar w:fldCharType="separate"/>
      </w:r>
      <w:r w:rsidR="0094636A" w:rsidRPr="00F32187">
        <w:rPr>
          <w:rStyle w:val="Strong"/>
          <w:lang w:val="fr-FR"/>
        </w:rPr>
        <w:t xml:space="preserve">Encadré </w:t>
      </w:r>
      <w:r w:rsidR="0094636A">
        <w:rPr>
          <w:rStyle w:val="Strong"/>
          <w:noProof/>
          <w:lang w:val="fr-FR"/>
        </w:rPr>
        <w:t>1</w:t>
      </w:r>
      <w:r w:rsidRPr="00F32187">
        <w:rPr>
          <w:lang w:val="fr-FR"/>
        </w:rPr>
        <w:fldChar w:fldCharType="end"/>
      </w:r>
      <w:r w:rsidRPr="00F32187">
        <w:rPr>
          <w:lang w:val="fr-FR"/>
        </w:rPr>
        <w:t>) ont été obtenus dans certains pa</w:t>
      </w:r>
      <w:r w:rsidR="00F32187" w:rsidRPr="00F32187">
        <w:rPr>
          <w:lang w:val="fr-FR"/>
        </w:rPr>
        <w:t>ys.  En</w:t>
      </w:r>
      <w:r w:rsidRPr="00F32187">
        <w:rPr>
          <w:lang w:val="fr-FR"/>
        </w:rPr>
        <w:t xml:space="preserve"> raison des limites de l</w:t>
      </w:r>
      <w:r w:rsidR="00535418" w:rsidRPr="00F32187">
        <w:rPr>
          <w:lang w:val="fr-FR"/>
        </w:rPr>
        <w:t>’</w:t>
      </w:r>
      <w:r w:rsidRPr="00F32187">
        <w:rPr>
          <w:lang w:val="fr-FR"/>
        </w:rPr>
        <w:t>évaluation, il n</w:t>
      </w:r>
      <w:r w:rsidR="00535418" w:rsidRPr="00F32187">
        <w:rPr>
          <w:lang w:val="fr-FR"/>
        </w:rPr>
        <w:t>’</w:t>
      </w:r>
      <w:r w:rsidRPr="00F32187">
        <w:rPr>
          <w:lang w:val="fr-FR"/>
        </w:rPr>
        <w:t>a pas été possible de confirmer les incidences pour l</w:t>
      </w:r>
      <w:r w:rsidR="00535418" w:rsidRPr="00F32187">
        <w:rPr>
          <w:lang w:val="fr-FR"/>
        </w:rPr>
        <w:t>’</w:t>
      </w:r>
      <w:r w:rsidRPr="00F32187">
        <w:rPr>
          <w:lang w:val="fr-FR"/>
        </w:rPr>
        <w:t xml:space="preserve">ensemble des </w:t>
      </w:r>
      <w:proofErr w:type="gramStart"/>
      <w:r w:rsidRPr="00F32187">
        <w:rPr>
          <w:lang w:val="fr-FR"/>
        </w:rPr>
        <w:t>pays;  cependant</w:t>
      </w:r>
      <w:proofErr w:type="gramEnd"/>
      <w:r w:rsidRPr="00F32187">
        <w:rPr>
          <w:lang w:val="fr-FR"/>
        </w:rPr>
        <w:t>, les entretiens avec les informateurs clés, les groupes de réflexion, les données d</w:t>
      </w:r>
      <w:r w:rsidR="00535418" w:rsidRPr="00F32187">
        <w:rPr>
          <w:lang w:val="fr-FR"/>
        </w:rPr>
        <w:t>’</w:t>
      </w:r>
      <w:r w:rsidRPr="00F32187">
        <w:rPr>
          <w:lang w:val="fr-FR"/>
        </w:rPr>
        <w:t>enquête et l</w:t>
      </w:r>
      <w:r w:rsidR="00535418" w:rsidRPr="00F32187">
        <w:rPr>
          <w:lang w:val="fr-FR"/>
        </w:rPr>
        <w:t>’</w:t>
      </w:r>
      <w:r w:rsidRPr="00F32187">
        <w:rPr>
          <w:lang w:val="fr-FR"/>
        </w:rPr>
        <w:t>examen des documents donnent un aperçu convaincant de l</w:t>
      </w:r>
      <w:r w:rsidR="00535418" w:rsidRPr="00F32187">
        <w:rPr>
          <w:lang w:val="fr-FR"/>
        </w:rPr>
        <w:t>’</w:t>
      </w:r>
      <w:r w:rsidRPr="00F32187">
        <w:rPr>
          <w:lang w:val="fr-FR"/>
        </w:rPr>
        <w:t>impact significatif du proj</w:t>
      </w:r>
      <w:r w:rsidR="00F32187" w:rsidRPr="00F32187">
        <w:rPr>
          <w:lang w:val="fr-FR"/>
        </w:rPr>
        <w:t>et.  Le</w:t>
      </w:r>
      <w:r w:rsidRPr="00F32187">
        <w:rPr>
          <w:lang w:val="fr-FR"/>
        </w:rPr>
        <w:t>s contributions aux incidences du projet sont indiquées tout au long du rapport d</w:t>
      </w:r>
      <w:r w:rsidR="00535418" w:rsidRPr="00F32187">
        <w:rPr>
          <w:lang w:val="fr-FR"/>
        </w:rPr>
        <w:t>’</w:t>
      </w:r>
      <w:r w:rsidRPr="00F32187">
        <w:rPr>
          <w:lang w:val="fr-FR"/>
        </w:rPr>
        <w:t>évaluati</w:t>
      </w:r>
      <w:r w:rsidR="00F32187" w:rsidRPr="00F32187">
        <w:rPr>
          <w:lang w:val="fr-FR"/>
        </w:rPr>
        <w:t>on.  Le</w:t>
      </w:r>
      <w:r w:rsidRPr="00F32187">
        <w:rPr>
          <w:lang w:val="fr-FR"/>
        </w:rPr>
        <w:t>s incidences primaires du projet sont notamment les suivantes</w:t>
      </w:r>
      <w:r w:rsidR="00535418" w:rsidRPr="00F32187">
        <w:rPr>
          <w:lang w:val="fr-FR"/>
        </w:rPr>
        <w:t> :</w:t>
      </w:r>
    </w:p>
    <w:p w14:paraId="4B5BEBC7" w14:textId="2DC9AC24" w:rsidR="00E045F1" w:rsidRPr="00F32187" w:rsidRDefault="00E045F1" w:rsidP="00AD2343">
      <w:pPr>
        <w:pStyle w:val="ONUMFS"/>
        <w:numPr>
          <w:ilvl w:val="0"/>
          <w:numId w:val="20"/>
        </w:numPr>
        <w:tabs>
          <w:tab w:val="left" w:pos="1134"/>
        </w:tabs>
        <w:ind w:left="1134" w:hanging="567"/>
        <w:rPr>
          <w:lang w:val="fr-FR"/>
        </w:rPr>
      </w:pPr>
      <w:proofErr w:type="gramStart"/>
      <w:r w:rsidRPr="00F32187">
        <w:rPr>
          <w:lang w:val="fr-FR"/>
        </w:rPr>
        <w:t>la</w:t>
      </w:r>
      <w:proofErr w:type="gramEnd"/>
      <w:r w:rsidRPr="00F32187">
        <w:rPr>
          <w:lang w:val="fr-FR"/>
        </w:rPr>
        <w:t xml:space="preserve"> promotion des recommandations </w:t>
      </w:r>
      <w:r w:rsidR="00B37BEF" w:rsidRPr="00F32187">
        <w:rPr>
          <w:lang w:val="fr-FR"/>
        </w:rPr>
        <w:t>n</w:t>
      </w:r>
      <w:r w:rsidR="00B37BEF" w:rsidRPr="00F32187">
        <w:rPr>
          <w:vertAlign w:val="superscript"/>
          <w:lang w:val="fr-FR"/>
        </w:rPr>
        <w:t>os</w:t>
      </w:r>
      <w:r w:rsidRPr="00F32187">
        <w:rPr>
          <w:lang w:val="fr-FR"/>
        </w:rPr>
        <w:t> 35 et</w:t>
      </w:r>
      <w:r w:rsidR="00F32187" w:rsidRPr="00F32187">
        <w:rPr>
          <w:lang w:val="fr-FR"/>
        </w:rPr>
        <w:t> </w:t>
      </w:r>
      <w:r w:rsidRPr="00F32187">
        <w:rPr>
          <w:lang w:val="fr-FR"/>
        </w:rPr>
        <w:t>37 du Plan d</w:t>
      </w:r>
      <w:r w:rsidR="00535418" w:rsidRPr="00F32187">
        <w:rPr>
          <w:lang w:val="fr-FR"/>
        </w:rPr>
        <w:t>’</w:t>
      </w:r>
      <w:r w:rsidRPr="00F32187">
        <w:rPr>
          <w:lang w:val="fr-FR"/>
        </w:rPr>
        <w:t>action pour le développement s</w:t>
      </w:r>
      <w:r w:rsidR="00535418" w:rsidRPr="00F32187">
        <w:rPr>
          <w:lang w:val="fr-FR"/>
        </w:rPr>
        <w:t>’</w:t>
      </w:r>
      <w:r w:rsidRPr="00F32187">
        <w:rPr>
          <w:lang w:val="fr-FR"/>
        </w:rPr>
        <w:t>est intensifiée dans les pays bénéficiaires;</w:t>
      </w:r>
    </w:p>
    <w:p w14:paraId="20711998" w14:textId="442C42C8" w:rsidR="00E045F1" w:rsidRPr="00F32187" w:rsidRDefault="00E045F1" w:rsidP="00AD2343">
      <w:pPr>
        <w:pStyle w:val="ONUMFS"/>
        <w:numPr>
          <w:ilvl w:val="0"/>
          <w:numId w:val="20"/>
        </w:numPr>
        <w:tabs>
          <w:tab w:val="left" w:pos="1134"/>
        </w:tabs>
        <w:ind w:left="1134" w:hanging="567"/>
        <w:rPr>
          <w:lang w:val="fr-FR"/>
        </w:rPr>
      </w:pPr>
      <w:proofErr w:type="gramStart"/>
      <w:r w:rsidRPr="00F32187">
        <w:rPr>
          <w:lang w:val="fr-FR"/>
        </w:rPr>
        <w:t>les</w:t>
      </w:r>
      <w:proofErr w:type="gramEnd"/>
      <w:r w:rsidRPr="00F32187">
        <w:rPr>
          <w:lang w:val="fr-FR"/>
        </w:rPr>
        <w:t xml:space="preserve"> activités de renforcement des capacités des personnes se sont maintenues et élargies, contribuant ainsi à l</w:t>
      </w:r>
      <w:r w:rsidR="00535418" w:rsidRPr="00F32187">
        <w:rPr>
          <w:lang w:val="fr-FR"/>
        </w:rPr>
        <w:t>’</w:t>
      </w:r>
      <w:r w:rsidRPr="00F32187">
        <w:rPr>
          <w:lang w:val="fr-FR"/>
        </w:rPr>
        <w:t>obtention de résultats après la fin du cycle de mise en œuvre du projet;</w:t>
      </w:r>
    </w:p>
    <w:p w14:paraId="2DEFB011" w14:textId="77777777" w:rsidR="00E045F1" w:rsidRPr="00F32187" w:rsidRDefault="00E045F1" w:rsidP="00AD2343">
      <w:pPr>
        <w:pStyle w:val="ONUMFS"/>
        <w:numPr>
          <w:ilvl w:val="0"/>
          <w:numId w:val="20"/>
        </w:numPr>
        <w:tabs>
          <w:tab w:val="left" w:pos="1134"/>
        </w:tabs>
        <w:ind w:left="1134" w:hanging="567"/>
        <w:rPr>
          <w:lang w:val="fr-FR"/>
        </w:rPr>
      </w:pPr>
      <w:proofErr w:type="gramStart"/>
      <w:r w:rsidRPr="00F32187">
        <w:rPr>
          <w:lang w:val="fr-FR"/>
        </w:rPr>
        <w:t>les</w:t>
      </w:r>
      <w:proofErr w:type="gramEnd"/>
      <w:r w:rsidRPr="00F32187">
        <w:rPr>
          <w:lang w:val="fr-FR"/>
        </w:rPr>
        <w:t xml:space="preserve"> travaux de recherche sur les questions de propriété intellectuelle ont acquis une dimension plus multidisciplinaire, faisant notamment appel à des économistes;</w:t>
      </w:r>
    </w:p>
    <w:p w14:paraId="5F423977" w14:textId="77777777" w:rsidR="00E045F1" w:rsidRPr="00F32187" w:rsidRDefault="00E045F1" w:rsidP="00AD2343">
      <w:pPr>
        <w:pStyle w:val="ONUMFS"/>
        <w:numPr>
          <w:ilvl w:val="0"/>
          <w:numId w:val="20"/>
        </w:numPr>
        <w:tabs>
          <w:tab w:val="left" w:pos="1134"/>
        </w:tabs>
        <w:ind w:left="1134" w:hanging="567"/>
        <w:rPr>
          <w:lang w:val="fr-FR"/>
        </w:rPr>
      </w:pPr>
      <w:proofErr w:type="gramStart"/>
      <w:r w:rsidRPr="00F32187">
        <w:rPr>
          <w:lang w:val="fr-FR"/>
        </w:rPr>
        <w:t>les</w:t>
      </w:r>
      <w:proofErr w:type="gramEnd"/>
      <w:r w:rsidRPr="00F32187">
        <w:rPr>
          <w:lang w:val="fr-FR"/>
        </w:rPr>
        <w:t xml:space="preserve"> offices de propriété intellectuelle et les autres institutions bénéficiaires ont mis sur pied des réseaux pérennes et accru la priorité accordée aux questions de propriété intellectuelle;</w:t>
      </w:r>
    </w:p>
    <w:p w14:paraId="0AA37A67" w14:textId="41234DF9" w:rsidR="00E045F1" w:rsidRPr="00F32187" w:rsidRDefault="00E045F1" w:rsidP="00AD2343">
      <w:pPr>
        <w:pStyle w:val="ONUMFS"/>
        <w:numPr>
          <w:ilvl w:val="0"/>
          <w:numId w:val="20"/>
        </w:numPr>
        <w:tabs>
          <w:tab w:val="left" w:pos="1134"/>
        </w:tabs>
        <w:ind w:left="1134" w:hanging="567"/>
        <w:rPr>
          <w:lang w:val="fr-FR"/>
        </w:rPr>
      </w:pPr>
      <w:proofErr w:type="gramStart"/>
      <w:r w:rsidRPr="00F32187">
        <w:rPr>
          <w:lang w:val="fr-FR"/>
        </w:rPr>
        <w:t>la</w:t>
      </w:r>
      <w:proofErr w:type="gramEnd"/>
      <w:r w:rsidRPr="00F32187">
        <w:rPr>
          <w:lang w:val="fr-FR"/>
        </w:rPr>
        <w:t xml:space="preserve"> qualité et la disponibilité globales des données figurant dans les bases de données au niveau national se sont améliorées, favorisant ainsi l</w:t>
      </w:r>
      <w:r w:rsidR="00535418" w:rsidRPr="00F32187">
        <w:rPr>
          <w:lang w:val="fr-FR"/>
        </w:rPr>
        <w:t>’</w:t>
      </w:r>
      <w:r w:rsidRPr="00F32187">
        <w:rPr>
          <w:lang w:val="fr-FR"/>
        </w:rPr>
        <w:t>utilisation des données économiques aux fins de l</w:t>
      </w:r>
      <w:r w:rsidR="00535418" w:rsidRPr="00F32187">
        <w:rPr>
          <w:lang w:val="fr-FR"/>
        </w:rPr>
        <w:t>’</w:t>
      </w:r>
      <w:r w:rsidRPr="00F32187">
        <w:rPr>
          <w:lang w:val="fr-FR"/>
        </w:rPr>
        <w:t>élaboration des politiques;</w:t>
      </w:r>
    </w:p>
    <w:p w14:paraId="3C9B71AC" w14:textId="0CB029F2" w:rsidR="00E045F1" w:rsidRPr="00F32187" w:rsidRDefault="00E045F1" w:rsidP="00AD2343">
      <w:pPr>
        <w:pStyle w:val="ONUMFS"/>
        <w:numPr>
          <w:ilvl w:val="0"/>
          <w:numId w:val="20"/>
        </w:numPr>
        <w:tabs>
          <w:tab w:val="left" w:pos="1134"/>
        </w:tabs>
        <w:ind w:left="1134" w:hanging="567"/>
        <w:rPr>
          <w:lang w:val="fr-FR"/>
        </w:rPr>
      </w:pPr>
      <w:proofErr w:type="gramStart"/>
      <w:r w:rsidRPr="00F32187">
        <w:rPr>
          <w:lang w:val="fr-FR"/>
        </w:rPr>
        <w:t>un</w:t>
      </w:r>
      <w:proofErr w:type="gramEnd"/>
      <w:r w:rsidRPr="00F32187">
        <w:rPr>
          <w:lang w:val="fr-FR"/>
        </w:rPr>
        <w:t xml:space="preserve"> changement conceptuel s</w:t>
      </w:r>
      <w:r w:rsidR="00535418" w:rsidRPr="00F32187">
        <w:rPr>
          <w:lang w:val="fr-FR"/>
        </w:rPr>
        <w:t>’</w:t>
      </w:r>
      <w:r w:rsidRPr="00F32187">
        <w:rPr>
          <w:lang w:val="fr-FR"/>
        </w:rPr>
        <w:t>est opéré dans les connaissances, la compréhension et l</w:t>
      </w:r>
      <w:r w:rsidR="00535418" w:rsidRPr="00F32187">
        <w:rPr>
          <w:lang w:val="fr-FR"/>
        </w:rPr>
        <w:t>’</w:t>
      </w:r>
      <w:r w:rsidRPr="00F32187">
        <w:rPr>
          <w:lang w:val="fr-FR"/>
        </w:rPr>
        <w:t>attitude des chercheurs et des responsables de l</w:t>
      </w:r>
      <w:r w:rsidR="00535418" w:rsidRPr="00F32187">
        <w:rPr>
          <w:lang w:val="fr-FR"/>
        </w:rPr>
        <w:t>’</w:t>
      </w:r>
      <w:r w:rsidRPr="00F32187">
        <w:rPr>
          <w:lang w:val="fr-FR"/>
        </w:rPr>
        <w:t>élaboration des politiques en ce qui concerne les avantages économiques et l</w:t>
      </w:r>
      <w:r w:rsidR="00535418" w:rsidRPr="00F32187">
        <w:rPr>
          <w:lang w:val="fr-FR"/>
        </w:rPr>
        <w:t>’</w:t>
      </w:r>
      <w:r w:rsidRPr="00F32187">
        <w:rPr>
          <w:lang w:val="fr-FR"/>
        </w:rPr>
        <w:t>importance de l</w:t>
      </w:r>
      <w:r w:rsidR="00535418" w:rsidRPr="00F32187">
        <w:rPr>
          <w:lang w:val="fr-FR"/>
        </w:rPr>
        <w:t>’</w:t>
      </w:r>
      <w:r w:rsidRPr="00F32187">
        <w:rPr>
          <w:lang w:val="fr-FR"/>
        </w:rPr>
        <w:t>innovation pour le développement socioéconomique;</w:t>
      </w:r>
    </w:p>
    <w:p w14:paraId="3264AC6D" w14:textId="337F93AD" w:rsidR="00E045F1" w:rsidRPr="00F32187" w:rsidRDefault="00E045F1" w:rsidP="00AD2343">
      <w:pPr>
        <w:pStyle w:val="ONUMFS"/>
        <w:numPr>
          <w:ilvl w:val="0"/>
          <w:numId w:val="20"/>
        </w:numPr>
        <w:tabs>
          <w:tab w:val="left" w:pos="1134"/>
        </w:tabs>
        <w:ind w:left="1134" w:hanging="567"/>
        <w:rPr>
          <w:lang w:val="fr-FR"/>
        </w:rPr>
      </w:pPr>
      <w:proofErr w:type="gramStart"/>
      <w:r w:rsidRPr="00F32187">
        <w:rPr>
          <w:lang w:val="fr-FR"/>
        </w:rPr>
        <w:t>les</w:t>
      </w:r>
      <w:proofErr w:type="gramEnd"/>
      <w:r w:rsidRPr="00F32187">
        <w:rPr>
          <w:lang w:val="fr-FR"/>
        </w:rPr>
        <w:t xml:space="preserve"> capacités d</w:t>
      </w:r>
      <w:r w:rsidR="00535418" w:rsidRPr="00F32187">
        <w:rPr>
          <w:lang w:val="fr-FR"/>
        </w:rPr>
        <w:t>’</w:t>
      </w:r>
      <w:r w:rsidRPr="00F32187">
        <w:rPr>
          <w:lang w:val="fr-FR"/>
        </w:rPr>
        <w:t>analyse acquises au niveau des pays ont éclairé les prises de décisions et l</w:t>
      </w:r>
      <w:r w:rsidR="00535418" w:rsidRPr="00F32187">
        <w:rPr>
          <w:lang w:val="fr-FR"/>
        </w:rPr>
        <w:t>’</w:t>
      </w:r>
      <w:r w:rsidRPr="00F32187">
        <w:rPr>
          <w:lang w:val="fr-FR"/>
        </w:rPr>
        <w:t>élaboration des politiques;</w:t>
      </w:r>
    </w:p>
    <w:p w14:paraId="5B379C60" w14:textId="0144D94D" w:rsidR="00E045F1" w:rsidRPr="00F32187" w:rsidRDefault="00E045F1" w:rsidP="00AD2343">
      <w:pPr>
        <w:pStyle w:val="ONUMFS"/>
        <w:numPr>
          <w:ilvl w:val="0"/>
          <w:numId w:val="20"/>
        </w:numPr>
        <w:tabs>
          <w:tab w:val="left" w:pos="1134"/>
        </w:tabs>
        <w:ind w:left="1134" w:hanging="567"/>
        <w:rPr>
          <w:lang w:val="fr-FR"/>
        </w:rPr>
      </w:pPr>
      <w:proofErr w:type="gramStart"/>
      <w:r w:rsidRPr="00F32187">
        <w:rPr>
          <w:lang w:val="fr-FR"/>
        </w:rPr>
        <w:lastRenderedPageBreak/>
        <w:t>les</w:t>
      </w:r>
      <w:proofErr w:type="gramEnd"/>
      <w:r w:rsidRPr="00F32187">
        <w:rPr>
          <w:lang w:val="fr-FR"/>
        </w:rPr>
        <w:t xml:space="preserve"> secteurs public et privé investissent davantage dans la réglementation et l</w:t>
      </w:r>
      <w:r w:rsidR="00535418" w:rsidRPr="00F32187">
        <w:rPr>
          <w:lang w:val="fr-FR"/>
        </w:rPr>
        <w:t>’</w:t>
      </w:r>
      <w:r w:rsidRPr="00F32187">
        <w:rPr>
          <w:lang w:val="fr-FR"/>
        </w:rPr>
        <w:t>utilisation de la propriété intellectuelle.</w:t>
      </w:r>
    </w:p>
    <w:p w14:paraId="53AEB02A" w14:textId="45B1162B" w:rsidR="00535418" w:rsidRPr="00AD2343" w:rsidRDefault="00E045F1" w:rsidP="00E045F1">
      <w:pPr>
        <w:pStyle w:val="ONUMFS"/>
        <w:rPr>
          <w:lang w:val="fr-FR"/>
        </w:rPr>
      </w:pPr>
      <w:r w:rsidRPr="00F32187">
        <w:rPr>
          <w:b/>
          <w:bCs/>
          <w:lang w:val="fr-FR"/>
        </w:rPr>
        <w:t>Conclusion n° 2</w:t>
      </w:r>
      <w:r w:rsidR="00535418" w:rsidRPr="00F32187">
        <w:rPr>
          <w:b/>
          <w:bCs/>
          <w:lang w:val="fr-FR"/>
        </w:rPr>
        <w:t> :</w:t>
      </w:r>
      <w:r w:rsidRPr="00F32187">
        <w:rPr>
          <w:b/>
          <w:bCs/>
          <w:lang w:val="fr-FR"/>
        </w:rPr>
        <w:t xml:space="preserve"> le contexte de mise en œuvre du projet était complexe</w:t>
      </w:r>
    </w:p>
    <w:p w14:paraId="1162B3CB" w14:textId="095760CC" w:rsidR="00E045F1" w:rsidRPr="00F32187" w:rsidRDefault="00E045F1" w:rsidP="00E045F1">
      <w:pPr>
        <w:pStyle w:val="ONUMFS"/>
        <w:numPr>
          <w:ilvl w:val="0"/>
          <w:numId w:val="0"/>
        </w:numPr>
        <w:rPr>
          <w:lang w:val="fr-FR"/>
        </w:rPr>
      </w:pPr>
      <w:r w:rsidRPr="00F32187">
        <w:rPr>
          <w:lang w:val="fr-FR"/>
        </w:rPr>
        <w:t>Le projet a été mené dans un grand nombre de pays dont les besoins et le contexte de mise en œuvre étaient vari</w:t>
      </w:r>
      <w:r w:rsidR="00F32187" w:rsidRPr="00F32187">
        <w:rPr>
          <w:lang w:val="fr-FR"/>
        </w:rPr>
        <w:t>és.  Ma</w:t>
      </w:r>
      <w:r w:rsidRPr="00F32187">
        <w:rPr>
          <w:lang w:val="fr-FR"/>
        </w:rPr>
        <w:t>lgré le niveau élevé d</w:t>
      </w:r>
      <w:r w:rsidR="00535418" w:rsidRPr="00F32187">
        <w:rPr>
          <w:lang w:val="fr-FR"/>
        </w:rPr>
        <w:t>’</w:t>
      </w:r>
      <w:r w:rsidRPr="00F32187">
        <w:rPr>
          <w:lang w:val="fr-FR"/>
        </w:rPr>
        <w:t>appropriation du projet par les pays bénéficiaires, des évaluations de la faisabilité et des besoins afin d</w:t>
      </w:r>
      <w:r w:rsidR="00535418" w:rsidRPr="00F32187">
        <w:rPr>
          <w:lang w:val="fr-FR"/>
        </w:rPr>
        <w:t>’</w:t>
      </w:r>
      <w:r w:rsidRPr="00F32187">
        <w:rPr>
          <w:lang w:val="fr-FR"/>
        </w:rPr>
        <w:t>éclairer les théories du changement implantées dans les pays auraient pu faciliter une approche plus stratégique en matière de renforcement des capacités, de gestion et de définition des cibles d</w:t>
      </w:r>
      <w:r w:rsidR="00535418" w:rsidRPr="00F32187">
        <w:rPr>
          <w:lang w:val="fr-FR"/>
        </w:rPr>
        <w:t>’</w:t>
      </w:r>
      <w:r w:rsidRPr="00F32187">
        <w:rPr>
          <w:lang w:val="fr-FR"/>
        </w:rPr>
        <w:t>impact.</w:t>
      </w:r>
    </w:p>
    <w:p w14:paraId="12981C09" w14:textId="2CDD9DC6" w:rsidR="00E045F1" w:rsidRPr="00AD2343" w:rsidRDefault="00E045F1" w:rsidP="00E045F1">
      <w:pPr>
        <w:pStyle w:val="ONUMFS"/>
        <w:rPr>
          <w:lang w:val="fr-FR"/>
        </w:rPr>
      </w:pPr>
      <w:r w:rsidRPr="00F32187">
        <w:rPr>
          <w:lang w:val="fr-FR"/>
        </w:rPr>
        <w:t>De plus, si le projet a eu des incidences significatives, il aurait pu être plus efficace encore si une réponse structurée de la direction aux recommandations des évaluations précédentes (</w:t>
      </w:r>
      <w:r w:rsidR="00535418" w:rsidRPr="00F32187">
        <w:rPr>
          <w:lang w:val="fr-FR"/>
        </w:rPr>
        <w:t>documents CD</w:t>
      </w:r>
      <w:r w:rsidRPr="00F32187">
        <w:rPr>
          <w:lang w:val="fr-FR"/>
        </w:rPr>
        <w:t>IP/14/3 et CDIP/22/9</w:t>
      </w:r>
      <w:r w:rsidR="00B37BEF" w:rsidRPr="00F32187">
        <w:rPr>
          <w:lang w:val="fr-FR"/>
        </w:rPr>
        <w:t> </w:t>
      </w:r>
      <w:proofErr w:type="spellStart"/>
      <w:r w:rsidRPr="00F32187">
        <w:rPr>
          <w:lang w:val="fr-FR"/>
        </w:rPr>
        <w:t>Rev</w:t>
      </w:r>
      <w:proofErr w:type="spellEnd"/>
      <w:r w:rsidRPr="00F32187">
        <w:rPr>
          <w:lang w:val="fr-FR"/>
        </w:rPr>
        <w:t>.) avait été mise au point.</w:t>
      </w:r>
    </w:p>
    <w:p w14:paraId="4305E3FD" w14:textId="06D3D6F6" w:rsidR="00535418" w:rsidRPr="00F32187" w:rsidRDefault="00E045F1" w:rsidP="00E045F1">
      <w:pPr>
        <w:pStyle w:val="ONUMFS"/>
        <w:rPr>
          <w:lang w:val="fr-FR"/>
        </w:rPr>
      </w:pPr>
      <w:r w:rsidRPr="00F32187">
        <w:rPr>
          <w:b/>
          <w:bCs/>
          <w:lang w:val="fr-FR"/>
        </w:rPr>
        <w:t>Conclusion n° 3</w:t>
      </w:r>
      <w:r w:rsidR="00535418" w:rsidRPr="00F32187">
        <w:rPr>
          <w:b/>
          <w:bCs/>
          <w:lang w:val="fr-FR"/>
        </w:rPr>
        <w:t> :</w:t>
      </w:r>
      <w:r w:rsidRPr="00F32187">
        <w:rPr>
          <w:b/>
          <w:bCs/>
          <w:lang w:val="fr-FR"/>
        </w:rPr>
        <w:t xml:space="preserve"> le projet a eu des retombées après la fin du cycle de mise en œuvre, souvent par un processus de suivi de l</w:t>
      </w:r>
      <w:r w:rsidR="00535418" w:rsidRPr="00F32187">
        <w:rPr>
          <w:b/>
          <w:bCs/>
          <w:lang w:val="fr-FR"/>
        </w:rPr>
        <w:t>’</w:t>
      </w:r>
      <w:r w:rsidRPr="00F32187">
        <w:rPr>
          <w:b/>
          <w:bCs/>
          <w:lang w:val="fr-FR"/>
        </w:rPr>
        <w:t>impact</w:t>
      </w:r>
    </w:p>
    <w:p w14:paraId="4FA1637F" w14:textId="53E10790" w:rsidR="00E045F1" w:rsidRPr="00F32187" w:rsidRDefault="00E045F1" w:rsidP="00E045F1">
      <w:pPr>
        <w:pStyle w:val="ONUMFS"/>
        <w:rPr>
          <w:lang w:val="fr-FR"/>
        </w:rPr>
      </w:pPr>
      <w:r w:rsidRPr="00F32187">
        <w:rPr>
          <w:lang w:val="fr-FR"/>
        </w:rPr>
        <w:t>Le suivi de l</w:t>
      </w:r>
      <w:r w:rsidR="00535418" w:rsidRPr="00F32187">
        <w:rPr>
          <w:lang w:val="fr-FR"/>
        </w:rPr>
        <w:t>’</w:t>
      </w:r>
      <w:r w:rsidRPr="00F32187">
        <w:rPr>
          <w:lang w:val="fr-FR"/>
        </w:rPr>
        <w:t>impact est une approche consistant à introduire les innovations dans des contextes complexes sur une période prolongée, au cours de laquelle les chercheurs principaux et les parties prenantes spécialisées se servent de leurs réseaux professionnels pour mettre les innovations à échelle en profitant des fenêtres d</w:t>
      </w:r>
      <w:r w:rsidR="00535418" w:rsidRPr="00F32187">
        <w:rPr>
          <w:lang w:val="fr-FR"/>
        </w:rPr>
        <w:t>’</w:t>
      </w:r>
      <w:r w:rsidRPr="00F32187">
        <w:rPr>
          <w:lang w:val="fr-FR"/>
        </w:rPr>
        <w:t>opportunité au moyen de comportements assimilables à la promotion de produ</w:t>
      </w:r>
      <w:r w:rsidR="00F32187" w:rsidRPr="00F32187">
        <w:rPr>
          <w:lang w:val="fr-FR"/>
        </w:rPr>
        <w:t>it.  La</w:t>
      </w:r>
      <w:r w:rsidRPr="00F32187">
        <w:rPr>
          <w:lang w:val="fr-FR"/>
        </w:rPr>
        <w:t xml:space="preserve"> recherche de l</w:t>
      </w:r>
      <w:r w:rsidR="00535418" w:rsidRPr="00F32187">
        <w:rPr>
          <w:lang w:val="fr-FR"/>
        </w:rPr>
        <w:t>’</w:t>
      </w:r>
      <w:r w:rsidRPr="00F32187">
        <w:rPr>
          <w:lang w:val="fr-FR"/>
        </w:rPr>
        <w:t>impact ne passe pas par le projet en soi, le dimensionnement et l</w:t>
      </w:r>
      <w:r w:rsidR="00535418" w:rsidRPr="00F32187">
        <w:rPr>
          <w:lang w:val="fr-FR"/>
        </w:rPr>
        <w:t>’</w:t>
      </w:r>
      <w:r w:rsidRPr="00F32187">
        <w:rPr>
          <w:lang w:val="fr-FR"/>
        </w:rPr>
        <w:t>influence visent plutôt à obtenir un effet souhaité lorsqu</w:t>
      </w:r>
      <w:r w:rsidR="00535418" w:rsidRPr="00F32187">
        <w:rPr>
          <w:lang w:val="fr-FR"/>
        </w:rPr>
        <w:t>’</w:t>
      </w:r>
      <w:r w:rsidRPr="00F32187">
        <w:rPr>
          <w:lang w:val="fr-FR"/>
        </w:rPr>
        <w:t>une occasion se présente, en alignant les activités avancées de recherche et développement, les capacités et les réseaux professionnels sur une demande concrète des futurs utilisateurs (les pouvoirs publics, le secteur privé ou des organisations non gouvernementales internationales, par exemple).</w:t>
      </w:r>
    </w:p>
    <w:p w14:paraId="5B8BE05E" w14:textId="65C5C783" w:rsidR="00535418" w:rsidRPr="00F32187" w:rsidRDefault="00E045F1" w:rsidP="00E045F1">
      <w:pPr>
        <w:pStyle w:val="ONUMFS"/>
        <w:rPr>
          <w:lang w:val="fr-FR"/>
        </w:rPr>
      </w:pPr>
      <w:r w:rsidRPr="00F32187">
        <w:rPr>
          <w:b/>
          <w:bCs/>
          <w:lang w:val="fr-FR"/>
        </w:rPr>
        <w:t>Conclusion n° 4</w:t>
      </w:r>
      <w:r w:rsidR="00535418" w:rsidRPr="00F32187">
        <w:rPr>
          <w:b/>
          <w:bCs/>
          <w:lang w:val="fr-FR"/>
        </w:rPr>
        <w:t> :</w:t>
      </w:r>
      <w:r w:rsidRPr="00F32187">
        <w:rPr>
          <w:b/>
          <w:bCs/>
          <w:lang w:val="fr-FR"/>
        </w:rPr>
        <w:t xml:space="preserve"> le développement des capacités ciblait mieux les individus</w:t>
      </w:r>
    </w:p>
    <w:p w14:paraId="3C1CE7EC" w14:textId="39A5D7A1" w:rsidR="00E045F1" w:rsidRPr="00F32187" w:rsidRDefault="00E045F1" w:rsidP="00E045F1">
      <w:pPr>
        <w:pStyle w:val="ONUMFS"/>
        <w:spacing w:after="0"/>
        <w:rPr>
          <w:lang w:val="fr-FR"/>
        </w:rPr>
      </w:pPr>
      <w:r w:rsidRPr="00F32187">
        <w:rPr>
          <w:lang w:val="fr-FR"/>
        </w:rPr>
        <w:t>Si les offices de propriété intellectuelle et les institutions partenaires ont bénéficié des résultats des travaux de recherche (par exemple des ensembles de données, des analyses politiques, de la reconnaissance de l</w:t>
      </w:r>
      <w:r w:rsidR="00535418" w:rsidRPr="00F32187">
        <w:rPr>
          <w:lang w:val="fr-FR"/>
        </w:rPr>
        <w:t>’</w:t>
      </w:r>
      <w:r w:rsidRPr="00F32187">
        <w:rPr>
          <w:lang w:val="fr-FR"/>
        </w:rPr>
        <w:t>importance des questions de propriété intellectuelle), seuls quelques individus ont bénéficié du projet de manière significative dans chaque pays bénéficiaire (par exemple en obtenant les données de recherche nécessaires pour mener à bien une thèse de doctor</w:t>
      </w:r>
      <w:r w:rsidR="00F32187" w:rsidRPr="00F32187">
        <w:rPr>
          <w:lang w:val="fr-FR"/>
        </w:rPr>
        <w:t>at).  Un</w:t>
      </w:r>
      <w:r w:rsidRPr="00F32187">
        <w:rPr>
          <w:lang w:val="fr-FR"/>
        </w:rPr>
        <w:t>e stratégie de développement des capacités alignée sur la théorie du changement du projet aiderait à veiller à ce que les activités de renforcement des capacités soient adaptées à l</w:t>
      </w:r>
      <w:r w:rsidR="00535418" w:rsidRPr="00F32187">
        <w:rPr>
          <w:lang w:val="fr-FR"/>
        </w:rPr>
        <w:t>’</w:t>
      </w:r>
      <w:r w:rsidRPr="00F32187">
        <w:rPr>
          <w:lang w:val="fr-FR"/>
        </w:rPr>
        <w:t>obtention des incidences souhaité</w:t>
      </w:r>
      <w:r w:rsidR="00F32187" w:rsidRPr="00F32187">
        <w:rPr>
          <w:lang w:val="fr-FR"/>
        </w:rPr>
        <w:t>es.  Ai</w:t>
      </w:r>
      <w:r w:rsidRPr="00F32187">
        <w:rPr>
          <w:lang w:val="fr-FR"/>
        </w:rPr>
        <w:t>nsi, un soutien de suivi sur une période prolongée a plus de probabilités d</w:t>
      </w:r>
      <w:r w:rsidR="00535418" w:rsidRPr="00F32187">
        <w:rPr>
          <w:lang w:val="fr-FR"/>
        </w:rPr>
        <w:t>’</w:t>
      </w:r>
      <w:r w:rsidRPr="00F32187">
        <w:rPr>
          <w:lang w:val="fr-FR"/>
        </w:rPr>
        <w:t>aider les individus à modifier leurs pratiques et à utiliser de nouvelles compétences à plus long terme.</w:t>
      </w:r>
    </w:p>
    <w:p w14:paraId="3BFA1264" w14:textId="550868B9" w:rsidR="00E045F1" w:rsidRPr="00F32187" w:rsidRDefault="00AD2343" w:rsidP="00AD2343">
      <w:pPr>
        <w:pStyle w:val="Heading1"/>
        <w:numPr>
          <w:ilvl w:val="0"/>
          <w:numId w:val="7"/>
        </w:numPr>
      </w:pPr>
      <w:bookmarkStart w:id="82" w:name="_Toc140224987"/>
      <w:bookmarkStart w:id="83" w:name="_Toc145933454"/>
      <w:bookmarkStart w:id="84" w:name="_Toc146025114"/>
      <w:r w:rsidRPr="00F32187">
        <w:t>Recommandations</w:t>
      </w:r>
      <w:bookmarkEnd w:id="82"/>
      <w:bookmarkEnd w:id="83"/>
      <w:bookmarkEnd w:id="84"/>
    </w:p>
    <w:p w14:paraId="03A04F03" w14:textId="13361470" w:rsidR="00E045F1" w:rsidRPr="00F32187" w:rsidRDefault="00E045F1" w:rsidP="00E045F1">
      <w:pPr>
        <w:pStyle w:val="ONUMFS"/>
        <w:rPr>
          <w:lang w:val="fr-FR"/>
        </w:rPr>
      </w:pPr>
      <w:r w:rsidRPr="00F32187">
        <w:rPr>
          <w:lang w:val="fr-FR"/>
        </w:rPr>
        <w:t xml:space="preserve">Le projet a pris fin </w:t>
      </w:r>
      <w:r w:rsidR="00535418" w:rsidRPr="00F32187">
        <w:rPr>
          <w:lang w:val="fr-FR"/>
        </w:rPr>
        <w:t>en 2018</w:t>
      </w:r>
      <w:r w:rsidRPr="00F32187">
        <w:rPr>
          <w:lang w:val="fr-FR"/>
        </w:rPr>
        <w:t xml:space="preserve"> et entre</w:t>
      </w:r>
      <w:r w:rsidR="00444006">
        <w:rPr>
          <w:lang w:val="fr-FR"/>
        </w:rPr>
        <w:noBreakHyphen/>
      </w:r>
      <w:r w:rsidRPr="00F32187">
        <w:rPr>
          <w:lang w:val="fr-FR"/>
        </w:rPr>
        <w:t>temps, l</w:t>
      </w:r>
      <w:r w:rsidR="00535418" w:rsidRPr="00F32187">
        <w:rPr>
          <w:lang w:val="fr-FR"/>
        </w:rPr>
        <w:t>’</w:t>
      </w:r>
      <w:r w:rsidRPr="00F32187">
        <w:rPr>
          <w:lang w:val="fr-FR"/>
        </w:rPr>
        <w:t>OMPI a évolué en tant qu</w:t>
      </w:r>
      <w:r w:rsidR="00535418" w:rsidRPr="00F32187">
        <w:rPr>
          <w:lang w:val="fr-FR"/>
        </w:rPr>
        <w:t>’</w:t>
      </w:r>
      <w:r w:rsidRPr="00F32187">
        <w:rPr>
          <w:lang w:val="fr-FR"/>
        </w:rPr>
        <w:t>institution et a connu de nombreux changemen</w:t>
      </w:r>
      <w:r w:rsidR="00F32187" w:rsidRPr="00F32187">
        <w:rPr>
          <w:lang w:val="fr-FR"/>
        </w:rPr>
        <w:t>ts.  L’é</w:t>
      </w:r>
      <w:r w:rsidRPr="00F32187">
        <w:rPr>
          <w:lang w:val="fr-FR"/>
        </w:rPr>
        <w:t>valuateur déduit des informations recueillies auprès des informateurs clés que certaines des recommandations ci</w:t>
      </w:r>
      <w:r w:rsidR="00444006">
        <w:rPr>
          <w:lang w:val="fr-FR"/>
        </w:rPr>
        <w:noBreakHyphen/>
      </w:r>
      <w:r w:rsidRPr="00F32187">
        <w:rPr>
          <w:lang w:val="fr-FR"/>
        </w:rPr>
        <w:t>après ont déjà été mises en œuvre en tout ou en part</w:t>
      </w:r>
      <w:r w:rsidR="00F32187" w:rsidRPr="00F32187">
        <w:rPr>
          <w:lang w:val="fr-FR"/>
        </w:rPr>
        <w:t>ie.  Né</w:t>
      </w:r>
      <w:r w:rsidRPr="00F32187">
        <w:rPr>
          <w:lang w:val="fr-FR"/>
        </w:rPr>
        <w:t>anmoins, sur la base des conclusions ci</w:t>
      </w:r>
      <w:r w:rsidR="00444006">
        <w:rPr>
          <w:lang w:val="fr-FR"/>
        </w:rPr>
        <w:noBreakHyphen/>
        <w:t>de</w:t>
      </w:r>
      <w:r w:rsidRPr="00F32187">
        <w:rPr>
          <w:lang w:val="fr-FR"/>
        </w:rPr>
        <w:t>vant, l</w:t>
      </w:r>
      <w:r w:rsidR="00535418" w:rsidRPr="00F32187">
        <w:rPr>
          <w:lang w:val="fr-FR"/>
        </w:rPr>
        <w:t>’</w:t>
      </w:r>
      <w:r w:rsidRPr="00F32187">
        <w:rPr>
          <w:lang w:val="fr-FR"/>
        </w:rPr>
        <w:t>évaluation adresse les recommandations suivantes au Bureau de l</w:t>
      </w:r>
      <w:r w:rsidR="00535418" w:rsidRPr="00F32187">
        <w:rPr>
          <w:lang w:val="fr-FR"/>
        </w:rPr>
        <w:t>’</w:t>
      </w:r>
      <w:r w:rsidRPr="00F32187">
        <w:rPr>
          <w:lang w:val="fr-FR"/>
        </w:rPr>
        <w:t>économiste en chef, sachant que le projet faisant l</w:t>
      </w:r>
      <w:r w:rsidR="00535418" w:rsidRPr="00F32187">
        <w:rPr>
          <w:lang w:val="fr-FR"/>
        </w:rPr>
        <w:t>’</w:t>
      </w:r>
      <w:r w:rsidRPr="00F32187">
        <w:rPr>
          <w:lang w:val="fr-FR"/>
        </w:rPr>
        <w:t>objet de l</w:t>
      </w:r>
      <w:r w:rsidR="00535418" w:rsidRPr="00F32187">
        <w:rPr>
          <w:lang w:val="fr-FR"/>
        </w:rPr>
        <w:t>’</w:t>
      </w:r>
      <w:r w:rsidRPr="00F32187">
        <w:rPr>
          <w:lang w:val="fr-FR"/>
        </w:rPr>
        <w:t>évaluation a pris fin et qu</w:t>
      </w:r>
      <w:r w:rsidR="00535418" w:rsidRPr="00F32187">
        <w:rPr>
          <w:lang w:val="fr-FR"/>
        </w:rPr>
        <w:t>’</w:t>
      </w:r>
      <w:r w:rsidRPr="00F32187">
        <w:rPr>
          <w:lang w:val="fr-FR"/>
        </w:rPr>
        <w:t>à ce jour, il n</w:t>
      </w:r>
      <w:r w:rsidR="00535418" w:rsidRPr="00F32187">
        <w:rPr>
          <w:lang w:val="fr-FR"/>
        </w:rPr>
        <w:t>’</w:t>
      </w:r>
      <w:r w:rsidRPr="00F32187">
        <w:rPr>
          <w:lang w:val="fr-FR"/>
        </w:rPr>
        <w:t>est pas garanti qu</w:t>
      </w:r>
      <w:r w:rsidR="00535418" w:rsidRPr="00F32187">
        <w:rPr>
          <w:lang w:val="fr-FR"/>
        </w:rPr>
        <w:t>’</w:t>
      </w:r>
      <w:r w:rsidRPr="00F32187">
        <w:rPr>
          <w:lang w:val="fr-FR"/>
        </w:rPr>
        <w:t>un projet similaire soit mis en œuvre à l</w:t>
      </w:r>
      <w:r w:rsidR="00535418" w:rsidRPr="00F32187">
        <w:rPr>
          <w:lang w:val="fr-FR"/>
        </w:rPr>
        <w:t>’</w:t>
      </w:r>
      <w:r w:rsidRPr="00F32187">
        <w:rPr>
          <w:lang w:val="fr-FR"/>
        </w:rPr>
        <w:t>avenir.</w:t>
      </w:r>
    </w:p>
    <w:p w14:paraId="3803E0E9" w14:textId="3D3416B1" w:rsidR="00E045F1" w:rsidRPr="00F32187" w:rsidRDefault="00E045F1" w:rsidP="00AD2343">
      <w:pPr>
        <w:widowControl w:val="0"/>
        <w:numPr>
          <w:ilvl w:val="0"/>
          <w:numId w:val="16"/>
        </w:numPr>
        <w:spacing w:after="120" w:line="260" w:lineRule="atLeast"/>
        <w:ind w:left="1134" w:hanging="567"/>
        <w:rPr>
          <w:b/>
          <w:szCs w:val="22"/>
          <w:lang w:val="fr-FR"/>
        </w:rPr>
      </w:pPr>
      <w:r w:rsidRPr="00F32187">
        <w:rPr>
          <w:b/>
          <w:bCs/>
          <w:szCs w:val="22"/>
          <w:lang w:val="fr-FR"/>
        </w:rPr>
        <w:t>Planifier en vue d</w:t>
      </w:r>
      <w:r w:rsidR="00535418" w:rsidRPr="00F32187">
        <w:rPr>
          <w:b/>
          <w:bCs/>
          <w:szCs w:val="22"/>
          <w:lang w:val="fr-FR"/>
        </w:rPr>
        <w:t>’</w:t>
      </w:r>
      <w:r w:rsidRPr="00F32187">
        <w:rPr>
          <w:b/>
          <w:bCs/>
          <w:szCs w:val="22"/>
          <w:lang w:val="fr-FR"/>
        </w:rPr>
        <w:t>obtenir des incidences propres au contexte</w:t>
      </w:r>
    </w:p>
    <w:p w14:paraId="07D814AD" w14:textId="23512DC6" w:rsidR="00E045F1" w:rsidRPr="00F32187" w:rsidRDefault="00E045F1" w:rsidP="00AD2343">
      <w:pPr>
        <w:widowControl w:val="0"/>
        <w:numPr>
          <w:ilvl w:val="0"/>
          <w:numId w:val="17"/>
        </w:numPr>
        <w:tabs>
          <w:tab w:val="clear" w:pos="600"/>
          <w:tab w:val="left" w:pos="1134"/>
        </w:tabs>
        <w:spacing w:after="120" w:line="260" w:lineRule="atLeast"/>
        <w:ind w:left="1134" w:hanging="567"/>
        <w:rPr>
          <w:lang w:val="fr-FR"/>
        </w:rPr>
      </w:pPr>
      <w:r w:rsidRPr="00F32187">
        <w:rPr>
          <w:lang w:val="fr-FR"/>
        </w:rPr>
        <w:t>Au cours de la phase de démarrage du projet, réaliser une étude de faisabilité pour chaque pays afin de recenser les risques et les mesures d</w:t>
      </w:r>
      <w:r w:rsidR="00535418" w:rsidRPr="00F32187">
        <w:rPr>
          <w:lang w:val="fr-FR"/>
        </w:rPr>
        <w:t>’</w:t>
      </w:r>
      <w:r w:rsidRPr="00F32187">
        <w:rPr>
          <w:lang w:val="fr-FR"/>
        </w:rPr>
        <w:t>atténuation</w:t>
      </w:r>
      <w:r w:rsidR="00AD2343">
        <w:rPr>
          <w:lang w:val="fr-FR"/>
        </w:rPr>
        <w:t>.</w:t>
      </w:r>
    </w:p>
    <w:p w14:paraId="079DF603" w14:textId="021FA1F9" w:rsidR="00E045F1" w:rsidRPr="00F32187" w:rsidRDefault="00E045F1" w:rsidP="00AD2343">
      <w:pPr>
        <w:widowControl w:val="0"/>
        <w:numPr>
          <w:ilvl w:val="0"/>
          <w:numId w:val="17"/>
        </w:numPr>
        <w:tabs>
          <w:tab w:val="clear" w:pos="600"/>
          <w:tab w:val="left" w:pos="1134"/>
        </w:tabs>
        <w:spacing w:after="120" w:line="260" w:lineRule="atLeast"/>
        <w:ind w:left="1134" w:hanging="567"/>
        <w:rPr>
          <w:lang w:val="fr-FR"/>
        </w:rPr>
      </w:pPr>
      <w:r w:rsidRPr="00F32187">
        <w:rPr>
          <w:lang w:val="fr-FR"/>
        </w:rPr>
        <w:lastRenderedPageBreak/>
        <w:t>Sur la base de l</w:t>
      </w:r>
      <w:r w:rsidR="00535418" w:rsidRPr="00F32187">
        <w:rPr>
          <w:lang w:val="fr-FR"/>
        </w:rPr>
        <w:t>’</w:t>
      </w:r>
      <w:r w:rsidRPr="00F32187">
        <w:rPr>
          <w:lang w:val="fr-FR"/>
        </w:rPr>
        <w:t>étude de faisabilité et des autres contributions des parties prenantes, élaborer des théories du changement au niveau des pays assorties de cibles d</w:t>
      </w:r>
      <w:r w:rsidR="00535418" w:rsidRPr="00F32187">
        <w:rPr>
          <w:lang w:val="fr-FR"/>
        </w:rPr>
        <w:t>’</w:t>
      </w:r>
      <w:r w:rsidRPr="00F32187">
        <w:rPr>
          <w:lang w:val="fr-FR"/>
        </w:rPr>
        <w:t>impact adaptées au contexte</w:t>
      </w:r>
      <w:r w:rsidR="00AD2343">
        <w:rPr>
          <w:lang w:val="fr-FR"/>
        </w:rPr>
        <w:t>.</w:t>
      </w:r>
    </w:p>
    <w:p w14:paraId="51F3774D" w14:textId="09A0439C" w:rsidR="00E045F1" w:rsidRPr="00F32187" w:rsidRDefault="00E045F1" w:rsidP="00AD2343">
      <w:pPr>
        <w:widowControl w:val="0"/>
        <w:numPr>
          <w:ilvl w:val="0"/>
          <w:numId w:val="17"/>
        </w:numPr>
        <w:tabs>
          <w:tab w:val="clear" w:pos="600"/>
          <w:tab w:val="left" w:pos="1134"/>
        </w:tabs>
        <w:spacing w:after="120" w:line="260" w:lineRule="atLeast"/>
        <w:ind w:left="1134" w:hanging="567"/>
        <w:rPr>
          <w:lang w:val="fr-FR"/>
        </w:rPr>
      </w:pPr>
      <w:r w:rsidRPr="00F32187">
        <w:rPr>
          <w:lang w:val="fr-FR"/>
        </w:rPr>
        <w:t>En phase avec les théories du changement au niveau des pays, formuler une stratégie de développement des capacités afin de garantir que les individus et les institutions appropriés soient en mesure de produire les résultats et incidences souhaités</w:t>
      </w:r>
      <w:r w:rsidR="00AD2343">
        <w:rPr>
          <w:lang w:val="fr-FR"/>
        </w:rPr>
        <w:t>.</w:t>
      </w:r>
    </w:p>
    <w:p w14:paraId="0434B73E" w14:textId="77777777" w:rsidR="00E045F1" w:rsidRPr="00F32187" w:rsidRDefault="00E045F1" w:rsidP="00AD2343">
      <w:pPr>
        <w:widowControl w:val="0"/>
        <w:numPr>
          <w:ilvl w:val="0"/>
          <w:numId w:val="17"/>
        </w:numPr>
        <w:tabs>
          <w:tab w:val="clear" w:pos="600"/>
          <w:tab w:val="left" w:pos="1134"/>
        </w:tabs>
        <w:spacing w:after="120" w:line="260" w:lineRule="atLeast"/>
        <w:ind w:left="1134" w:hanging="567"/>
        <w:rPr>
          <w:lang w:val="fr-FR"/>
        </w:rPr>
      </w:pPr>
      <w:r w:rsidRPr="00F32187">
        <w:rPr>
          <w:lang w:val="fr-FR"/>
        </w:rPr>
        <w:t>Sachant que les retombées peuvent se produire longtemps après la fin du cycle de mise en œuvre du projet, investir dans la pérennité des résultats (promoteurs de produits, développement des capacités institutionnelles, financement durable des activités de recherche, par exemple).</w:t>
      </w:r>
    </w:p>
    <w:p w14:paraId="75667912" w14:textId="77777777" w:rsidR="00E045F1" w:rsidRPr="00F32187" w:rsidRDefault="00E045F1" w:rsidP="00AD2343">
      <w:pPr>
        <w:widowControl w:val="0"/>
        <w:numPr>
          <w:ilvl w:val="0"/>
          <w:numId w:val="16"/>
        </w:numPr>
        <w:tabs>
          <w:tab w:val="clear" w:pos="-57"/>
          <w:tab w:val="left" w:pos="1134"/>
        </w:tabs>
        <w:spacing w:after="120" w:line="260" w:lineRule="atLeast"/>
        <w:ind w:left="1134" w:hanging="567"/>
        <w:rPr>
          <w:b/>
          <w:szCs w:val="22"/>
          <w:lang w:val="fr-FR"/>
        </w:rPr>
      </w:pPr>
      <w:r w:rsidRPr="00F32187">
        <w:rPr>
          <w:b/>
          <w:bCs/>
          <w:szCs w:val="22"/>
          <w:lang w:val="fr-FR"/>
        </w:rPr>
        <w:t>Élaborer une approche plus stratégique de mise en commun des résultats</w:t>
      </w:r>
    </w:p>
    <w:p w14:paraId="773FA68A" w14:textId="045A782D" w:rsidR="00E045F1" w:rsidRPr="00F32187" w:rsidRDefault="00E045F1" w:rsidP="00AD2343">
      <w:pPr>
        <w:widowControl w:val="0"/>
        <w:numPr>
          <w:ilvl w:val="0"/>
          <w:numId w:val="18"/>
        </w:numPr>
        <w:tabs>
          <w:tab w:val="clear" w:pos="600"/>
          <w:tab w:val="left" w:pos="1134"/>
        </w:tabs>
        <w:spacing w:after="120" w:line="260" w:lineRule="atLeast"/>
        <w:ind w:left="1134" w:hanging="567"/>
        <w:rPr>
          <w:szCs w:val="22"/>
          <w:lang w:val="fr-FR"/>
        </w:rPr>
      </w:pPr>
      <w:r w:rsidRPr="00F32187">
        <w:rPr>
          <w:szCs w:val="22"/>
          <w:lang w:val="fr-FR"/>
        </w:rPr>
        <w:t>Tout projet futur devrait prendre les mesures nécessaires pour assurer une diffusion plus large (au niveau national et mondial) des résultats par l</w:t>
      </w:r>
      <w:r w:rsidR="00535418" w:rsidRPr="00F32187">
        <w:rPr>
          <w:szCs w:val="22"/>
          <w:lang w:val="fr-FR"/>
        </w:rPr>
        <w:t>’</w:t>
      </w:r>
      <w:r w:rsidRPr="00F32187">
        <w:rPr>
          <w:szCs w:val="22"/>
          <w:lang w:val="fr-FR"/>
        </w:rPr>
        <w:t>intermédiaire des réseaux sociaux, de webinaires, de blogs, d</w:t>
      </w:r>
      <w:r w:rsidR="00535418" w:rsidRPr="00F32187">
        <w:rPr>
          <w:szCs w:val="22"/>
          <w:lang w:val="fr-FR"/>
        </w:rPr>
        <w:t>’</w:t>
      </w:r>
      <w:r w:rsidRPr="00F32187">
        <w:rPr>
          <w:szCs w:val="22"/>
          <w:lang w:val="fr-FR"/>
        </w:rPr>
        <w:t>articles dans la presse et dans des revues spécialisées, afin d</w:t>
      </w:r>
      <w:r w:rsidR="00535418" w:rsidRPr="00F32187">
        <w:rPr>
          <w:szCs w:val="22"/>
          <w:lang w:val="fr-FR"/>
        </w:rPr>
        <w:t>’</w:t>
      </w:r>
      <w:r w:rsidRPr="00F32187">
        <w:rPr>
          <w:szCs w:val="22"/>
          <w:lang w:val="fr-FR"/>
        </w:rPr>
        <w:t>augmenter leur potentiel d</w:t>
      </w:r>
      <w:r w:rsidR="00535418" w:rsidRPr="00F32187">
        <w:rPr>
          <w:szCs w:val="22"/>
          <w:lang w:val="fr-FR"/>
        </w:rPr>
        <w:t>’</w:t>
      </w:r>
      <w:r w:rsidRPr="00F32187">
        <w:rPr>
          <w:szCs w:val="22"/>
          <w:lang w:val="fr-FR"/>
        </w:rPr>
        <w:t>impact.</w:t>
      </w:r>
    </w:p>
    <w:p w14:paraId="5FE4F7D6" w14:textId="11BF7409" w:rsidR="00E045F1" w:rsidRPr="00F32187" w:rsidRDefault="00E045F1" w:rsidP="00AD2343">
      <w:pPr>
        <w:widowControl w:val="0"/>
        <w:numPr>
          <w:ilvl w:val="0"/>
          <w:numId w:val="16"/>
        </w:numPr>
        <w:tabs>
          <w:tab w:val="clear" w:pos="-57"/>
          <w:tab w:val="left" w:pos="1134"/>
        </w:tabs>
        <w:spacing w:after="120" w:line="260" w:lineRule="atLeast"/>
        <w:ind w:left="1134" w:hanging="567"/>
        <w:rPr>
          <w:b/>
          <w:szCs w:val="22"/>
          <w:lang w:val="fr-FR"/>
        </w:rPr>
      </w:pPr>
      <w:r w:rsidRPr="00F32187">
        <w:rPr>
          <w:b/>
          <w:bCs/>
          <w:szCs w:val="22"/>
          <w:lang w:val="fr-FR"/>
        </w:rPr>
        <w:t>Exiger une réponse officielle de la direction à l</w:t>
      </w:r>
      <w:r w:rsidR="00535418" w:rsidRPr="00F32187">
        <w:rPr>
          <w:b/>
          <w:bCs/>
          <w:szCs w:val="22"/>
          <w:lang w:val="fr-FR"/>
        </w:rPr>
        <w:t>’</w:t>
      </w:r>
      <w:r w:rsidRPr="00F32187">
        <w:rPr>
          <w:b/>
          <w:bCs/>
          <w:szCs w:val="22"/>
          <w:lang w:val="fr-FR"/>
        </w:rPr>
        <w:t>ensemble des recommandations formulées dans les évaluations</w:t>
      </w:r>
    </w:p>
    <w:p w14:paraId="6E04C8BF" w14:textId="587F5974" w:rsidR="00E045F1" w:rsidRPr="00F32187" w:rsidRDefault="00E045F1" w:rsidP="00AD2343">
      <w:pPr>
        <w:pStyle w:val="ListParagraph"/>
        <w:numPr>
          <w:ilvl w:val="0"/>
          <w:numId w:val="19"/>
        </w:numPr>
        <w:tabs>
          <w:tab w:val="clear" w:pos="600"/>
          <w:tab w:val="left" w:pos="1134"/>
        </w:tabs>
        <w:spacing w:after="360"/>
        <w:ind w:left="1134" w:hanging="567"/>
        <w:contextualSpacing w:val="0"/>
        <w:rPr>
          <w:lang w:val="fr-FR"/>
        </w:rPr>
      </w:pPr>
      <w:r w:rsidRPr="00F32187">
        <w:rPr>
          <w:szCs w:val="22"/>
          <w:lang w:val="fr-FR"/>
        </w:rPr>
        <w:t>L</w:t>
      </w:r>
      <w:r w:rsidR="00535418" w:rsidRPr="00F32187">
        <w:rPr>
          <w:szCs w:val="22"/>
          <w:lang w:val="fr-FR"/>
        </w:rPr>
        <w:t>’</w:t>
      </w:r>
      <w:r w:rsidRPr="00F32187">
        <w:rPr>
          <w:szCs w:val="22"/>
          <w:lang w:val="fr-FR"/>
        </w:rPr>
        <w:t>OMPI devrait exiger une réponse officielle de la direction à l</w:t>
      </w:r>
      <w:r w:rsidR="00535418" w:rsidRPr="00F32187">
        <w:rPr>
          <w:szCs w:val="22"/>
          <w:lang w:val="fr-FR"/>
        </w:rPr>
        <w:t>’</w:t>
      </w:r>
      <w:r w:rsidRPr="00F32187">
        <w:rPr>
          <w:szCs w:val="22"/>
          <w:lang w:val="fr-FR"/>
        </w:rPr>
        <w:t>ensemble des recommandations découlant des évaluations chaque fois que possib</w:t>
      </w:r>
      <w:r w:rsidR="00F32187" w:rsidRPr="00F32187">
        <w:rPr>
          <w:szCs w:val="22"/>
          <w:lang w:val="fr-FR"/>
        </w:rPr>
        <w:t>le.  Si</w:t>
      </w:r>
      <w:r w:rsidRPr="00F32187">
        <w:rPr>
          <w:szCs w:val="22"/>
          <w:lang w:val="fr-FR"/>
        </w:rPr>
        <w:t xml:space="preserve"> une telle réponse n</w:t>
      </w:r>
      <w:r w:rsidR="00535418" w:rsidRPr="00F32187">
        <w:rPr>
          <w:szCs w:val="22"/>
          <w:lang w:val="fr-FR"/>
        </w:rPr>
        <w:t>’</w:t>
      </w:r>
      <w:r w:rsidRPr="00F32187">
        <w:rPr>
          <w:szCs w:val="22"/>
          <w:lang w:val="fr-FR"/>
        </w:rPr>
        <w:t>est pas envisageable, les recommandations issues des évaluations devraient être examinées dans le cadre d</w:t>
      </w:r>
      <w:r w:rsidR="00535418" w:rsidRPr="00F32187">
        <w:rPr>
          <w:szCs w:val="22"/>
          <w:lang w:val="fr-FR"/>
        </w:rPr>
        <w:t>’</w:t>
      </w:r>
      <w:r w:rsidRPr="00F32187">
        <w:rPr>
          <w:szCs w:val="22"/>
          <w:lang w:val="fr-FR"/>
        </w:rPr>
        <w:t>un processus formel d</w:t>
      </w:r>
      <w:r w:rsidR="00535418" w:rsidRPr="00F32187">
        <w:rPr>
          <w:szCs w:val="22"/>
          <w:lang w:val="fr-FR"/>
        </w:rPr>
        <w:t>’</w:t>
      </w:r>
      <w:r w:rsidRPr="00F32187">
        <w:rPr>
          <w:szCs w:val="22"/>
          <w:lang w:val="fr-FR"/>
        </w:rPr>
        <w:t>apprentissage et de réflexion durant la phase de conception des projets ultérieu</w:t>
      </w:r>
      <w:r w:rsidR="00F32187" w:rsidRPr="00F32187">
        <w:rPr>
          <w:szCs w:val="22"/>
          <w:lang w:val="fr-FR"/>
        </w:rPr>
        <w:t>rs.  Le</w:t>
      </w:r>
      <w:r w:rsidRPr="00F32187">
        <w:rPr>
          <w:szCs w:val="22"/>
          <w:lang w:val="fr-FR"/>
        </w:rPr>
        <w:t>s progrès au regard de la mise en œuvre des recommandations devraient être inclus dans les rapports de proj</w:t>
      </w:r>
      <w:r w:rsidR="00F32187" w:rsidRPr="00F32187">
        <w:rPr>
          <w:szCs w:val="22"/>
          <w:lang w:val="fr-FR"/>
        </w:rPr>
        <w:t>et.  Il</w:t>
      </w:r>
      <w:r w:rsidRPr="00F32187">
        <w:rPr>
          <w:szCs w:val="22"/>
          <w:lang w:val="fr-FR"/>
        </w:rPr>
        <w:t xml:space="preserve"> est important de tirer les enseignements des évaluations pour obtenir un impact.</w:t>
      </w:r>
    </w:p>
    <w:p w14:paraId="159E5A02" w14:textId="44DD4ED9" w:rsidR="000F5E56" w:rsidRPr="00F32187" w:rsidRDefault="00E045F1" w:rsidP="00AD2343">
      <w:pPr>
        <w:pStyle w:val="Endofdocument-Annex"/>
      </w:pPr>
      <w:r w:rsidRPr="00F32187">
        <w:t>[Les appendices sont disponibles séparément (en anglais uniquement)]</w:t>
      </w:r>
    </w:p>
    <w:sectPr w:rsidR="000F5E56" w:rsidRPr="00F32187" w:rsidSect="00A508D4">
      <w:headerReference w:type="default" r:id="rId28"/>
      <w:footerReference w:type="default" r:id="rId29"/>
      <w:headerReference w:type="first" r:id="rId30"/>
      <w:footerReference w:type="first" r:id="rId3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A1B64" w14:textId="77777777" w:rsidR="00E045F1" w:rsidRDefault="00E045F1">
      <w:r>
        <w:separator/>
      </w:r>
    </w:p>
  </w:endnote>
  <w:endnote w:type="continuationSeparator" w:id="0">
    <w:p w14:paraId="481823F2" w14:textId="77777777" w:rsidR="00E045F1" w:rsidRPr="009D30E6" w:rsidRDefault="00E045F1" w:rsidP="00D45252">
      <w:pPr>
        <w:rPr>
          <w:sz w:val="17"/>
          <w:szCs w:val="17"/>
        </w:rPr>
      </w:pPr>
      <w:r w:rsidRPr="009D30E6">
        <w:rPr>
          <w:sz w:val="17"/>
          <w:szCs w:val="17"/>
        </w:rPr>
        <w:separator/>
      </w:r>
    </w:p>
    <w:p w14:paraId="6127D760" w14:textId="77777777" w:rsidR="00E045F1" w:rsidRPr="009D30E6" w:rsidRDefault="00E045F1" w:rsidP="00D45252">
      <w:pPr>
        <w:spacing w:after="60"/>
        <w:rPr>
          <w:sz w:val="17"/>
          <w:szCs w:val="17"/>
        </w:rPr>
      </w:pPr>
      <w:r w:rsidRPr="009D30E6">
        <w:rPr>
          <w:sz w:val="17"/>
          <w:szCs w:val="17"/>
        </w:rPr>
        <w:t>[Suite de la note de la page précédente]</w:t>
      </w:r>
    </w:p>
  </w:endnote>
  <w:endnote w:type="continuationNotice" w:id="1">
    <w:p w14:paraId="1ACC8F96" w14:textId="77777777" w:rsidR="00E045F1" w:rsidRPr="009D30E6" w:rsidRDefault="00E045F1"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Verdan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bold">
    <w:altName w:val="Arial"/>
    <w:panose1 w:val="020B0704020202020204"/>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E259B" w14:textId="77777777" w:rsidR="00A133B5" w:rsidRDefault="00A13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41D03" w14:textId="77777777" w:rsidR="00A133B5" w:rsidRDefault="00A133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E170" w14:textId="77777777" w:rsidR="00A133B5" w:rsidRDefault="00A133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13C1" w14:textId="7FFBAACB" w:rsidR="001060FF" w:rsidRDefault="001060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DF741" w14:textId="4DF9B759" w:rsidR="001060FF" w:rsidRDefault="00106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A6475" w14:textId="77777777" w:rsidR="00E045F1" w:rsidRDefault="00E045F1">
      <w:r>
        <w:separator/>
      </w:r>
    </w:p>
  </w:footnote>
  <w:footnote w:type="continuationSeparator" w:id="0">
    <w:p w14:paraId="269F7BE4" w14:textId="77777777" w:rsidR="00E045F1" w:rsidRDefault="00E045F1" w:rsidP="007461F1">
      <w:r>
        <w:separator/>
      </w:r>
    </w:p>
    <w:p w14:paraId="4F60AECC" w14:textId="77777777" w:rsidR="00E045F1" w:rsidRPr="009D30E6" w:rsidRDefault="00E045F1" w:rsidP="007461F1">
      <w:pPr>
        <w:spacing w:after="60"/>
        <w:rPr>
          <w:sz w:val="17"/>
          <w:szCs w:val="17"/>
        </w:rPr>
      </w:pPr>
      <w:r w:rsidRPr="009D30E6">
        <w:rPr>
          <w:sz w:val="17"/>
          <w:szCs w:val="17"/>
        </w:rPr>
        <w:t>[Suite de la note de la page précédente]</w:t>
      </w:r>
    </w:p>
  </w:footnote>
  <w:footnote w:type="continuationNotice" w:id="1">
    <w:p w14:paraId="711AFA3D" w14:textId="77777777" w:rsidR="00E045F1" w:rsidRPr="009D30E6" w:rsidRDefault="00E045F1" w:rsidP="007461F1">
      <w:pPr>
        <w:spacing w:before="60"/>
        <w:jc w:val="right"/>
        <w:rPr>
          <w:sz w:val="17"/>
          <w:szCs w:val="17"/>
        </w:rPr>
      </w:pPr>
      <w:r w:rsidRPr="009D30E6">
        <w:rPr>
          <w:sz w:val="17"/>
          <w:szCs w:val="17"/>
        </w:rPr>
        <w:t>[Suite de la note page suivante]</w:t>
      </w:r>
    </w:p>
  </w:footnote>
  <w:footnote w:id="2">
    <w:p w14:paraId="0620A5CE" w14:textId="1AE739E4" w:rsidR="00E045F1" w:rsidRPr="00AB3257" w:rsidRDefault="00E045F1" w:rsidP="00AB3257">
      <w:pPr>
        <w:pStyle w:val="FootnoteText"/>
        <w:tabs>
          <w:tab w:val="left" w:pos="567"/>
        </w:tabs>
        <w:rPr>
          <w:szCs w:val="18"/>
        </w:rPr>
      </w:pPr>
      <w:r w:rsidRPr="00AB3257">
        <w:rPr>
          <w:rStyle w:val="FootnoteReference"/>
          <w:szCs w:val="18"/>
        </w:rPr>
        <w:footnoteRef/>
      </w:r>
      <w:r w:rsidR="00AB3257" w:rsidRPr="00AB3257">
        <w:rPr>
          <w:szCs w:val="18"/>
        </w:rPr>
        <w:t xml:space="preserve"> </w:t>
      </w:r>
      <w:r w:rsidR="00AB3257" w:rsidRPr="00AB3257">
        <w:rPr>
          <w:szCs w:val="18"/>
        </w:rPr>
        <w:tab/>
      </w:r>
      <w:r w:rsidRPr="00AB3257">
        <w:rPr>
          <w:szCs w:val="18"/>
        </w:rPr>
        <w:t>Résultats escomptés du programme et budget pour les exercices biennaux 2014</w:t>
      </w:r>
      <w:r w:rsidR="00AB3257">
        <w:rPr>
          <w:szCs w:val="18"/>
        </w:rPr>
        <w:noBreakHyphen/>
      </w:r>
      <w:r w:rsidRPr="00AB3257">
        <w:rPr>
          <w:szCs w:val="18"/>
        </w:rPr>
        <w:t>2015, 2016</w:t>
      </w:r>
      <w:r w:rsidR="00AB3257">
        <w:rPr>
          <w:szCs w:val="18"/>
        </w:rPr>
        <w:noBreakHyphen/>
      </w:r>
      <w:r w:rsidRPr="00AB3257">
        <w:rPr>
          <w:szCs w:val="18"/>
        </w:rPr>
        <w:t>2017 et 2018</w:t>
      </w:r>
      <w:r w:rsidR="00AB3257">
        <w:rPr>
          <w:szCs w:val="18"/>
        </w:rPr>
        <w:noBreakHyphen/>
      </w:r>
      <w:r w:rsidRPr="00AB3257">
        <w:rPr>
          <w:szCs w:val="18"/>
        </w:rPr>
        <w:t xml:space="preserve">2019, </w:t>
      </w:r>
      <w:r w:rsidR="00507374" w:rsidRPr="00AB3257">
        <w:rPr>
          <w:szCs w:val="18"/>
        </w:rPr>
        <w:t>à savoir</w:t>
      </w:r>
      <w:r w:rsidRPr="00AB3257">
        <w:rPr>
          <w:szCs w:val="18"/>
        </w:rPr>
        <w:t xml:space="preserve"> V.1</w:t>
      </w:r>
      <w:r w:rsidR="00507374" w:rsidRPr="00AB3257">
        <w:rPr>
          <w:szCs w:val="18"/>
        </w:rPr>
        <w:t> :</w:t>
      </w:r>
      <w:r w:rsidRPr="00AB3257">
        <w:rPr>
          <w:szCs w:val="18"/>
        </w:rPr>
        <w:t xml:space="preserve"> utilisation plus large et plus efficace de l</w:t>
      </w:r>
      <w:r w:rsidR="00507374" w:rsidRPr="00AB3257">
        <w:rPr>
          <w:szCs w:val="18"/>
        </w:rPr>
        <w:t>’</w:t>
      </w:r>
      <w:r w:rsidRPr="00AB3257">
        <w:rPr>
          <w:szCs w:val="18"/>
        </w:rPr>
        <w:t>information statistique de l</w:t>
      </w:r>
      <w:r w:rsidR="00507374" w:rsidRPr="00AB3257">
        <w:rPr>
          <w:szCs w:val="18"/>
        </w:rPr>
        <w:t>’</w:t>
      </w:r>
      <w:r w:rsidRPr="00AB3257">
        <w:rPr>
          <w:szCs w:val="18"/>
        </w:rPr>
        <w:t>OMPI en matière de propriété intellectuelle et V.2</w:t>
      </w:r>
      <w:r w:rsidR="00507374" w:rsidRPr="00AB3257">
        <w:rPr>
          <w:szCs w:val="18"/>
        </w:rPr>
        <w:t> :</w:t>
      </w:r>
      <w:r w:rsidRPr="00AB3257">
        <w:rPr>
          <w:szCs w:val="18"/>
        </w:rPr>
        <w:t xml:space="preserve"> utilisation plus large et plus efficace des analyses économiques de l</w:t>
      </w:r>
      <w:r w:rsidR="00507374" w:rsidRPr="00AB3257">
        <w:rPr>
          <w:szCs w:val="18"/>
        </w:rPr>
        <w:t>’</w:t>
      </w:r>
      <w:r w:rsidRPr="00AB3257">
        <w:rPr>
          <w:szCs w:val="18"/>
        </w:rPr>
        <w:t>OMPI aux fins de l</w:t>
      </w:r>
      <w:r w:rsidR="00507374" w:rsidRPr="00AB3257">
        <w:rPr>
          <w:szCs w:val="18"/>
        </w:rPr>
        <w:t>’</w:t>
      </w:r>
      <w:r w:rsidRPr="00AB3257">
        <w:rPr>
          <w:szCs w:val="18"/>
        </w:rPr>
        <w:t>élaboration des politiques.</w:t>
      </w:r>
    </w:p>
  </w:footnote>
  <w:footnote w:id="3">
    <w:p w14:paraId="2D8575AD" w14:textId="2E8186EE" w:rsidR="00E045F1" w:rsidRPr="00AB3257" w:rsidRDefault="00E045F1" w:rsidP="00AB3257">
      <w:pPr>
        <w:pStyle w:val="FootnoteText"/>
        <w:tabs>
          <w:tab w:val="left" w:pos="567"/>
        </w:tabs>
        <w:rPr>
          <w:szCs w:val="18"/>
        </w:rPr>
      </w:pPr>
      <w:r w:rsidRPr="00AB3257">
        <w:rPr>
          <w:rStyle w:val="FootnoteReference"/>
          <w:szCs w:val="18"/>
        </w:rPr>
        <w:footnoteRef/>
      </w:r>
      <w:r w:rsidRPr="00AB3257">
        <w:rPr>
          <w:szCs w:val="18"/>
        </w:rPr>
        <w:t xml:space="preserve"> </w:t>
      </w:r>
      <w:r w:rsidR="00AB3257">
        <w:rPr>
          <w:szCs w:val="18"/>
        </w:rPr>
        <w:tab/>
      </w:r>
      <w:r w:rsidRPr="00AB3257">
        <w:rPr>
          <w:szCs w:val="18"/>
        </w:rPr>
        <w:t>Recommandation n° 35</w:t>
      </w:r>
      <w:r w:rsidR="00507374" w:rsidRPr="00AB3257">
        <w:rPr>
          <w:szCs w:val="18"/>
        </w:rPr>
        <w:t> :</w:t>
      </w:r>
      <w:r w:rsidRPr="00AB3257">
        <w:rPr>
          <w:szCs w:val="18"/>
        </w:rPr>
        <w:t xml:space="preserve"> Demander à l</w:t>
      </w:r>
      <w:r w:rsidR="00507374" w:rsidRPr="00AB3257">
        <w:rPr>
          <w:szCs w:val="18"/>
        </w:rPr>
        <w:t>’</w:t>
      </w:r>
      <w:r w:rsidRPr="00AB3257">
        <w:rPr>
          <w:szCs w:val="18"/>
        </w:rPr>
        <w:t>OMPI de réaliser, à la demande des États membres, de nouvelles études pour évaluer l</w:t>
      </w:r>
      <w:r w:rsidR="00507374" w:rsidRPr="00AB3257">
        <w:rPr>
          <w:szCs w:val="18"/>
        </w:rPr>
        <w:t>’</w:t>
      </w:r>
      <w:r w:rsidRPr="00AB3257">
        <w:rPr>
          <w:szCs w:val="18"/>
        </w:rPr>
        <w:t>incidence économique, sociale et culturelle de l</w:t>
      </w:r>
      <w:r w:rsidR="00507374" w:rsidRPr="00AB3257">
        <w:rPr>
          <w:szCs w:val="18"/>
        </w:rPr>
        <w:t>’</w:t>
      </w:r>
      <w:r w:rsidRPr="00AB3257">
        <w:rPr>
          <w:szCs w:val="18"/>
        </w:rPr>
        <w:t>utilisation des systèmes de propriété intellectuelle dans ces États.</w:t>
      </w:r>
    </w:p>
  </w:footnote>
  <w:footnote w:id="4">
    <w:p w14:paraId="74003D45" w14:textId="3A222E7B" w:rsidR="00E045F1" w:rsidRPr="00AB3257" w:rsidRDefault="00E045F1" w:rsidP="00AB3257">
      <w:pPr>
        <w:pStyle w:val="FootnoteText"/>
        <w:tabs>
          <w:tab w:val="left" w:pos="567"/>
        </w:tabs>
        <w:rPr>
          <w:szCs w:val="18"/>
        </w:rPr>
      </w:pPr>
      <w:r w:rsidRPr="00AB3257">
        <w:rPr>
          <w:rStyle w:val="FootnoteReference"/>
          <w:szCs w:val="18"/>
        </w:rPr>
        <w:footnoteRef/>
      </w:r>
      <w:r w:rsidRPr="00AB3257">
        <w:rPr>
          <w:szCs w:val="18"/>
        </w:rPr>
        <w:t xml:space="preserve"> </w:t>
      </w:r>
      <w:r w:rsidR="00AB3257">
        <w:rPr>
          <w:szCs w:val="18"/>
        </w:rPr>
        <w:tab/>
      </w:r>
      <w:r w:rsidRPr="00AB3257">
        <w:rPr>
          <w:szCs w:val="18"/>
        </w:rPr>
        <w:t>Recommandation n° 37</w:t>
      </w:r>
      <w:r w:rsidR="00507374" w:rsidRPr="00AB3257">
        <w:rPr>
          <w:szCs w:val="18"/>
        </w:rPr>
        <w:t> :</w:t>
      </w:r>
      <w:r w:rsidRPr="00AB3257">
        <w:rPr>
          <w:szCs w:val="18"/>
        </w:rPr>
        <w:t xml:space="preserve"> À la demande des États membres et selon leurs instructions, l</w:t>
      </w:r>
      <w:r w:rsidR="00507374" w:rsidRPr="00AB3257">
        <w:rPr>
          <w:szCs w:val="18"/>
        </w:rPr>
        <w:t>’</w:t>
      </w:r>
      <w:r w:rsidRPr="00AB3257">
        <w:rPr>
          <w:szCs w:val="18"/>
        </w:rPr>
        <w:t>OMPI peut réaliser des études sur la protection de la propriété intellectuelle afin de déterminer les liens et les incidences possibles entre propriété intellectuelle et développement.</w:t>
      </w:r>
    </w:p>
  </w:footnote>
  <w:footnote w:id="5">
    <w:p w14:paraId="483B6E96" w14:textId="0779A24C" w:rsidR="00E045F1" w:rsidRPr="00AB3257" w:rsidRDefault="00E045F1" w:rsidP="00AB3257">
      <w:pPr>
        <w:pStyle w:val="FootnoteText"/>
        <w:tabs>
          <w:tab w:val="left" w:pos="567"/>
        </w:tabs>
        <w:rPr>
          <w:szCs w:val="18"/>
        </w:rPr>
      </w:pPr>
      <w:r w:rsidRPr="00AB3257">
        <w:rPr>
          <w:rStyle w:val="FootnoteReference"/>
          <w:szCs w:val="18"/>
        </w:rPr>
        <w:footnoteRef/>
      </w:r>
      <w:r w:rsidRPr="00AB3257">
        <w:rPr>
          <w:szCs w:val="18"/>
        </w:rPr>
        <w:t xml:space="preserve"> </w:t>
      </w:r>
      <w:r w:rsidR="00523444">
        <w:rPr>
          <w:szCs w:val="18"/>
        </w:rPr>
        <w:tab/>
      </w:r>
      <w:r w:rsidRPr="00AB3257">
        <w:rPr>
          <w:szCs w:val="18"/>
        </w:rPr>
        <w:t>Les résultats de tous les projets relevant du Plan d</w:t>
      </w:r>
      <w:r w:rsidR="00507374" w:rsidRPr="00AB3257">
        <w:rPr>
          <w:szCs w:val="18"/>
        </w:rPr>
        <w:t>’</w:t>
      </w:r>
      <w:r w:rsidRPr="00AB3257">
        <w:rPr>
          <w:szCs w:val="18"/>
        </w:rPr>
        <w:t xml:space="preserve">action pour le développement sont répertoriés dans le </w:t>
      </w:r>
      <w:hyperlink r:id="rId1" w:history="1">
        <w:r w:rsidRPr="00AB3257">
          <w:rPr>
            <w:rStyle w:val="Hyperlink"/>
            <w:szCs w:val="18"/>
          </w:rPr>
          <w:t>Catalogue des projets et des résultats</w:t>
        </w:r>
        <w:r w:rsidR="00507374" w:rsidRPr="00AB3257">
          <w:rPr>
            <w:rStyle w:val="Hyperlink"/>
            <w:szCs w:val="18"/>
          </w:rPr>
          <w:t xml:space="preserve"> du PAD</w:t>
        </w:r>
      </w:hyperlink>
      <w:r w:rsidRPr="00AB3257">
        <w:rPr>
          <w:szCs w:val="18"/>
        </w:rPr>
        <w:t>.</w:t>
      </w:r>
    </w:p>
  </w:footnote>
  <w:footnote w:id="6">
    <w:p w14:paraId="2B0E4756" w14:textId="39198397" w:rsidR="00E045F1" w:rsidRPr="00AB3257" w:rsidRDefault="00E045F1" w:rsidP="00AB3257">
      <w:pPr>
        <w:pStyle w:val="FootnoteText"/>
        <w:tabs>
          <w:tab w:val="left" w:pos="567"/>
        </w:tabs>
        <w:rPr>
          <w:szCs w:val="18"/>
        </w:rPr>
      </w:pPr>
      <w:r w:rsidRPr="00AB3257">
        <w:rPr>
          <w:rStyle w:val="FootnoteReference"/>
          <w:szCs w:val="18"/>
        </w:rPr>
        <w:footnoteRef/>
      </w:r>
      <w:r w:rsidR="00523444">
        <w:rPr>
          <w:szCs w:val="18"/>
        </w:rPr>
        <w:t xml:space="preserve"> </w:t>
      </w:r>
      <w:r w:rsidR="00523444">
        <w:rPr>
          <w:szCs w:val="18"/>
        </w:rPr>
        <w:tab/>
      </w:r>
      <w:r w:rsidRPr="00AB3257">
        <w:rPr>
          <w:szCs w:val="18"/>
        </w:rPr>
        <w:t>Résultats escomptés du programme et budget pour les exercices biennaux 2014</w:t>
      </w:r>
      <w:r w:rsidR="00AB3257">
        <w:rPr>
          <w:szCs w:val="18"/>
        </w:rPr>
        <w:noBreakHyphen/>
      </w:r>
      <w:r w:rsidRPr="00AB3257">
        <w:rPr>
          <w:szCs w:val="18"/>
        </w:rPr>
        <w:t>2015, 2016</w:t>
      </w:r>
      <w:r w:rsidR="00AB3257">
        <w:rPr>
          <w:szCs w:val="18"/>
        </w:rPr>
        <w:noBreakHyphen/>
      </w:r>
      <w:r w:rsidRPr="00AB3257">
        <w:rPr>
          <w:szCs w:val="18"/>
        </w:rPr>
        <w:t>2017 et 2018</w:t>
      </w:r>
      <w:r w:rsidR="00AB3257">
        <w:rPr>
          <w:szCs w:val="18"/>
        </w:rPr>
        <w:noBreakHyphen/>
      </w:r>
      <w:r w:rsidRPr="00AB3257">
        <w:rPr>
          <w:szCs w:val="18"/>
        </w:rPr>
        <w:t>2019.</w:t>
      </w:r>
    </w:p>
  </w:footnote>
  <w:footnote w:id="7">
    <w:p w14:paraId="5DD375B9" w14:textId="57F6ECF7" w:rsidR="00E045F1" w:rsidRPr="00AB3257" w:rsidRDefault="00E045F1" w:rsidP="00AB3257">
      <w:pPr>
        <w:pStyle w:val="FootnoteText"/>
        <w:tabs>
          <w:tab w:val="left" w:pos="567"/>
        </w:tabs>
        <w:rPr>
          <w:szCs w:val="18"/>
        </w:rPr>
      </w:pPr>
      <w:r w:rsidRPr="00AB3257">
        <w:rPr>
          <w:rStyle w:val="FootnoteReference"/>
          <w:szCs w:val="18"/>
        </w:rPr>
        <w:footnoteRef/>
      </w:r>
      <w:r w:rsidRPr="00AB3257">
        <w:rPr>
          <w:szCs w:val="18"/>
        </w:rPr>
        <w:t xml:space="preserve"> </w:t>
      </w:r>
      <w:r w:rsidR="00444006" w:rsidRPr="00AB3257">
        <w:rPr>
          <w:szCs w:val="18"/>
        </w:rPr>
        <w:tab/>
      </w:r>
      <w:r w:rsidRPr="00AB3257">
        <w:rPr>
          <w:szCs w:val="18"/>
        </w:rPr>
        <w:t>La théorie du changement reconstituée du projet a été élaborée par la Section de l</w:t>
      </w:r>
      <w:r w:rsidR="00507374" w:rsidRPr="00AB3257">
        <w:rPr>
          <w:szCs w:val="18"/>
        </w:rPr>
        <w:t>’</w:t>
      </w:r>
      <w:r w:rsidRPr="00AB3257">
        <w:rPr>
          <w:szCs w:val="18"/>
        </w:rPr>
        <w:t>évaluation de la Division de la supervision interne, en collaboration avec la Division de coordination du Plan d</w:t>
      </w:r>
      <w:r w:rsidR="00507374" w:rsidRPr="00AB3257">
        <w:rPr>
          <w:szCs w:val="18"/>
        </w:rPr>
        <w:t>’</w:t>
      </w:r>
      <w:r w:rsidRPr="00AB3257">
        <w:rPr>
          <w:szCs w:val="18"/>
        </w:rPr>
        <w:t>action pour le développement et le Secteur des écosystèmes de propriété intellectuelle et d</w:t>
      </w:r>
      <w:r w:rsidR="00507374" w:rsidRPr="00AB3257">
        <w:rPr>
          <w:szCs w:val="18"/>
        </w:rPr>
        <w:t>’</w:t>
      </w:r>
      <w:r w:rsidRPr="00AB3257">
        <w:rPr>
          <w:szCs w:val="18"/>
        </w:rPr>
        <w:t>innovation.</w:t>
      </w:r>
    </w:p>
  </w:footnote>
  <w:footnote w:id="8">
    <w:p w14:paraId="14581EFD" w14:textId="08012214" w:rsidR="00E045F1" w:rsidRPr="00AB3257" w:rsidRDefault="00E045F1" w:rsidP="00AB3257">
      <w:pPr>
        <w:pStyle w:val="FootnoteText"/>
        <w:tabs>
          <w:tab w:val="left" w:pos="567"/>
        </w:tabs>
        <w:rPr>
          <w:szCs w:val="18"/>
        </w:rPr>
      </w:pPr>
      <w:r w:rsidRPr="00AB3257">
        <w:rPr>
          <w:rStyle w:val="FootnoteReference"/>
          <w:szCs w:val="18"/>
        </w:rPr>
        <w:footnoteRef/>
      </w:r>
      <w:r w:rsidRPr="00AB3257">
        <w:rPr>
          <w:szCs w:val="18"/>
        </w:rPr>
        <w:t xml:space="preserve"> </w:t>
      </w:r>
      <w:r w:rsidR="00A26EB3">
        <w:rPr>
          <w:szCs w:val="18"/>
        </w:rPr>
        <w:tab/>
      </w:r>
      <w:r w:rsidRPr="00AB3257">
        <w:rPr>
          <w:szCs w:val="18"/>
        </w:rPr>
        <w:t>L</w:t>
      </w:r>
      <w:r w:rsidR="00507374" w:rsidRPr="00AB3257">
        <w:rPr>
          <w:szCs w:val="18"/>
        </w:rPr>
        <w:t>’</w:t>
      </w:r>
      <w:r w:rsidRPr="00AB3257">
        <w:rPr>
          <w:szCs w:val="18"/>
        </w:rPr>
        <w:t>enquête en ligne destinée aux parties prenantes était disponible en français, en anglais et en espagnol.</w:t>
      </w:r>
    </w:p>
  </w:footnote>
  <w:footnote w:id="9">
    <w:p w14:paraId="13A98F27" w14:textId="7069C496" w:rsidR="00E045F1" w:rsidRPr="00AB3257" w:rsidRDefault="00E045F1" w:rsidP="00AB3257">
      <w:pPr>
        <w:pStyle w:val="FootnoteText"/>
        <w:tabs>
          <w:tab w:val="left" w:pos="567"/>
        </w:tabs>
        <w:rPr>
          <w:szCs w:val="18"/>
        </w:rPr>
      </w:pPr>
      <w:r w:rsidRPr="00AB3257">
        <w:rPr>
          <w:rStyle w:val="FootnoteReference"/>
          <w:szCs w:val="18"/>
        </w:rPr>
        <w:footnoteRef/>
      </w:r>
      <w:r w:rsidRPr="00AB3257">
        <w:rPr>
          <w:szCs w:val="18"/>
        </w:rPr>
        <w:t xml:space="preserve"> </w:t>
      </w:r>
      <w:r w:rsidR="00A26EB3">
        <w:rPr>
          <w:szCs w:val="18"/>
        </w:rPr>
        <w:tab/>
      </w:r>
      <w:r w:rsidRPr="00AB3257">
        <w:rPr>
          <w:szCs w:val="18"/>
        </w:rPr>
        <w:t>Résultats de l</w:t>
      </w:r>
      <w:r w:rsidR="00507374" w:rsidRPr="00AB3257">
        <w:rPr>
          <w:szCs w:val="18"/>
        </w:rPr>
        <w:t>’</w:t>
      </w:r>
      <w:r w:rsidRPr="00AB3257">
        <w:rPr>
          <w:szCs w:val="18"/>
        </w:rPr>
        <w:t>enquête auprès des parties prenantes.</w:t>
      </w:r>
    </w:p>
  </w:footnote>
  <w:footnote w:id="10">
    <w:p w14:paraId="6AE58A55" w14:textId="24A7A781" w:rsidR="00E045F1" w:rsidRPr="00AB3257" w:rsidRDefault="00E045F1" w:rsidP="00AB3257">
      <w:pPr>
        <w:pStyle w:val="FootnoteText"/>
        <w:tabs>
          <w:tab w:val="left" w:pos="567"/>
        </w:tabs>
        <w:rPr>
          <w:szCs w:val="18"/>
        </w:rPr>
      </w:pPr>
      <w:r w:rsidRPr="00AB3257">
        <w:rPr>
          <w:rStyle w:val="FootnoteReference"/>
          <w:szCs w:val="18"/>
        </w:rPr>
        <w:footnoteRef/>
      </w:r>
      <w:r w:rsidRPr="00AB3257">
        <w:rPr>
          <w:szCs w:val="18"/>
        </w:rPr>
        <w:t xml:space="preserve"> </w:t>
      </w:r>
      <w:r w:rsidR="00A26EB3">
        <w:rPr>
          <w:szCs w:val="18"/>
        </w:rPr>
        <w:tab/>
      </w:r>
      <w:r w:rsidRPr="00AB3257">
        <w:rPr>
          <w:szCs w:val="18"/>
        </w:rPr>
        <w:t>Les indicateurs mondiaux relatifs à la propriété intellectuelle sont publiés chaque année en tant qu</w:t>
      </w:r>
      <w:r w:rsidR="00507374" w:rsidRPr="00AB3257">
        <w:rPr>
          <w:szCs w:val="18"/>
        </w:rPr>
        <w:t>’</w:t>
      </w:r>
      <w:r w:rsidRPr="00AB3257">
        <w:rPr>
          <w:szCs w:val="18"/>
        </w:rPr>
        <w:t>outil destiné, entre autres, aux responsables de l</w:t>
      </w:r>
      <w:r w:rsidR="00507374" w:rsidRPr="00AB3257">
        <w:rPr>
          <w:szCs w:val="18"/>
        </w:rPr>
        <w:t>’</w:t>
      </w:r>
      <w:r w:rsidRPr="00AB3257">
        <w:rPr>
          <w:szCs w:val="18"/>
        </w:rPr>
        <w:t>élaboration des politiques.</w:t>
      </w:r>
    </w:p>
  </w:footnote>
  <w:footnote w:id="11">
    <w:p w14:paraId="02F8BD71" w14:textId="60C3E807" w:rsidR="00E045F1" w:rsidRPr="00AB3257" w:rsidRDefault="00E045F1" w:rsidP="00AB3257">
      <w:pPr>
        <w:pStyle w:val="FootnoteText"/>
        <w:tabs>
          <w:tab w:val="left" w:pos="567"/>
        </w:tabs>
        <w:rPr>
          <w:szCs w:val="18"/>
        </w:rPr>
      </w:pPr>
      <w:r w:rsidRPr="00AB3257">
        <w:rPr>
          <w:rStyle w:val="FootnoteReference"/>
          <w:szCs w:val="18"/>
        </w:rPr>
        <w:footnoteRef/>
      </w:r>
      <w:r w:rsidRPr="00AB3257">
        <w:rPr>
          <w:szCs w:val="18"/>
        </w:rPr>
        <w:t xml:space="preserve"> </w:t>
      </w:r>
      <w:r w:rsidR="00A26EB3">
        <w:rPr>
          <w:szCs w:val="18"/>
        </w:rPr>
        <w:tab/>
      </w:r>
      <w:r w:rsidRPr="00AB3257">
        <w:rPr>
          <w:szCs w:val="18"/>
        </w:rPr>
        <w:t>Les études de cas du Brésil et de l</w:t>
      </w:r>
      <w:r w:rsidR="00507374" w:rsidRPr="00AB3257">
        <w:rPr>
          <w:szCs w:val="18"/>
        </w:rPr>
        <w:t>’</w:t>
      </w:r>
      <w:r w:rsidRPr="00AB3257">
        <w:rPr>
          <w:szCs w:val="18"/>
        </w:rPr>
        <w:t>Indonésie figurent à la page </w:t>
      </w:r>
      <w:r w:rsidR="00AD2343">
        <w:rPr>
          <w:szCs w:val="18"/>
        </w:rPr>
        <w:t>20</w:t>
      </w:r>
      <w:r w:rsidRPr="00AB3257">
        <w:rPr>
          <w:szCs w:val="18"/>
        </w:rPr>
        <w:t>.</w:t>
      </w:r>
    </w:p>
  </w:footnote>
  <w:footnote w:id="12">
    <w:p w14:paraId="1B885485" w14:textId="091AA564" w:rsidR="00E045F1" w:rsidRPr="00AB3257" w:rsidRDefault="00E045F1" w:rsidP="00AB3257">
      <w:pPr>
        <w:pStyle w:val="FootnoteText"/>
        <w:tabs>
          <w:tab w:val="left" w:pos="567"/>
        </w:tabs>
        <w:rPr>
          <w:szCs w:val="18"/>
        </w:rPr>
      </w:pPr>
      <w:r w:rsidRPr="00AB3257">
        <w:rPr>
          <w:rStyle w:val="FootnoteReference"/>
          <w:szCs w:val="18"/>
        </w:rPr>
        <w:footnoteRef/>
      </w:r>
      <w:r w:rsidRPr="00AB3257">
        <w:rPr>
          <w:szCs w:val="18"/>
        </w:rPr>
        <w:t xml:space="preserve"> </w:t>
      </w:r>
      <w:r w:rsidR="00A26EB3">
        <w:rPr>
          <w:szCs w:val="18"/>
        </w:rPr>
        <w:tab/>
      </w:r>
      <w:r w:rsidRPr="00AB3257">
        <w:rPr>
          <w:szCs w:val="18"/>
        </w:rPr>
        <w:t>Les études de cas du Brésil et de l</w:t>
      </w:r>
      <w:r w:rsidR="00507374" w:rsidRPr="00AB3257">
        <w:rPr>
          <w:szCs w:val="18"/>
        </w:rPr>
        <w:t>’</w:t>
      </w:r>
      <w:r w:rsidRPr="00AB3257">
        <w:rPr>
          <w:szCs w:val="18"/>
        </w:rPr>
        <w:t>Indonésie figurent à la page </w:t>
      </w:r>
      <w:r w:rsidR="00AD2343">
        <w:rPr>
          <w:szCs w:val="18"/>
        </w:rPr>
        <w:t>20</w:t>
      </w:r>
      <w:r w:rsidRPr="00AB3257">
        <w:rPr>
          <w:szCs w:val="18"/>
        </w:rPr>
        <w:t>.</w:t>
      </w:r>
    </w:p>
  </w:footnote>
  <w:footnote w:id="13">
    <w:p w14:paraId="581F3C32" w14:textId="41DDE065" w:rsidR="00E045F1" w:rsidRPr="00AB3257" w:rsidRDefault="00E045F1" w:rsidP="00AB3257">
      <w:pPr>
        <w:pStyle w:val="pf0"/>
        <w:tabs>
          <w:tab w:val="left" w:pos="567"/>
        </w:tabs>
        <w:rPr>
          <w:rFonts w:ascii="Arial" w:hAnsi="Arial" w:cs="Arial"/>
          <w:sz w:val="18"/>
          <w:szCs w:val="18"/>
          <w:lang w:val="fr-CH"/>
        </w:rPr>
      </w:pPr>
      <w:r w:rsidRPr="00AB3257">
        <w:rPr>
          <w:rStyle w:val="FootnoteReference"/>
          <w:rFonts w:ascii="Arial" w:hAnsi="Arial" w:cs="Arial"/>
          <w:sz w:val="18"/>
          <w:szCs w:val="18"/>
          <w:lang w:val="fr-CH"/>
        </w:rPr>
        <w:footnoteRef/>
      </w:r>
      <w:r w:rsidRPr="00AB3257">
        <w:rPr>
          <w:rFonts w:ascii="Arial" w:hAnsi="Arial" w:cs="Arial"/>
          <w:sz w:val="18"/>
          <w:szCs w:val="18"/>
          <w:lang w:val="fr-CH"/>
        </w:rPr>
        <w:t xml:space="preserve"> </w:t>
      </w:r>
      <w:r w:rsidR="00AD2343">
        <w:rPr>
          <w:rFonts w:ascii="Arial" w:hAnsi="Arial" w:cs="Arial"/>
          <w:sz w:val="18"/>
          <w:szCs w:val="18"/>
          <w:lang w:val="fr-CH"/>
        </w:rPr>
        <w:tab/>
      </w:r>
      <w:hyperlink r:id="rId2" w:history="1">
        <w:r w:rsidR="00AD2343" w:rsidRPr="00283115">
          <w:rPr>
            <w:rStyle w:val="Hyperlink"/>
            <w:rFonts w:ascii="Arial" w:hAnsi="Arial" w:cs="Arial"/>
            <w:sz w:val="18"/>
            <w:szCs w:val="18"/>
            <w:lang w:val="fr-CH"/>
          </w:rPr>
          <w:t>https://www.wipo.int/publications/fr/</w:t>
        </w:r>
      </w:hyperlink>
      <w:r w:rsidRPr="00AB3257">
        <w:rPr>
          <w:rFonts w:ascii="Arial" w:hAnsi="Arial" w:cs="Arial"/>
          <w:sz w:val="18"/>
          <w:szCs w:val="18"/>
          <w:lang w:val="fr-CH"/>
        </w:rPr>
        <w:t xml:space="preserve"> et </w:t>
      </w:r>
      <w:hyperlink r:id="rId3" w:history="1">
        <w:r w:rsidRPr="00AB3257">
          <w:rPr>
            <w:rStyle w:val="Hyperlink"/>
            <w:rFonts w:ascii="Arial" w:hAnsi="Arial" w:cs="Arial"/>
            <w:sz w:val="18"/>
            <w:szCs w:val="18"/>
            <w:lang w:val="fr-CH"/>
          </w:rPr>
          <w:t>https://dacatalogue.wipo.int/projects</w:t>
        </w:r>
      </w:hyperlink>
      <w:r w:rsidR="00AD2343" w:rsidRPr="00AD2343">
        <w:rPr>
          <w:rStyle w:val="Hyperlink"/>
          <w:rFonts w:ascii="Arial" w:hAnsi="Arial" w:cs="Arial"/>
          <w:color w:val="auto"/>
          <w:sz w:val="18"/>
          <w:szCs w:val="18"/>
          <w:u w:val="none"/>
          <w:lang w:val="fr-CH"/>
        </w:rPr>
        <w:t>.</w:t>
      </w:r>
    </w:p>
  </w:footnote>
  <w:footnote w:id="14">
    <w:p w14:paraId="41553EC1" w14:textId="3493CDC5" w:rsidR="00E045F1" w:rsidRPr="00AB3257" w:rsidRDefault="00E045F1" w:rsidP="00AB3257">
      <w:pPr>
        <w:pStyle w:val="FootnoteText"/>
        <w:tabs>
          <w:tab w:val="left" w:pos="567"/>
        </w:tabs>
        <w:rPr>
          <w:szCs w:val="18"/>
        </w:rPr>
      </w:pPr>
      <w:r w:rsidRPr="00AB3257">
        <w:rPr>
          <w:rStyle w:val="FootnoteReference"/>
          <w:szCs w:val="18"/>
        </w:rPr>
        <w:footnoteRef/>
      </w:r>
      <w:r w:rsidRPr="00AB3257">
        <w:rPr>
          <w:szCs w:val="18"/>
        </w:rPr>
        <w:t xml:space="preserve"> </w:t>
      </w:r>
      <w:r w:rsidR="00AD2343">
        <w:rPr>
          <w:szCs w:val="18"/>
        </w:rPr>
        <w:tab/>
      </w:r>
      <w:r w:rsidRPr="00AB3257">
        <w:rPr>
          <w:szCs w:val="18"/>
        </w:rPr>
        <w:t>Adapté du modèle de changement en matière de politiques publiques de Kingdon et Stano (1984), lui</w:t>
      </w:r>
      <w:r w:rsidR="00AB3257">
        <w:rPr>
          <w:szCs w:val="18"/>
        </w:rPr>
        <w:noBreakHyphen/>
      </w:r>
      <w:r w:rsidRPr="00AB3257">
        <w:rPr>
          <w:szCs w:val="18"/>
        </w:rPr>
        <w:t xml:space="preserve">même adapté par Douthwaite </w:t>
      </w:r>
      <w:r w:rsidRPr="00AB3257">
        <w:rPr>
          <w:i/>
          <w:iCs/>
          <w:szCs w:val="18"/>
        </w:rPr>
        <w:t>et al</w:t>
      </w:r>
      <w:r w:rsidRPr="00AB3257">
        <w:rPr>
          <w:szCs w:val="18"/>
        </w:rPr>
        <w:t>.</w:t>
      </w:r>
      <w:r w:rsidRPr="00AB3257">
        <w:rPr>
          <w:i/>
          <w:szCs w:val="18"/>
        </w:rPr>
        <w:t xml:space="preserve"> </w:t>
      </w:r>
      <w:r w:rsidRPr="00AB3257">
        <w:rPr>
          <w:szCs w:val="18"/>
        </w:rPr>
        <w:t>(2022).</w:t>
      </w:r>
    </w:p>
  </w:footnote>
  <w:footnote w:id="15">
    <w:p w14:paraId="7E553DDD" w14:textId="7A65F65D" w:rsidR="00E045F1" w:rsidRPr="00AB3257" w:rsidRDefault="00E045F1" w:rsidP="00AB3257">
      <w:pPr>
        <w:pStyle w:val="FootnoteText"/>
        <w:tabs>
          <w:tab w:val="left" w:pos="567"/>
        </w:tabs>
        <w:rPr>
          <w:szCs w:val="18"/>
        </w:rPr>
      </w:pPr>
      <w:r w:rsidRPr="00AB3257">
        <w:rPr>
          <w:rStyle w:val="FootnoteReference"/>
          <w:szCs w:val="18"/>
        </w:rPr>
        <w:footnoteRef/>
      </w:r>
      <w:r w:rsidRPr="00AB3257">
        <w:rPr>
          <w:szCs w:val="18"/>
        </w:rPr>
        <w:t xml:space="preserve"> </w:t>
      </w:r>
      <w:r w:rsidR="00AD2343">
        <w:rPr>
          <w:szCs w:val="18"/>
        </w:rPr>
        <w:tab/>
      </w:r>
      <w:r w:rsidRPr="00AB3257">
        <w:rPr>
          <w:szCs w:val="18"/>
        </w:rPr>
        <w:t>Understanding the Use of Industrial Designs in ASEAN Countries (2018), disponible à l</w:t>
      </w:r>
      <w:r w:rsidR="00507374" w:rsidRPr="00AB3257">
        <w:rPr>
          <w:szCs w:val="18"/>
        </w:rPr>
        <w:t>’</w:t>
      </w:r>
      <w:r w:rsidRPr="00AB3257">
        <w:rPr>
          <w:szCs w:val="18"/>
        </w:rPr>
        <w:t>adresse suivante</w:t>
      </w:r>
      <w:r w:rsidR="00507374" w:rsidRPr="00AB3257">
        <w:rPr>
          <w:szCs w:val="18"/>
        </w:rPr>
        <w:t> :</w:t>
      </w:r>
      <w:r w:rsidRPr="00AB3257">
        <w:rPr>
          <w:szCs w:val="18"/>
        </w:rPr>
        <w:t xml:space="preserve"> </w:t>
      </w:r>
      <w:hyperlink r:id="rId4" w:history="1">
        <w:r w:rsidRPr="00AB3257">
          <w:rPr>
            <w:rStyle w:val="Hyperlink"/>
            <w:szCs w:val="18"/>
          </w:rPr>
          <w:t>https://tind.wipo.int/record/29067</w:t>
        </w:r>
      </w:hyperlink>
      <w:r w:rsidR="00AD2343" w:rsidRPr="00AD2343">
        <w:rPr>
          <w:rStyle w:val="Hyperlink"/>
          <w:color w:val="auto"/>
          <w:szCs w:val="18"/>
          <w:u w:val="none"/>
        </w:rPr>
        <w:t>.</w:t>
      </w:r>
    </w:p>
  </w:footnote>
  <w:footnote w:id="16">
    <w:p w14:paraId="273339A1" w14:textId="2C506CB0" w:rsidR="00E045F1" w:rsidRPr="00AB3257" w:rsidRDefault="00E045F1" w:rsidP="00AB3257">
      <w:pPr>
        <w:pStyle w:val="FootnoteText"/>
        <w:tabs>
          <w:tab w:val="left" w:pos="567"/>
        </w:tabs>
        <w:rPr>
          <w:szCs w:val="18"/>
        </w:rPr>
      </w:pPr>
      <w:r w:rsidRPr="00AB3257">
        <w:rPr>
          <w:rStyle w:val="FootnoteReference"/>
          <w:szCs w:val="18"/>
        </w:rPr>
        <w:footnoteRef/>
      </w:r>
      <w:r w:rsidRPr="00AB3257">
        <w:rPr>
          <w:szCs w:val="18"/>
        </w:rPr>
        <w:t xml:space="preserve"> </w:t>
      </w:r>
      <w:r w:rsidR="00AD2343">
        <w:rPr>
          <w:szCs w:val="18"/>
        </w:rPr>
        <w:tab/>
      </w:r>
      <w:r w:rsidRPr="00AB3257">
        <w:rPr>
          <w:szCs w:val="18"/>
        </w:rPr>
        <w:t>Entretien avec un informateur clé, 3 juillet 2023.</w:t>
      </w:r>
    </w:p>
  </w:footnote>
  <w:footnote w:id="17">
    <w:p w14:paraId="73369028" w14:textId="24665EED" w:rsidR="00E045F1" w:rsidRPr="00AB3257" w:rsidRDefault="00E045F1" w:rsidP="00AB3257">
      <w:pPr>
        <w:pStyle w:val="FootnoteText"/>
        <w:tabs>
          <w:tab w:val="left" w:pos="567"/>
        </w:tabs>
        <w:rPr>
          <w:szCs w:val="18"/>
        </w:rPr>
      </w:pPr>
      <w:r w:rsidRPr="00AB3257">
        <w:rPr>
          <w:rStyle w:val="FootnoteReference"/>
          <w:szCs w:val="18"/>
        </w:rPr>
        <w:footnoteRef/>
      </w:r>
      <w:r w:rsidRPr="00AB3257">
        <w:rPr>
          <w:szCs w:val="18"/>
        </w:rPr>
        <w:t xml:space="preserve"> </w:t>
      </w:r>
      <w:r w:rsidR="00AD2343">
        <w:rPr>
          <w:szCs w:val="18"/>
        </w:rPr>
        <w:tab/>
      </w:r>
      <w:r w:rsidRPr="00AB3257">
        <w:rPr>
          <w:szCs w:val="18"/>
        </w:rPr>
        <w:t>Groupe de réflexion, 26 juin 2023</w:t>
      </w:r>
    </w:p>
  </w:footnote>
  <w:footnote w:id="18">
    <w:p w14:paraId="0F4530FE" w14:textId="5A5DBEFB" w:rsidR="00E045F1" w:rsidRPr="00AB3257" w:rsidRDefault="00E045F1" w:rsidP="00AB3257">
      <w:pPr>
        <w:pStyle w:val="FootnoteText"/>
        <w:tabs>
          <w:tab w:val="left" w:pos="567"/>
        </w:tabs>
        <w:rPr>
          <w:szCs w:val="18"/>
        </w:rPr>
      </w:pPr>
      <w:r w:rsidRPr="00AB3257">
        <w:rPr>
          <w:rStyle w:val="FootnoteReference"/>
          <w:szCs w:val="18"/>
        </w:rPr>
        <w:footnoteRef/>
      </w:r>
      <w:r w:rsidRPr="00AB3257">
        <w:rPr>
          <w:szCs w:val="18"/>
        </w:rPr>
        <w:t xml:space="preserve"> </w:t>
      </w:r>
      <w:r w:rsidR="00AD2343">
        <w:rPr>
          <w:szCs w:val="18"/>
        </w:rPr>
        <w:tab/>
      </w:r>
      <w:r w:rsidRPr="00AB3257">
        <w:rPr>
          <w:szCs w:val="18"/>
        </w:rPr>
        <w:t>Global Innovation Hotspots, 2022, disponible à l</w:t>
      </w:r>
      <w:r w:rsidR="00507374" w:rsidRPr="00AB3257">
        <w:rPr>
          <w:szCs w:val="18"/>
        </w:rPr>
        <w:t>’</w:t>
      </w:r>
      <w:r w:rsidRPr="00AB3257">
        <w:rPr>
          <w:szCs w:val="18"/>
        </w:rPr>
        <w:t>adresse suivante</w:t>
      </w:r>
      <w:r w:rsidR="00507374" w:rsidRPr="00AB3257">
        <w:rPr>
          <w:szCs w:val="18"/>
        </w:rPr>
        <w:t> :</w:t>
      </w:r>
      <w:r w:rsidRPr="00AB3257">
        <w:rPr>
          <w:szCs w:val="18"/>
        </w:rPr>
        <w:t xml:space="preserve"> </w:t>
      </w:r>
      <w:hyperlink r:id="rId5" w:history="1">
        <w:r w:rsidRPr="00AB3257">
          <w:rPr>
            <w:rStyle w:val="Hyperlink"/>
            <w:szCs w:val="18"/>
          </w:rPr>
          <w:t>https://www.wipo.int/edocs/pubdocs/en/wipo</w:t>
        </w:r>
        <w:r w:rsidR="00AB3257">
          <w:rPr>
            <w:rStyle w:val="Hyperlink"/>
            <w:szCs w:val="18"/>
          </w:rPr>
          <w:noBreakHyphen/>
        </w:r>
        <w:r w:rsidRPr="00AB3257">
          <w:rPr>
            <w:rStyle w:val="Hyperlink"/>
            <w:szCs w:val="18"/>
          </w:rPr>
          <w:t>pub</w:t>
        </w:r>
        <w:r w:rsidR="00AB3257">
          <w:rPr>
            <w:rStyle w:val="Hyperlink"/>
            <w:szCs w:val="18"/>
          </w:rPr>
          <w:noBreakHyphen/>
        </w:r>
        <w:r w:rsidRPr="00AB3257">
          <w:rPr>
            <w:rStyle w:val="Hyperlink"/>
            <w:szCs w:val="18"/>
          </w:rPr>
          <w:t>gih</w:t>
        </w:r>
        <w:r w:rsidR="00AB3257">
          <w:rPr>
            <w:rStyle w:val="Hyperlink"/>
            <w:szCs w:val="18"/>
          </w:rPr>
          <w:noBreakHyphen/>
        </w:r>
        <w:r w:rsidRPr="00AB3257">
          <w:rPr>
            <w:rStyle w:val="Hyperlink"/>
            <w:szCs w:val="18"/>
          </w:rPr>
          <w:t>brazil</w:t>
        </w:r>
        <w:r w:rsidR="00AB3257">
          <w:rPr>
            <w:rStyle w:val="Hyperlink"/>
            <w:szCs w:val="18"/>
          </w:rPr>
          <w:noBreakHyphen/>
        </w:r>
        <w:r w:rsidRPr="00AB3257">
          <w:rPr>
            <w:rStyle w:val="Hyperlink"/>
            <w:szCs w:val="18"/>
          </w:rPr>
          <w:t>en</w:t>
        </w:r>
        <w:r w:rsidR="00AB3257">
          <w:rPr>
            <w:rStyle w:val="Hyperlink"/>
            <w:szCs w:val="18"/>
          </w:rPr>
          <w:noBreakHyphen/>
        </w:r>
        <w:r w:rsidRPr="00AB3257">
          <w:rPr>
            <w:rStyle w:val="Hyperlink"/>
            <w:szCs w:val="18"/>
          </w:rPr>
          <w:t>global</w:t>
        </w:r>
        <w:r w:rsidR="00AB3257">
          <w:rPr>
            <w:rStyle w:val="Hyperlink"/>
            <w:szCs w:val="18"/>
          </w:rPr>
          <w:noBreakHyphen/>
        </w:r>
        <w:r w:rsidRPr="00AB3257">
          <w:rPr>
            <w:rStyle w:val="Hyperlink"/>
            <w:szCs w:val="18"/>
          </w:rPr>
          <w:t>innovation</w:t>
        </w:r>
        <w:r w:rsidR="00AB3257">
          <w:rPr>
            <w:rStyle w:val="Hyperlink"/>
            <w:szCs w:val="18"/>
          </w:rPr>
          <w:noBreakHyphen/>
        </w:r>
        <w:r w:rsidRPr="00AB3257">
          <w:rPr>
            <w:rStyle w:val="Hyperlink"/>
            <w:szCs w:val="18"/>
          </w:rPr>
          <w:t>hotspots</w:t>
        </w:r>
        <w:r w:rsidR="00AB3257">
          <w:rPr>
            <w:rStyle w:val="Hyperlink"/>
            <w:szCs w:val="18"/>
          </w:rPr>
          <w:noBreakHyphen/>
        </w:r>
        <w:r w:rsidRPr="00AB3257">
          <w:rPr>
            <w:rStyle w:val="Hyperlink"/>
            <w:szCs w:val="18"/>
          </w:rPr>
          <w:t>a</w:t>
        </w:r>
        <w:r w:rsidR="00AB3257">
          <w:rPr>
            <w:rStyle w:val="Hyperlink"/>
            <w:szCs w:val="18"/>
          </w:rPr>
          <w:noBreakHyphen/>
        </w:r>
        <w:r w:rsidRPr="00AB3257">
          <w:rPr>
            <w:rStyle w:val="Hyperlink"/>
            <w:szCs w:val="18"/>
          </w:rPr>
          <w:t>case</w:t>
        </w:r>
        <w:r w:rsidR="00AB3257">
          <w:rPr>
            <w:rStyle w:val="Hyperlink"/>
            <w:szCs w:val="18"/>
          </w:rPr>
          <w:noBreakHyphen/>
        </w:r>
        <w:r w:rsidRPr="00AB3257">
          <w:rPr>
            <w:rStyle w:val="Hyperlink"/>
            <w:szCs w:val="18"/>
          </w:rPr>
          <w:t>study</w:t>
        </w:r>
        <w:r w:rsidR="00AB3257">
          <w:rPr>
            <w:rStyle w:val="Hyperlink"/>
            <w:szCs w:val="18"/>
          </w:rPr>
          <w:noBreakHyphen/>
        </w:r>
        <w:r w:rsidRPr="00AB3257">
          <w:rPr>
            <w:rStyle w:val="Hyperlink"/>
            <w:szCs w:val="18"/>
          </w:rPr>
          <w:t>of</w:t>
        </w:r>
        <w:r w:rsidR="00AB3257">
          <w:rPr>
            <w:rStyle w:val="Hyperlink"/>
            <w:szCs w:val="18"/>
          </w:rPr>
          <w:noBreakHyphen/>
        </w:r>
        <w:r w:rsidRPr="00AB3257">
          <w:rPr>
            <w:rStyle w:val="Hyperlink"/>
            <w:szCs w:val="18"/>
          </w:rPr>
          <w:t>s%C3%A3o</w:t>
        </w:r>
        <w:r w:rsidR="00AB3257">
          <w:rPr>
            <w:rStyle w:val="Hyperlink"/>
            <w:szCs w:val="18"/>
          </w:rPr>
          <w:noBreakHyphen/>
        </w:r>
        <w:r w:rsidRPr="00AB3257">
          <w:rPr>
            <w:rStyle w:val="Hyperlink"/>
            <w:szCs w:val="18"/>
          </w:rPr>
          <w:t>paulo</w:t>
        </w:r>
        <w:r w:rsidR="00AB3257">
          <w:rPr>
            <w:rStyle w:val="Hyperlink"/>
            <w:szCs w:val="18"/>
          </w:rPr>
          <w:noBreakHyphen/>
        </w:r>
        <w:r w:rsidRPr="00AB3257">
          <w:rPr>
            <w:rStyle w:val="Hyperlink"/>
            <w:szCs w:val="18"/>
          </w:rPr>
          <w:t>s</w:t>
        </w:r>
        <w:r w:rsidR="00AB3257">
          <w:rPr>
            <w:rStyle w:val="Hyperlink"/>
            <w:szCs w:val="18"/>
          </w:rPr>
          <w:noBreakHyphen/>
        </w:r>
        <w:r w:rsidRPr="00AB3257">
          <w:rPr>
            <w:rStyle w:val="Hyperlink"/>
            <w:szCs w:val="18"/>
          </w:rPr>
          <w:t>innovation</w:t>
        </w:r>
        <w:r w:rsidR="00AB3257">
          <w:rPr>
            <w:rStyle w:val="Hyperlink"/>
            <w:szCs w:val="18"/>
          </w:rPr>
          <w:noBreakHyphen/>
        </w:r>
        <w:r w:rsidRPr="00AB3257">
          <w:rPr>
            <w:rStyle w:val="Hyperlink"/>
            <w:szCs w:val="18"/>
          </w:rPr>
          <w:t>ecosystem</w:t>
        </w:r>
        <w:r w:rsidR="00AB3257">
          <w:rPr>
            <w:rStyle w:val="Hyperlink"/>
            <w:szCs w:val="18"/>
          </w:rPr>
          <w:noBreakHyphen/>
        </w:r>
        <w:r w:rsidRPr="00AB3257">
          <w:rPr>
            <w:rStyle w:val="Hyperlink"/>
            <w:szCs w:val="18"/>
          </w:rPr>
          <w:t>local</w:t>
        </w:r>
        <w:r w:rsidR="00AB3257">
          <w:rPr>
            <w:rStyle w:val="Hyperlink"/>
            <w:szCs w:val="18"/>
          </w:rPr>
          <w:noBreakHyphen/>
        </w:r>
        <w:r w:rsidRPr="00AB3257">
          <w:rPr>
            <w:rStyle w:val="Hyperlink"/>
            <w:szCs w:val="18"/>
          </w:rPr>
          <w:t>capabilities</w:t>
        </w:r>
        <w:r w:rsidR="00AB3257">
          <w:rPr>
            <w:rStyle w:val="Hyperlink"/>
            <w:szCs w:val="18"/>
          </w:rPr>
          <w:noBreakHyphen/>
        </w:r>
        <w:r w:rsidRPr="00AB3257">
          <w:rPr>
            <w:rStyle w:val="Hyperlink"/>
            <w:szCs w:val="18"/>
          </w:rPr>
          <w:t>and</w:t>
        </w:r>
        <w:r w:rsidR="00AB3257">
          <w:rPr>
            <w:rStyle w:val="Hyperlink"/>
            <w:szCs w:val="18"/>
          </w:rPr>
          <w:noBreakHyphen/>
        </w:r>
        <w:r w:rsidRPr="00AB3257">
          <w:rPr>
            <w:rStyle w:val="Hyperlink"/>
            <w:szCs w:val="18"/>
          </w:rPr>
          <w:t>global</w:t>
        </w:r>
        <w:r w:rsidR="00AB3257">
          <w:rPr>
            <w:rStyle w:val="Hyperlink"/>
            <w:szCs w:val="18"/>
          </w:rPr>
          <w:noBreakHyphen/>
        </w:r>
        <w:r w:rsidRPr="00AB3257">
          <w:rPr>
            <w:rStyle w:val="Hyperlink"/>
            <w:szCs w:val="18"/>
          </w:rPr>
          <w:t>networks.pdf</w:t>
        </w:r>
      </w:hyperlink>
      <w:r w:rsidR="00AD2343" w:rsidRPr="00AD2343">
        <w:rPr>
          <w:rStyle w:val="Hyperlink"/>
          <w:color w:val="auto"/>
          <w:szCs w:val="18"/>
          <w:u w:val="none"/>
        </w:rPr>
        <w:t>.</w:t>
      </w:r>
    </w:p>
  </w:footnote>
  <w:footnote w:id="19">
    <w:p w14:paraId="6C752775" w14:textId="634D984E" w:rsidR="00E045F1" w:rsidRPr="00AB3257" w:rsidRDefault="00E045F1" w:rsidP="00AB3257">
      <w:pPr>
        <w:pStyle w:val="FootnoteText"/>
        <w:tabs>
          <w:tab w:val="left" w:pos="567"/>
        </w:tabs>
        <w:rPr>
          <w:szCs w:val="18"/>
        </w:rPr>
      </w:pPr>
      <w:r w:rsidRPr="00AB3257">
        <w:rPr>
          <w:rStyle w:val="FootnoteReference"/>
          <w:szCs w:val="18"/>
        </w:rPr>
        <w:footnoteRef/>
      </w:r>
      <w:r w:rsidRPr="00AB3257">
        <w:rPr>
          <w:szCs w:val="18"/>
        </w:rPr>
        <w:t xml:space="preserve"> </w:t>
      </w:r>
      <w:r w:rsidR="00AD2343">
        <w:rPr>
          <w:szCs w:val="18"/>
        </w:rPr>
        <w:tab/>
      </w:r>
      <w:r w:rsidRPr="00AB3257">
        <w:rPr>
          <w:szCs w:val="18"/>
        </w:rPr>
        <w:t>Enquête auprès des parties prenantes.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5CFC7" w14:textId="77777777" w:rsidR="00A133B5" w:rsidRDefault="00A133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C27F" w14:textId="77777777" w:rsidR="00A133B5" w:rsidRDefault="00A133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3D7F5" w14:textId="77777777" w:rsidR="00A133B5" w:rsidRDefault="00A133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0192D" w14:textId="77777777" w:rsidR="00F16975" w:rsidRPr="00B45C15" w:rsidRDefault="00E045F1" w:rsidP="00477D6B">
    <w:pPr>
      <w:jc w:val="right"/>
      <w:rPr>
        <w:caps/>
      </w:rPr>
    </w:pPr>
    <w:bookmarkStart w:id="85" w:name="Code2"/>
    <w:bookmarkEnd w:id="85"/>
    <w:r>
      <w:rPr>
        <w:caps/>
      </w:rPr>
      <w:t>CDIP/31/8</w:t>
    </w:r>
  </w:p>
  <w:p w14:paraId="2983B46B" w14:textId="00982188" w:rsidR="00574036" w:rsidRDefault="00A508D4" w:rsidP="00A508D4">
    <w:pPr>
      <w:spacing w:after="480"/>
      <w:jc w:val="right"/>
    </w:pPr>
    <w:r>
      <w:t xml:space="preserve">Annexe, </w:t>
    </w:r>
    <w:r w:rsidR="00F16975">
      <w:t>page</w:t>
    </w:r>
    <w:r>
      <w:t> </w:t>
    </w:r>
    <w:r w:rsidR="00F16975">
      <w:fldChar w:fldCharType="begin"/>
    </w:r>
    <w:r w:rsidR="00F16975">
      <w:instrText xml:space="preserve"> PAGE  \* MERGEFORMAT </w:instrText>
    </w:r>
    <w:r w:rsidR="00F16975">
      <w:fldChar w:fldCharType="separate"/>
    </w:r>
    <w:r w:rsidR="00B45C15">
      <w:rPr>
        <w:noProof/>
      </w:rPr>
      <w:t>2</w:t>
    </w:r>
    <w:r w:rsidR="00F16975">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958AD" w14:textId="0F30913B" w:rsidR="00A508D4" w:rsidRDefault="00A508D4" w:rsidP="00A508D4">
    <w:pPr>
      <w:pStyle w:val="Header"/>
      <w:jc w:val="right"/>
    </w:pPr>
    <w:r>
      <w:t>CDIP/31/8</w:t>
    </w:r>
  </w:p>
  <w:p w14:paraId="5540441F" w14:textId="42C9272D" w:rsidR="00A508D4" w:rsidRDefault="00A508D4" w:rsidP="00A508D4">
    <w:pPr>
      <w:pStyle w:val="Heade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0EA5003"/>
    <w:multiLevelType w:val="hybridMultilevel"/>
    <w:tmpl w:val="9482C732"/>
    <w:lvl w:ilvl="0" w:tplc="51BC2670">
      <w:start w:val="2"/>
      <w:numFmt w:val="upperLetter"/>
      <w:lvlText w:val="%1)"/>
      <w:lvlJc w:val="left"/>
      <w:pPr>
        <w:ind w:left="128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FE1849"/>
    <w:multiLevelType w:val="hybridMultilevel"/>
    <w:tmpl w:val="7C425E0E"/>
    <w:lvl w:ilvl="0" w:tplc="D8049E7C">
      <w:start w:val="1"/>
      <w:numFmt w:val="lowerLetter"/>
      <w:lvlText w:val="%1)"/>
      <w:lvlJc w:val="left"/>
      <w:pPr>
        <w:tabs>
          <w:tab w:val="num" w:pos="600"/>
        </w:tabs>
        <w:ind w:left="600" w:hanging="360"/>
      </w:pPr>
      <w:rPr>
        <w:rFonts w:ascii="Arial" w:hAnsi="Arial" w:cs="DejaVu Sans" w:hint="default"/>
        <w:color w:val="231F20"/>
        <w:w w:val="100"/>
        <w:sz w:val="22"/>
        <w:szCs w:val="18"/>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0A6D3181"/>
    <w:multiLevelType w:val="hybridMultilevel"/>
    <w:tmpl w:val="8CCA8ADE"/>
    <w:lvl w:ilvl="0" w:tplc="D92270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C60C1"/>
    <w:multiLevelType w:val="hybridMultilevel"/>
    <w:tmpl w:val="27D8D5B8"/>
    <w:lvl w:ilvl="0" w:tplc="95BE4284">
      <w:start w:val="1"/>
      <w:numFmt w:val="lowerLetter"/>
      <w:lvlText w:val="%1)"/>
      <w:lvlJc w:val="left"/>
      <w:pPr>
        <w:tabs>
          <w:tab w:val="num" w:pos="600"/>
        </w:tabs>
        <w:ind w:left="600" w:hanging="360"/>
      </w:pPr>
      <w:rPr>
        <w:rFonts w:ascii="Arial" w:hAnsi="Arial" w:cs="DejaVu Sans" w:hint="default"/>
        <w:color w:val="231F20"/>
        <w:w w:val="100"/>
        <w:sz w:val="22"/>
        <w:szCs w:val="18"/>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A24A9D"/>
    <w:multiLevelType w:val="hybridMultilevel"/>
    <w:tmpl w:val="75DE2C92"/>
    <w:lvl w:ilvl="0" w:tplc="84BEDD86">
      <w:start w:val="3"/>
      <w:numFmt w:val="upperLetter"/>
      <w:lvlText w:val="%1)"/>
      <w:lvlJc w:val="left"/>
      <w:pPr>
        <w:ind w:left="128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545011C"/>
    <w:multiLevelType w:val="hybridMultilevel"/>
    <w:tmpl w:val="7610ACE4"/>
    <w:lvl w:ilvl="0" w:tplc="10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CA7567"/>
    <w:multiLevelType w:val="hybridMultilevel"/>
    <w:tmpl w:val="6F28C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2A5CF3"/>
    <w:multiLevelType w:val="hybridMultilevel"/>
    <w:tmpl w:val="27F2D8B4"/>
    <w:lvl w:ilvl="0" w:tplc="ACBC1BE0">
      <w:start w:val="2"/>
      <w:numFmt w:val="upperLetter"/>
      <w:lvlText w:val="%1)"/>
      <w:lvlJc w:val="left"/>
      <w:pPr>
        <w:ind w:left="128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A605557"/>
    <w:multiLevelType w:val="hybridMultilevel"/>
    <w:tmpl w:val="45F4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FB2052"/>
    <w:multiLevelType w:val="multilevel"/>
    <w:tmpl w:val="8654C0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B0264C"/>
    <w:multiLevelType w:val="hybridMultilevel"/>
    <w:tmpl w:val="6E066BF4"/>
    <w:lvl w:ilvl="0" w:tplc="FFFFFFFF">
      <w:start w:val="1"/>
      <w:numFmt w:val="decimal"/>
      <w:lvlText w:val="%1."/>
      <w:lvlJc w:val="left"/>
      <w:pPr>
        <w:tabs>
          <w:tab w:val="num" w:pos="-57"/>
        </w:tabs>
        <w:ind w:left="964" w:hanging="680"/>
      </w:pPr>
      <w:rPr>
        <w:rFonts w:ascii="Arial" w:hAnsi="Arial" w:cs="Times New Roman" w:hint="default"/>
        <w:b w:val="0"/>
        <w:i w:val="0"/>
        <w:sz w:val="22"/>
        <w:szCs w:val="22"/>
      </w:rPr>
    </w:lvl>
    <w:lvl w:ilvl="1" w:tplc="FFFFFFFF">
      <w:start w:val="6"/>
      <w:numFmt w:val="bullet"/>
      <w:lvlText w:val="-"/>
      <w:lvlJc w:val="left"/>
      <w:pPr>
        <w:tabs>
          <w:tab w:val="num" w:pos="1440"/>
        </w:tabs>
        <w:ind w:left="1440" w:hanging="360"/>
      </w:pPr>
      <w:rPr>
        <w:rFonts w:ascii="Arial" w:eastAsia="SimSun" w:hAnsi="Arial" w:cs="Aria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3A4B7F33"/>
    <w:multiLevelType w:val="hybridMultilevel"/>
    <w:tmpl w:val="1AF2F624"/>
    <w:lvl w:ilvl="0" w:tplc="739E0A3C">
      <w:start w:val="3"/>
      <w:numFmt w:val="upperLetter"/>
      <w:lvlText w:val="%1)"/>
      <w:lvlJc w:val="left"/>
      <w:pPr>
        <w:ind w:left="128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D58083E"/>
    <w:multiLevelType w:val="multilevel"/>
    <w:tmpl w:val="DB0C085E"/>
    <w:lvl w:ilvl="0">
      <w:start w:val="1"/>
      <w:numFmt w:val="decimal"/>
      <w:lvlRestart w:val="0"/>
      <w:lvlText w:val="%1."/>
      <w:lvlJc w:val="left"/>
      <w:pPr>
        <w:tabs>
          <w:tab w:val="num" w:pos="567"/>
        </w:tabs>
        <w:ind w:left="0" w:firstLine="0"/>
      </w:pPr>
      <w:rPr>
        <w:rFonts w:hint="default"/>
        <w:b/>
        <w:i w:val="0"/>
      </w:rPr>
    </w:lvl>
    <w:lvl w:ilvl="1">
      <w:start w:val="1"/>
      <w:numFmt w:val="upperLetter"/>
      <w:pStyle w:val="Heading2"/>
      <w:lvlText w:val="%2)"/>
      <w:lvlJc w:val="left"/>
      <w:pPr>
        <w:ind w:left="927" w:hanging="36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15:restartNumberingAfterBreak="0">
    <w:nsid w:val="41E5259E"/>
    <w:multiLevelType w:val="hybridMultilevel"/>
    <w:tmpl w:val="B99AEFAA"/>
    <w:lvl w:ilvl="0" w:tplc="FF40F412">
      <w:start w:val="1"/>
      <w:numFmt w:val="lowerLetter"/>
      <w:lvlText w:val="%1)"/>
      <w:lvlJc w:val="left"/>
      <w:pPr>
        <w:tabs>
          <w:tab w:val="num" w:pos="600"/>
        </w:tabs>
        <w:ind w:left="600" w:hanging="360"/>
      </w:pPr>
      <w:rPr>
        <w:rFonts w:ascii="Arial" w:hAnsi="Arial" w:cs="DejaVu Sans" w:hint="default"/>
        <w:color w:val="231F20"/>
        <w:w w:val="100"/>
        <w:sz w:val="22"/>
        <w:szCs w:val="18"/>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F476B6"/>
    <w:multiLevelType w:val="hybridMultilevel"/>
    <w:tmpl w:val="0D48D36A"/>
    <w:lvl w:ilvl="0" w:tplc="081C9172">
      <w:start w:val="1"/>
      <w:numFmt w:val="lowerLetter"/>
      <w:lvlText w:val="%1)"/>
      <w:lvlJc w:val="left"/>
      <w:pPr>
        <w:tabs>
          <w:tab w:val="num" w:pos="600"/>
        </w:tabs>
        <w:ind w:left="600" w:hanging="360"/>
      </w:pPr>
      <w:rPr>
        <w:rFonts w:ascii="Arial" w:hAnsi="Arial" w:cs="DejaVu Sans" w:hint="default"/>
        <w:color w:val="231F20"/>
        <w:w w:val="100"/>
        <w:sz w:val="22"/>
        <w:szCs w:val="18"/>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0" w15:restartNumberingAfterBreak="0">
    <w:nsid w:val="47E152AD"/>
    <w:multiLevelType w:val="hybridMultilevel"/>
    <w:tmpl w:val="0E2AB76E"/>
    <w:lvl w:ilvl="0" w:tplc="9F8656D4">
      <w:start w:val="1"/>
      <w:numFmt w:val="lowerLetter"/>
      <w:lvlText w:val="%1)"/>
      <w:lvlJc w:val="left"/>
      <w:pPr>
        <w:tabs>
          <w:tab w:val="num" w:pos="600"/>
        </w:tabs>
        <w:ind w:left="600" w:hanging="360"/>
      </w:pPr>
      <w:rPr>
        <w:rFonts w:ascii="Arial" w:hAnsi="Arial" w:cs="DejaVu Sans" w:hint="default"/>
        <w:color w:val="231F20"/>
        <w:w w:val="100"/>
        <w:sz w:val="22"/>
        <w:szCs w:val="18"/>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1" w15:restartNumberingAfterBreak="0">
    <w:nsid w:val="481F01AA"/>
    <w:multiLevelType w:val="hybridMultilevel"/>
    <w:tmpl w:val="182CAA36"/>
    <w:lvl w:ilvl="0" w:tplc="318AF7C4">
      <w:start w:val="2"/>
      <w:numFmt w:val="upperLetter"/>
      <w:lvlText w:val="%1)"/>
      <w:lvlJc w:val="left"/>
      <w:pPr>
        <w:ind w:left="128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9F326D1"/>
    <w:multiLevelType w:val="multilevel"/>
    <w:tmpl w:val="40323398"/>
    <w:lvl w:ilvl="0">
      <w:start w:val="1"/>
      <w:numFmt w:val="lowerLetter"/>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2136AB"/>
    <w:multiLevelType w:val="hybridMultilevel"/>
    <w:tmpl w:val="F2287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F16F19"/>
    <w:multiLevelType w:val="hybridMultilevel"/>
    <w:tmpl w:val="6E066BF4"/>
    <w:lvl w:ilvl="0" w:tplc="B63EE4E8">
      <w:start w:val="1"/>
      <w:numFmt w:val="decimal"/>
      <w:lvlText w:val="%1."/>
      <w:lvlJc w:val="left"/>
      <w:pPr>
        <w:tabs>
          <w:tab w:val="num" w:pos="-57"/>
        </w:tabs>
        <w:ind w:left="964" w:hanging="680"/>
      </w:pPr>
      <w:rPr>
        <w:rFonts w:ascii="Arial" w:hAnsi="Arial" w:cs="Times New Roman" w:hint="default"/>
        <w:b w:val="0"/>
        <w:i w:val="0"/>
        <w:sz w:val="22"/>
        <w:szCs w:val="22"/>
      </w:rPr>
    </w:lvl>
    <w:lvl w:ilvl="1" w:tplc="122217C4">
      <w:start w:val="6"/>
      <w:numFmt w:val="bullet"/>
      <w:lvlText w:val="-"/>
      <w:lvlJc w:val="left"/>
      <w:pPr>
        <w:tabs>
          <w:tab w:val="num" w:pos="1440"/>
        </w:tabs>
        <w:ind w:left="1440" w:hanging="360"/>
      </w:pPr>
      <w:rPr>
        <w:rFonts w:ascii="Arial" w:eastAsia="SimSun" w:hAnsi="Arial" w:cs="Aria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5873EFE"/>
    <w:multiLevelType w:val="hybridMultilevel"/>
    <w:tmpl w:val="A18E6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53451D"/>
    <w:multiLevelType w:val="hybridMultilevel"/>
    <w:tmpl w:val="37E6D036"/>
    <w:lvl w:ilvl="0" w:tplc="A656B8DA">
      <w:start w:val="1"/>
      <w:numFmt w:val="upperLetter"/>
      <w:lvlText w:val="%1)"/>
      <w:lvlJc w:val="left"/>
      <w:pPr>
        <w:ind w:left="128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D867AD8"/>
    <w:multiLevelType w:val="hybridMultilevel"/>
    <w:tmpl w:val="9E9648DC"/>
    <w:lvl w:ilvl="0" w:tplc="A4CC9894">
      <w:start w:val="1"/>
      <w:numFmt w:val="lowerLetter"/>
      <w:lvlText w:val="%1)"/>
      <w:lvlJc w:val="left"/>
      <w:pPr>
        <w:tabs>
          <w:tab w:val="num" w:pos="600"/>
        </w:tabs>
        <w:ind w:left="600" w:hanging="360"/>
      </w:pPr>
      <w:rPr>
        <w:rFonts w:ascii="Arial" w:hAnsi="Arial" w:cs="DejaVu Sans" w:hint="default"/>
        <w:color w:val="231F20"/>
        <w:w w:val="100"/>
        <w:sz w:val="22"/>
        <w:szCs w:val="18"/>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9" w15:restartNumberingAfterBreak="0">
    <w:nsid w:val="6D907498"/>
    <w:multiLevelType w:val="hybridMultilevel"/>
    <w:tmpl w:val="87AC48FE"/>
    <w:lvl w:ilvl="0" w:tplc="3A74EFBA">
      <w:start w:val="1"/>
      <w:numFmt w:val="upperLetter"/>
      <w:lvlText w:val="%1)"/>
      <w:lvlJc w:val="left"/>
      <w:pPr>
        <w:ind w:left="1282" w:hanging="360"/>
      </w:pPr>
      <w:rPr>
        <w:rFonts w:hint="default"/>
      </w:rPr>
    </w:lvl>
    <w:lvl w:ilvl="1" w:tplc="040C0019" w:tentative="1">
      <w:start w:val="1"/>
      <w:numFmt w:val="lowerLetter"/>
      <w:lvlText w:val="%2."/>
      <w:lvlJc w:val="left"/>
      <w:pPr>
        <w:ind w:left="2002" w:hanging="360"/>
      </w:pPr>
    </w:lvl>
    <w:lvl w:ilvl="2" w:tplc="040C001B" w:tentative="1">
      <w:start w:val="1"/>
      <w:numFmt w:val="lowerRoman"/>
      <w:lvlText w:val="%3."/>
      <w:lvlJc w:val="right"/>
      <w:pPr>
        <w:ind w:left="2722" w:hanging="180"/>
      </w:pPr>
    </w:lvl>
    <w:lvl w:ilvl="3" w:tplc="040C000F" w:tentative="1">
      <w:start w:val="1"/>
      <w:numFmt w:val="decimal"/>
      <w:lvlText w:val="%4."/>
      <w:lvlJc w:val="left"/>
      <w:pPr>
        <w:ind w:left="3442" w:hanging="360"/>
      </w:pPr>
    </w:lvl>
    <w:lvl w:ilvl="4" w:tplc="040C0019" w:tentative="1">
      <w:start w:val="1"/>
      <w:numFmt w:val="lowerLetter"/>
      <w:lvlText w:val="%5."/>
      <w:lvlJc w:val="left"/>
      <w:pPr>
        <w:ind w:left="4162" w:hanging="360"/>
      </w:pPr>
    </w:lvl>
    <w:lvl w:ilvl="5" w:tplc="040C001B" w:tentative="1">
      <w:start w:val="1"/>
      <w:numFmt w:val="lowerRoman"/>
      <w:lvlText w:val="%6."/>
      <w:lvlJc w:val="right"/>
      <w:pPr>
        <w:ind w:left="4882" w:hanging="180"/>
      </w:pPr>
    </w:lvl>
    <w:lvl w:ilvl="6" w:tplc="040C000F" w:tentative="1">
      <w:start w:val="1"/>
      <w:numFmt w:val="decimal"/>
      <w:lvlText w:val="%7."/>
      <w:lvlJc w:val="left"/>
      <w:pPr>
        <w:ind w:left="5602" w:hanging="360"/>
      </w:pPr>
    </w:lvl>
    <w:lvl w:ilvl="7" w:tplc="040C0019" w:tentative="1">
      <w:start w:val="1"/>
      <w:numFmt w:val="lowerLetter"/>
      <w:lvlText w:val="%8."/>
      <w:lvlJc w:val="left"/>
      <w:pPr>
        <w:ind w:left="6322" w:hanging="360"/>
      </w:pPr>
    </w:lvl>
    <w:lvl w:ilvl="8" w:tplc="040C001B" w:tentative="1">
      <w:start w:val="1"/>
      <w:numFmt w:val="lowerRoman"/>
      <w:lvlText w:val="%9."/>
      <w:lvlJc w:val="right"/>
      <w:pPr>
        <w:ind w:left="7042" w:hanging="180"/>
      </w:pPr>
    </w:lvl>
  </w:abstractNum>
  <w:abstractNum w:abstractNumId="30" w15:restartNumberingAfterBreak="0">
    <w:nsid w:val="7D810879"/>
    <w:multiLevelType w:val="hybridMultilevel"/>
    <w:tmpl w:val="65FAA9F4"/>
    <w:lvl w:ilvl="0" w:tplc="B6F428EE">
      <w:start w:val="1"/>
      <w:numFmt w:val="upperLetter"/>
      <w:lvlText w:val="%1)"/>
      <w:lvlJc w:val="left"/>
      <w:pPr>
        <w:ind w:left="128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763647199">
    <w:abstractNumId w:val="6"/>
  </w:num>
  <w:num w:numId="2" w16cid:durableId="1514341178">
    <w:abstractNumId w:val="18"/>
  </w:num>
  <w:num w:numId="3" w16cid:durableId="1600137799">
    <w:abstractNumId w:val="0"/>
  </w:num>
  <w:num w:numId="4" w16cid:durableId="2007901379">
    <w:abstractNumId w:val="23"/>
  </w:num>
  <w:num w:numId="5" w16cid:durableId="1962764970">
    <w:abstractNumId w:val="2"/>
  </w:num>
  <w:num w:numId="6" w16cid:durableId="1856072525">
    <w:abstractNumId w:val="8"/>
  </w:num>
  <w:num w:numId="7" w16cid:durableId="1994094980">
    <w:abstractNumId w:val="16"/>
  </w:num>
  <w:num w:numId="8" w16cid:durableId="128209875">
    <w:abstractNumId w:val="25"/>
  </w:num>
  <w:num w:numId="9" w16cid:durableId="389811251">
    <w:abstractNumId w:val="3"/>
  </w:num>
  <w:num w:numId="10" w16cid:durableId="622005865">
    <w:abstractNumId w:val="22"/>
  </w:num>
  <w:num w:numId="11" w16cid:durableId="1978684836">
    <w:abstractNumId w:val="9"/>
  </w:num>
  <w:num w:numId="12" w16cid:durableId="888226451">
    <w:abstractNumId w:val="24"/>
  </w:num>
  <w:num w:numId="13" w16cid:durableId="1086879809">
    <w:abstractNumId w:val="20"/>
  </w:num>
  <w:num w:numId="14" w16cid:durableId="844445318">
    <w:abstractNumId w:val="13"/>
  </w:num>
  <w:num w:numId="15" w16cid:durableId="1812209282">
    <w:abstractNumId w:val="28"/>
  </w:num>
  <w:num w:numId="16" w16cid:durableId="115414885">
    <w:abstractNumId w:val="14"/>
  </w:num>
  <w:num w:numId="17" w16cid:durableId="572468419">
    <w:abstractNumId w:val="19"/>
  </w:num>
  <w:num w:numId="18" w16cid:durableId="1609314592">
    <w:abstractNumId w:val="17"/>
  </w:num>
  <w:num w:numId="19" w16cid:durableId="1657339973">
    <w:abstractNumId w:val="5"/>
  </w:num>
  <w:num w:numId="20" w16cid:durableId="5713087">
    <w:abstractNumId w:val="10"/>
  </w:num>
  <w:num w:numId="21" w16cid:durableId="1492406759">
    <w:abstractNumId w:val="12"/>
  </w:num>
  <w:num w:numId="22" w16cid:durableId="1227374067">
    <w:abstractNumId w:val="26"/>
  </w:num>
  <w:num w:numId="23" w16cid:durableId="1138110466">
    <w:abstractNumId w:val="4"/>
  </w:num>
  <w:num w:numId="24" w16cid:durableId="77092966">
    <w:abstractNumId w:val="11"/>
  </w:num>
  <w:num w:numId="25" w16cid:durableId="2058623238">
    <w:abstractNumId w:val="29"/>
  </w:num>
  <w:num w:numId="26" w16cid:durableId="1010595747">
    <w:abstractNumId w:val="27"/>
  </w:num>
  <w:num w:numId="27" w16cid:durableId="2131779016">
    <w:abstractNumId w:val="21"/>
  </w:num>
  <w:num w:numId="28" w16cid:durableId="193691336">
    <w:abstractNumId w:val="15"/>
  </w:num>
  <w:num w:numId="29" w16cid:durableId="611547579">
    <w:abstractNumId w:val="30"/>
  </w:num>
  <w:num w:numId="30" w16cid:durableId="1172138113">
    <w:abstractNumId w:val="1"/>
  </w:num>
  <w:num w:numId="31" w16cid:durableId="1811046623">
    <w:abstractNumId w:val="7"/>
  </w:num>
  <w:num w:numId="32" w16cid:durableId="415614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5F1"/>
    <w:rsid w:val="00011B7D"/>
    <w:rsid w:val="00020C7E"/>
    <w:rsid w:val="00057CA8"/>
    <w:rsid w:val="00075432"/>
    <w:rsid w:val="000760CD"/>
    <w:rsid w:val="0009458A"/>
    <w:rsid w:val="000F5E56"/>
    <w:rsid w:val="001060FF"/>
    <w:rsid w:val="001362EE"/>
    <w:rsid w:val="001832A6"/>
    <w:rsid w:val="00195C6E"/>
    <w:rsid w:val="001B266A"/>
    <w:rsid w:val="001B488E"/>
    <w:rsid w:val="001C6508"/>
    <w:rsid w:val="001D3D56"/>
    <w:rsid w:val="00240654"/>
    <w:rsid w:val="002634C4"/>
    <w:rsid w:val="00263671"/>
    <w:rsid w:val="00273F13"/>
    <w:rsid w:val="002956DE"/>
    <w:rsid w:val="002D7E82"/>
    <w:rsid w:val="002E4D1A"/>
    <w:rsid w:val="002F16BC"/>
    <w:rsid w:val="002F4E68"/>
    <w:rsid w:val="00322C0B"/>
    <w:rsid w:val="003637BB"/>
    <w:rsid w:val="00381798"/>
    <w:rsid w:val="003845C1"/>
    <w:rsid w:val="003A67A3"/>
    <w:rsid w:val="004008A2"/>
    <w:rsid w:val="004025DF"/>
    <w:rsid w:val="0040540C"/>
    <w:rsid w:val="00423E3E"/>
    <w:rsid w:val="004263EB"/>
    <w:rsid w:val="00427AF4"/>
    <w:rsid w:val="00444006"/>
    <w:rsid w:val="00455A17"/>
    <w:rsid w:val="004647DA"/>
    <w:rsid w:val="00477D6B"/>
    <w:rsid w:val="004D6471"/>
    <w:rsid w:val="00507374"/>
    <w:rsid w:val="0051455D"/>
    <w:rsid w:val="00521E1F"/>
    <w:rsid w:val="00523444"/>
    <w:rsid w:val="00525B63"/>
    <w:rsid w:val="00525E59"/>
    <w:rsid w:val="00535418"/>
    <w:rsid w:val="00541348"/>
    <w:rsid w:val="005421DD"/>
    <w:rsid w:val="00554FA5"/>
    <w:rsid w:val="00567A4C"/>
    <w:rsid w:val="00574036"/>
    <w:rsid w:val="00595F07"/>
    <w:rsid w:val="005A1200"/>
    <w:rsid w:val="005E6516"/>
    <w:rsid w:val="00605827"/>
    <w:rsid w:val="00616671"/>
    <w:rsid w:val="00651A2A"/>
    <w:rsid w:val="006B0DB5"/>
    <w:rsid w:val="006C22D2"/>
    <w:rsid w:val="007461F1"/>
    <w:rsid w:val="007A3663"/>
    <w:rsid w:val="007D6961"/>
    <w:rsid w:val="007F07CB"/>
    <w:rsid w:val="00807C77"/>
    <w:rsid w:val="00810CEF"/>
    <w:rsid w:val="0081208D"/>
    <w:rsid w:val="008821D1"/>
    <w:rsid w:val="00897816"/>
    <w:rsid w:val="008B2CC1"/>
    <w:rsid w:val="008E7930"/>
    <w:rsid w:val="0090731E"/>
    <w:rsid w:val="0094636A"/>
    <w:rsid w:val="00966A22"/>
    <w:rsid w:val="00974CD6"/>
    <w:rsid w:val="009D30E6"/>
    <w:rsid w:val="009E3F6F"/>
    <w:rsid w:val="009F499F"/>
    <w:rsid w:val="00A11D74"/>
    <w:rsid w:val="00A133B5"/>
    <w:rsid w:val="00A26EB3"/>
    <w:rsid w:val="00A508D4"/>
    <w:rsid w:val="00AB3257"/>
    <w:rsid w:val="00AC0AE4"/>
    <w:rsid w:val="00AD2343"/>
    <w:rsid w:val="00AD61DB"/>
    <w:rsid w:val="00AE47C0"/>
    <w:rsid w:val="00B1090C"/>
    <w:rsid w:val="00B35AF5"/>
    <w:rsid w:val="00B37BEF"/>
    <w:rsid w:val="00B45C15"/>
    <w:rsid w:val="00B731CD"/>
    <w:rsid w:val="00BE0BE0"/>
    <w:rsid w:val="00C664C8"/>
    <w:rsid w:val="00CB7532"/>
    <w:rsid w:val="00CF0460"/>
    <w:rsid w:val="00D43E0F"/>
    <w:rsid w:val="00D45252"/>
    <w:rsid w:val="00D61A36"/>
    <w:rsid w:val="00D71B4D"/>
    <w:rsid w:val="00D75C1E"/>
    <w:rsid w:val="00D93D55"/>
    <w:rsid w:val="00DB1C48"/>
    <w:rsid w:val="00DD4917"/>
    <w:rsid w:val="00DD6A16"/>
    <w:rsid w:val="00E0091A"/>
    <w:rsid w:val="00E045F1"/>
    <w:rsid w:val="00E203AA"/>
    <w:rsid w:val="00E5217A"/>
    <w:rsid w:val="00E527A5"/>
    <w:rsid w:val="00E55029"/>
    <w:rsid w:val="00E76456"/>
    <w:rsid w:val="00EE71CB"/>
    <w:rsid w:val="00F16975"/>
    <w:rsid w:val="00F32187"/>
    <w:rsid w:val="00F32753"/>
    <w:rsid w:val="00F66152"/>
    <w:rsid w:val="00F76202"/>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36BC1E"/>
  <w15:docId w15:val="{9675FCAA-592B-433F-AB67-E8ECA7C7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link w:val="Heading1Char"/>
    <w:qFormat/>
    <w:rsid w:val="00AB3257"/>
    <w:pPr>
      <w:keepNext/>
      <w:spacing w:before="240" w:after="240"/>
      <w:outlineLvl w:val="0"/>
    </w:pPr>
    <w:rPr>
      <w:b/>
      <w:bCs/>
      <w:caps/>
      <w:kern w:val="32"/>
      <w:szCs w:val="32"/>
      <w:lang w:val="fr-FR"/>
    </w:rPr>
  </w:style>
  <w:style w:type="paragraph" w:styleId="Heading2">
    <w:name w:val="heading 2"/>
    <w:basedOn w:val="Normal"/>
    <w:next w:val="Normal"/>
    <w:link w:val="Heading2Char"/>
    <w:qFormat/>
    <w:rsid w:val="00444006"/>
    <w:pPr>
      <w:keepNext/>
      <w:numPr>
        <w:ilvl w:val="1"/>
        <w:numId w:val="7"/>
      </w:numPr>
      <w:spacing w:before="240" w:after="240"/>
      <w:outlineLvl w:val="1"/>
    </w:pPr>
    <w:rPr>
      <w:caps/>
      <w:szCs w:val="28"/>
      <w:lang w:val="fr-FR"/>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A508D4"/>
    <w:pPr>
      <w:spacing w:before="720"/>
      <w:ind w:left="5534"/>
    </w:pPr>
    <w:rPr>
      <w:lang w:val="fr-FR"/>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Title">
    <w:name w:val="Title"/>
    <w:basedOn w:val="Heading1"/>
    <w:next w:val="Normal"/>
    <w:link w:val="TitleChar"/>
    <w:qFormat/>
    <w:rsid w:val="00E045F1"/>
    <w:pPr>
      <w:spacing w:before="0" w:after="600"/>
    </w:pPr>
    <w:rPr>
      <w:caps w:val="0"/>
      <w:sz w:val="28"/>
    </w:rPr>
  </w:style>
  <w:style w:type="character" w:customStyle="1" w:styleId="TitleChar">
    <w:name w:val="Title Char"/>
    <w:basedOn w:val="DefaultParagraphFont"/>
    <w:link w:val="Title"/>
    <w:rsid w:val="00E045F1"/>
    <w:rPr>
      <w:rFonts w:ascii="Arial" w:eastAsia="SimSun" w:hAnsi="Arial" w:cs="Arial"/>
      <w:b/>
      <w:bCs/>
      <w:kern w:val="32"/>
      <w:sz w:val="28"/>
      <w:szCs w:val="32"/>
      <w:lang w:eastAsia="zh-CN"/>
    </w:rPr>
  </w:style>
  <w:style w:type="character" w:styleId="PageNumber">
    <w:name w:val="page number"/>
    <w:basedOn w:val="DefaultParagraphFont"/>
    <w:rsid w:val="00E045F1"/>
  </w:style>
  <w:style w:type="character" w:customStyle="1" w:styleId="HeaderChar">
    <w:name w:val="Header Char"/>
    <w:basedOn w:val="DefaultParagraphFont"/>
    <w:link w:val="Header"/>
    <w:uiPriority w:val="99"/>
    <w:locked/>
    <w:rsid w:val="00E045F1"/>
    <w:rPr>
      <w:rFonts w:ascii="Arial" w:eastAsia="SimSun" w:hAnsi="Arial" w:cs="Arial"/>
      <w:sz w:val="22"/>
      <w:lang w:eastAsia="zh-CN"/>
    </w:rPr>
  </w:style>
  <w:style w:type="table" w:styleId="TableGrid">
    <w:name w:val="Table Grid"/>
    <w:basedOn w:val="TableNormal"/>
    <w:uiPriority w:val="39"/>
    <w:rsid w:val="00E045F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E045F1"/>
    <w:pPr>
      <w:tabs>
        <w:tab w:val="left" w:pos="993"/>
        <w:tab w:val="right" w:leader="dot" w:pos="9345"/>
      </w:tabs>
      <w:ind w:left="440"/>
    </w:pPr>
    <w:rPr>
      <w:lang w:val="en-GB"/>
    </w:rPr>
  </w:style>
  <w:style w:type="paragraph" w:styleId="TOC1">
    <w:name w:val="toc 1"/>
    <w:basedOn w:val="Normal"/>
    <w:next w:val="Normal"/>
    <w:autoRedefine/>
    <w:uiPriority w:val="39"/>
    <w:rsid w:val="00AB3257"/>
    <w:pPr>
      <w:tabs>
        <w:tab w:val="left" w:pos="567"/>
        <w:tab w:val="right" w:leader="dot" w:pos="9345"/>
      </w:tabs>
      <w:spacing w:before="120" w:after="120"/>
    </w:pPr>
    <w:rPr>
      <w:rFonts w:ascii="arial bold" w:hAnsi="arial bold"/>
      <w:b/>
      <w:caps/>
      <w:lang w:val="en-GB"/>
    </w:rPr>
  </w:style>
  <w:style w:type="paragraph" w:styleId="TOC2">
    <w:name w:val="toc 2"/>
    <w:basedOn w:val="Normal"/>
    <w:next w:val="Normal"/>
    <w:autoRedefine/>
    <w:uiPriority w:val="39"/>
    <w:rsid w:val="00AB3257"/>
    <w:pPr>
      <w:tabs>
        <w:tab w:val="left" w:pos="1134"/>
        <w:tab w:val="right" w:leader="dot" w:pos="9345"/>
      </w:tabs>
      <w:spacing w:before="120" w:after="120"/>
      <w:ind w:left="567"/>
    </w:pPr>
    <w:rPr>
      <w:caps/>
      <w:lang w:val="en-GB"/>
    </w:rPr>
  </w:style>
  <w:style w:type="character" w:styleId="Hyperlink">
    <w:name w:val="Hyperlink"/>
    <w:basedOn w:val="DefaultParagraphFont"/>
    <w:uiPriority w:val="99"/>
    <w:rsid w:val="00E045F1"/>
    <w:rPr>
      <w:color w:val="0000FF"/>
      <w:u w:val="single"/>
    </w:rPr>
  </w:style>
  <w:style w:type="paragraph" w:customStyle="1" w:styleId="StyleBoldBefore3pt">
    <w:name w:val="Style Bold Before:  3 pt"/>
    <w:basedOn w:val="Normal"/>
    <w:rsid w:val="00E045F1"/>
    <w:pPr>
      <w:spacing w:before="60" w:after="240"/>
    </w:pPr>
    <w:rPr>
      <w:rFonts w:eastAsia="Times New Roman" w:cs="Times New Roman"/>
      <w:b/>
      <w:bCs/>
      <w:lang w:val="en-US"/>
    </w:rPr>
  </w:style>
  <w:style w:type="paragraph" w:styleId="BalloonText">
    <w:name w:val="Balloon Text"/>
    <w:basedOn w:val="Normal"/>
    <w:link w:val="BalloonTextChar"/>
    <w:rsid w:val="00E045F1"/>
    <w:rPr>
      <w:rFonts w:ascii="Tahoma" w:hAnsi="Tahoma" w:cs="Tahoma"/>
      <w:sz w:val="16"/>
      <w:szCs w:val="16"/>
      <w:lang w:val="en-GB"/>
    </w:rPr>
  </w:style>
  <w:style w:type="character" w:customStyle="1" w:styleId="BalloonTextChar">
    <w:name w:val="Balloon Text Char"/>
    <w:basedOn w:val="DefaultParagraphFont"/>
    <w:link w:val="BalloonText"/>
    <w:rsid w:val="00E045F1"/>
    <w:rPr>
      <w:rFonts w:ascii="Tahoma" w:eastAsia="SimSun" w:hAnsi="Tahoma" w:cs="Tahoma"/>
      <w:sz w:val="16"/>
      <w:szCs w:val="16"/>
      <w:lang w:val="en-GB" w:eastAsia="zh-CN"/>
    </w:rPr>
  </w:style>
  <w:style w:type="table" w:customStyle="1" w:styleId="TableGrid1">
    <w:name w:val="Table Grid1"/>
    <w:basedOn w:val="TableNormal"/>
    <w:next w:val="TableGrid"/>
    <w:uiPriority w:val="39"/>
    <w:rsid w:val="00E045F1"/>
    <w:rPr>
      <w:rFonts w:asciiTheme="minorHAnsi" w:eastAsiaTheme="minorEastAsia" w:hAnsiTheme="minorHAnsi" w:cstheme="minorBidi"/>
      <w:sz w:val="21"/>
      <w:szCs w:val="21"/>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E045F1"/>
    <w:rPr>
      <w:vertAlign w:val="superscript"/>
    </w:rPr>
  </w:style>
  <w:style w:type="table" w:styleId="GridTable1Light-Accent2">
    <w:name w:val="Grid Table 1 Light Accent 2"/>
    <w:basedOn w:val="TableNormal"/>
    <w:uiPriority w:val="46"/>
    <w:rsid w:val="00E045F1"/>
    <w:rPr>
      <w:lang w:val="en-US"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styleId="Strong">
    <w:name w:val="Strong"/>
    <w:basedOn w:val="DefaultParagraphFont"/>
    <w:qFormat/>
    <w:rsid w:val="00E045F1"/>
  </w:style>
  <w:style w:type="table" w:styleId="GridTable1Light-Accent1">
    <w:name w:val="Grid Table 1 Light Accent 1"/>
    <w:basedOn w:val="TableNormal"/>
    <w:uiPriority w:val="46"/>
    <w:rsid w:val="00E045F1"/>
    <w:rPr>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AB3257"/>
    <w:rPr>
      <w:rFonts w:ascii="Arial" w:eastAsia="SimSun" w:hAnsi="Arial" w:cs="Arial"/>
      <w:b/>
      <w:bCs/>
      <w:caps/>
      <w:kern w:val="32"/>
      <w:sz w:val="22"/>
      <w:szCs w:val="32"/>
      <w:lang w:val="fr-FR" w:eastAsia="zh-CN"/>
    </w:rPr>
  </w:style>
  <w:style w:type="paragraph" w:styleId="ListParagraph">
    <w:name w:val="List Paragraph"/>
    <w:basedOn w:val="Normal"/>
    <w:uiPriority w:val="34"/>
    <w:qFormat/>
    <w:rsid w:val="00E045F1"/>
    <w:pPr>
      <w:ind w:left="720"/>
      <w:contextualSpacing/>
    </w:pPr>
    <w:rPr>
      <w:lang w:val="en-GB"/>
    </w:rPr>
  </w:style>
  <w:style w:type="character" w:customStyle="1" w:styleId="Heading2Char">
    <w:name w:val="Heading 2 Char"/>
    <w:basedOn w:val="DefaultParagraphFont"/>
    <w:link w:val="Heading2"/>
    <w:rsid w:val="00444006"/>
    <w:rPr>
      <w:rFonts w:ascii="Arial" w:eastAsia="SimSun" w:hAnsi="Arial" w:cs="Arial"/>
      <w:caps/>
      <w:sz w:val="22"/>
      <w:szCs w:val="28"/>
      <w:lang w:val="fr-FR" w:eastAsia="zh-CN"/>
    </w:rPr>
  </w:style>
  <w:style w:type="paragraph" w:styleId="Subtitle">
    <w:name w:val="Subtitle"/>
    <w:basedOn w:val="Normal"/>
    <w:next w:val="Normal"/>
    <w:link w:val="SubtitleChar"/>
    <w:qFormat/>
    <w:rsid w:val="00E045F1"/>
    <w:pPr>
      <w:numPr>
        <w:ilvl w:val="1"/>
      </w:numPr>
      <w:spacing w:after="160"/>
    </w:pPr>
    <w:rPr>
      <w:rFonts w:asciiTheme="minorHAnsi" w:eastAsiaTheme="minorEastAsia" w:hAnsiTheme="minorHAnsi" w:cstheme="minorBidi"/>
      <w:color w:val="5A5A5A" w:themeColor="text1" w:themeTint="A5"/>
      <w:spacing w:val="15"/>
      <w:szCs w:val="22"/>
      <w:lang w:val="en-GB"/>
    </w:rPr>
  </w:style>
  <w:style w:type="character" w:customStyle="1" w:styleId="SubtitleChar">
    <w:name w:val="Subtitle Char"/>
    <w:basedOn w:val="DefaultParagraphFont"/>
    <w:link w:val="Subtitle"/>
    <w:rsid w:val="00E045F1"/>
    <w:rPr>
      <w:rFonts w:asciiTheme="minorHAnsi" w:eastAsiaTheme="minorEastAsia" w:hAnsiTheme="minorHAnsi" w:cstheme="minorBidi"/>
      <w:color w:val="5A5A5A" w:themeColor="text1" w:themeTint="A5"/>
      <w:spacing w:val="15"/>
      <w:sz w:val="22"/>
      <w:szCs w:val="22"/>
      <w:lang w:val="en-GB" w:eastAsia="zh-CN"/>
    </w:rPr>
  </w:style>
  <w:style w:type="paragraph" w:styleId="NormalWeb">
    <w:name w:val="Normal (Web)"/>
    <w:basedOn w:val="Normal"/>
    <w:uiPriority w:val="99"/>
    <w:semiHidden/>
    <w:unhideWhenUsed/>
    <w:rsid w:val="00E045F1"/>
    <w:pPr>
      <w:spacing w:before="100" w:beforeAutospacing="1" w:after="100" w:afterAutospacing="1"/>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semiHidden/>
    <w:unhideWhenUsed/>
    <w:rsid w:val="00E045F1"/>
    <w:rPr>
      <w:color w:val="800080" w:themeColor="followedHyperlink"/>
      <w:u w:val="single"/>
    </w:rPr>
  </w:style>
  <w:style w:type="character" w:customStyle="1" w:styleId="UnresolvedMention1">
    <w:name w:val="Unresolved Mention1"/>
    <w:basedOn w:val="DefaultParagraphFont"/>
    <w:uiPriority w:val="99"/>
    <w:semiHidden/>
    <w:unhideWhenUsed/>
    <w:rsid w:val="00E045F1"/>
    <w:rPr>
      <w:color w:val="605E5C"/>
      <w:shd w:val="clear" w:color="auto" w:fill="E1DFDD"/>
    </w:rPr>
  </w:style>
  <w:style w:type="paragraph" w:customStyle="1" w:styleId="Default">
    <w:name w:val="Default"/>
    <w:rsid w:val="00E045F1"/>
    <w:pPr>
      <w:autoSpaceDE w:val="0"/>
      <w:autoSpaceDN w:val="0"/>
      <w:adjustRightInd w:val="0"/>
    </w:pPr>
    <w:rPr>
      <w:color w:val="000000"/>
      <w:sz w:val="24"/>
      <w:szCs w:val="24"/>
      <w:lang w:val="en-GB" w:eastAsia="en-US"/>
    </w:rPr>
  </w:style>
  <w:style w:type="character" w:styleId="CommentReference">
    <w:name w:val="annotation reference"/>
    <w:basedOn w:val="DefaultParagraphFont"/>
    <w:semiHidden/>
    <w:unhideWhenUsed/>
    <w:rsid w:val="00E045F1"/>
    <w:rPr>
      <w:sz w:val="16"/>
      <w:szCs w:val="16"/>
    </w:rPr>
  </w:style>
  <w:style w:type="paragraph" w:styleId="CommentSubject">
    <w:name w:val="annotation subject"/>
    <w:basedOn w:val="CommentText"/>
    <w:next w:val="CommentText"/>
    <w:link w:val="CommentSubjectChar"/>
    <w:semiHidden/>
    <w:unhideWhenUsed/>
    <w:rsid w:val="00E045F1"/>
    <w:rPr>
      <w:b/>
      <w:bCs/>
      <w:sz w:val="20"/>
      <w:lang w:val="en-GB"/>
    </w:rPr>
  </w:style>
  <w:style w:type="character" w:customStyle="1" w:styleId="CommentTextChar">
    <w:name w:val="Comment Text Char"/>
    <w:basedOn w:val="DefaultParagraphFont"/>
    <w:link w:val="CommentText"/>
    <w:semiHidden/>
    <w:rsid w:val="00E045F1"/>
    <w:rPr>
      <w:rFonts w:ascii="Arial" w:eastAsia="SimSun" w:hAnsi="Arial" w:cs="Arial"/>
      <w:sz w:val="18"/>
      <w:lang w:eastAsia="zh-CN"/>
    </w:rPr>
  </w:style>
  <w:style w:type="character" w:customStyle="1" w:styleId="CommentSubjectChar">
    <w:name w:val="Comment Subject Char"/>
    <w:basedOn w:val="CommentTextChar"/>
    <w:link w:val="CommentSubject"/>
    <w:semiHidden/>
    <w:rsid w:val="00E045F1"/>
    <w:rPr>
      <w:rFonts w:ascii="Arial" w:eastAsia="SimSun" w:hAnsi="Arial" w:cs="Arial"/>
      <w:b/>
      <w:bCs/>
      <w:sz w:val="18"/>
      <w:lang w:val="en-GB" w:eastAsia="zh-CN"/>
    </w:rPr>
  </w:style>
  <w:style w:type="character" w:customStyle="1" w:styleId="UnresolvedMention2">
    <w:name w:val="Unresolved Mention2"/>
    <w:basedOn w:val="DefaultParagraphFont"/>
    <w:uiPriority w:val="99"/>
    <w:semiHidden/>
    <w:unhideWhenUsed/>
    <w:rsid w:val="00E045F1"/>
    <w:rPr>
      <w:color w:val="605E5C"/>
      <w:shd w:val="clear" w:color="auto" w:fill="E1DFDD"/>
    </w:rPr>
  </w:style>
  <w:style w:type="paragraph" w:customStyle="1" w:styleId="pf0">
    <w:name w:val="pf0"/>
    <w:basedOn w:val="Normal"/>
    <w:rsid w:val="00E045F1"/>
    <w:pPr>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cf01">
    <w:name w:val="cf01"/>
    <w:basedOn w:val="DefaultParagraphFont"/>
    <w:rsid w:val="00E045F1"/>
    <w:rPr>
      <w:rFonts w:ascii="Segoe UI" w:hAnsi="Segoe UI" w:cs="Segoe UI" w:hint="default"/>
      <w:sz w:val="18"/>
      <w:szCs w:val="18"/>
    </w:rPr>
  </w:style>
  <w:style w:type="paragraph" w:styleId="Revision">
    <w:name w:val="Revision"/>
    <w:hidden/>
    <w:uiPriority w:val="99"/>
    <w:semiHidden/>
    <w:rsid w:val="00E045F1"/>
    <w:rPr>
      <w:rFonts w:ascii="Arial" w:eastAsia="SimSun" w:hAnsi="Arial" w:cs="Arial"/>
      <w:sz w:val="22"/>
      <w:lang w:val="en-GB" w:eastAsia="zh-CN"/>
    </w:rPr>
  </w:style>
  <w:style w:type="paragraph" w:customStyle="1" w:styleId="Endofdocument">
    <w:name w:val="End of document"/>
    <w:basedOn w:val="Normal"/>
    <w:rsid w:val="00E045F1"/>
    <w:pPr>
      <w:spacing w:line="260" w:lineRule="atLeast"/>
      <w:ind w:left="5534"/>
    </w:pPr>
    <w:rPr>
      <w:rFonts w:eastAsia="Times New Roman" w:cs="Times New Roman"/>
      <w:lang w:val="en-US" w:eastAsia="en-US"/>
    </w:rPr>
  </w:style>
  <w:style w:type="character" w:styleId="UnresolvedMention">
    <w:name w:val="Unresolved Mention"/>
    <w:basedOn w:val="DefaultParagraphFont"/>
    <w:uiPriority w:val="99"/>
    <w:semiHidden/>
    <w:unhideWhenUsed/>
    <w:rsid w:val="00AD2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2.emf"/><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po.int/edocs/mdocs/mdocs/fr/cdip_14/cdip_14_7.pdf" TargetMode="External"/><Relationship Id="rId25" Type="http://schemas.openxmlformats.org/officeDocument/2006/relationships/image" Target="media/image9.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ipo.int/meetings/fr/doc_details.jsp?doc_id=421156" TargetMode="External"/><Relationship Id="rId20" Type="http://schemas.openxmlformats.org/officeDocument/2006/relationships/image" Target="media/image4.emf"/><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8.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po.int/meetings/fr/doc_details.jsp?doc_id=284776" TargetMode="External"/><Relationship Id="rId23" Type="http://schemas.openxmlformats.org/officeDocument/2006/relationships/image" Target="media/image7.emf"/><Relationship Id="rId28"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3.emf"/><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emf"/><Relationship Id="rId27" Type="http://schemas.openxmlformats.org/officeDocument/2006/relationships/hyperlink" Target="https://www.emerald.com/insight/search?q=Daniel%20Pereira%20da%20Silva" TargetMode="External"/><Relationship Id="rId30" Type="http://schemas.openxmlformats.org/officeDocument/2006/relationships/header" Target="header5.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dacatalogue.wipo.int/projects" TargetMode="External"/><Relationship Id="rId2" Type="http://schemas.openxmlformats.org/officeDocument/2006/relationships/hyperlink" Target="https://www.wipo.int/publications/fr/" TargetMode="External"/><Relationship Id="rId1" Type="http://schemas.openxmlformats.org/officeDocument/2006/relationships/hyperlink" Target="https://dacatalogue.wipo.int/projects" TargetMode="External"/><Relationship Id="rId5" Type="http://schemas.openxmlformats.org/officeDocument/2006/relationships/hyperlink" Target="https://www.wipo.int/edocs/pubdocs/en/wipo-pub-gih-brazil-en-global-innovation-hotspots-a-case-study-of-s%C3%A3o-paulo-s-innovation-ecosystem-local-capabilities-and-global-networks.pdf" TargetMode="External"/><Relationship Id="rId4" Type="http://schemas.openxmlformats.org/officeDocument/2006/relationships/hyperlink" Target="https://tind.wipo.int/record/2906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1%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E6C42-E024-4823-9EA0-29A2701A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CDIP_31 (F)</Template>
  <TotalTime>1</TotalTime>
  <Pages>27</Pages>
  <Words>10448</Words>
  <Characters>61368</Characters>
  <Application>Microsoft Office Word</Application>
  <DocSecurity>0</DocSecurity>
  <Lines>511</Lines>
  <Paragraphs>143</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CDIP/31/8</vt:lpstr>
      <vt:lpstr>Comité du développement et de la propriété intellectuelle (CDIP)</vt:lpstr>
      <vt:lpstr>    Trente et unième session</vt:lpstr>
      <vt:lpstr>    Genève, 27 novembre – 1er décembre 2023</vt:lpstr>
      <vt:lpstr>Liste des sigles</vt:lpstr>
      <vt:lpstr>Résumé</vt:lpstr>
      <vt:lpstr>    Conclusions</vt:lpstr>
      <vt:lpstr>    Recommandations</vt:lpstr>
      <vt:lpstr>Introduction</vt:lpstr>
      <vt:lpstr>    Contexte et description du projet</vt:lpstr>
      <vt:lpstr>    Objet, méthodologie et limites de l’évaluation</vt:lpstr>
      <vt:lpstr>    Objectif principal de la méthodologie</vt:lpstr>
      <vt:lpstr>Principales limites de l’évaluation</vt:lpstr>
      <vt:lpstr>Conclusions et évaluation</vt:lpstr>
      <vt:lpstr>    L’approche et les résultats escomptés du projet sont-ils toujours pertinents?</vt:lpstr>
      <vt:lpstr>    Quelles sont les incidences intentionnelles et non intentionnelles du projet dan</vt:lpstr>
      <vt:lpstr>    Quelles sont les incidences intentionnelles et non intentionnelles du projet au </vt:lpstr>
      <vt:lpstr>    Les résultats du projet sont-ils pérennes?</vt:lpstr>
      <vt:lpstr>    Quelles conditions ont rendu possible ou entravé l’obtention des incidences visé</vt:lpstr>
      <vt:lpstr>    Quels sont les enseignements à tirer aux fins des projets futurs au sein de l’OM</vt:lpstr>
      <vt:lpstr>Études de cas : Brésil et Indonésie</vt:lpstr>
      <vt:lpstr>    Résumé de la situation de la propriété intellectuelle au Brésil (de 2012 à ce jo</vt:lpstr>
      <vt:lpstr>    Résumé de la situation en matière de propriété intellectuelle en Indonésie (de 2</vt:lpstr>
      <vt:lpstr>    Enseignements à tirer des études de cas</vt:lpstr>
      <vt:lpstr>Conclusions</vt:lpstr>
      <vt:lpstr>Recommandations</vt:lpstr>
    </vt:vector>
  </TitlesOfParts>
  <Company>WIPO</Company>
  <LinksUpToDate>false</LinksUpToDate>
  <CharactersWithSpaces>71673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CDIP/31/8</dc:title>
  <dc:creator>OLIVIÉ Karen</dc:creator>
  <cp:keywords>FOR OFFICIAL USE ONLY</cp:keywords>
  <cp:lastModifiedBy>ESTEVES DOS SANTOS Anabela</cp:lastModifiedBy>
  <cp:revision>2</cp:revision>
  <cp:lastPrinted>2011-05-19T12:37:00Z</cp:lastPrinted>
  <dcterms:created xsi:type="dcterms:W3CDTF">2023-09-28T09:17:00Z</dcterms:created>
  <dcterms:modified xsi:type="dcterms:W3CDTF">2023-09-28T09:17:00Z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2023-09-19T11:51:09Z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ee374968-1cc9-4f87-8eaf-f5273a47457c</vt:lpwstr>
  </property>
  <property fmtid="{D5CDD505-2E9C-101B-9397-08002B2CF9AE}" pid="14" name="MSIP_Label_20773ee6-353b-4fb9-a59d-0b94c8c67bea_ContentBits">
    <vt:lpwstr>0</vt:lpwstr>
  </property>
</Properties>
</file>